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AC9" w:rsidRDefault="00090AC9" w:rsidP="00FE2058">
      <w:r>
        <w:rPr>
          <w:noProof/>
        </w:rPr>
        <mc:AlternateContent>
          <mc:Choice Requires="wps">
            <w:drawing>
              <wp:inline distT="0" distB="0" distL="0" distR="0">
                <wp:extent cx="5597719" cy="4134678"/>
                <wp:effectExtent l="0" t="0" r="3175" b="0"/>
                <wp:docPr id="5" name="Text Box 5"/>
                <wp:cNvGraphicFramePr/>
                <a:graphic xmlns:a="http://schemas.openxmlformats.org/drawingml/2006/main">
                  <a:graphicData uri="http://schemas.microsoft.com/office/word/2010/wordprocessingShape">
                    <wps:wsp>
                      <wps:cNvSpPr txBox="1"/>
                      <wps:spPr>
                        <a:xfrm>
                          <a:off x="0" y="0"/>
                          <a:ext cx="5597719" cy="4134678"/>
                        </a:xfrm>
                        <a:prstGeom prst="rect">
                          <a:avLst/>
                        </a:prstGeom>
                        <a:solidFill>
                          <a:schemeClr val="lt1"/>
                        </a:solidFill>
                        <a:ln w="6350">
                          <a:noFill/>
                        </a:ln>
                      </wps:spPr>
                      <wps:txbx>
                        <w:txbxContent>
                          <w:sdt>
                            <w:sdtPr>
                              <w:rPr>
                                <w:rStyle w:val="TitleChar"/>
                              </w:rPr>
                              <w:alias w:val="Title"/>
                              <w:tag w:val=""/>
                              <w:id w:val="1317071641"/>
                              <w:placeholder>
                                <w:docPart w:val="5479FB057AC647EF9BC8ADCE75B4BE73"/>
                              </w:placeholder>
                              <w:dataBinding w:prefixMappings="xmlns:ns0='http://purl.org/dc/elements/1.1/' xmlns:ns1='http://schemas.openxmlformats.org/package/2006/metadata/core-properties' " w:xpath="/ns1:coreProperties[1]/ns0:title[1]" w:storeItemID="{6C3C8BC8-F283-45AE-878A-BAB7291924A1}"/>
                              <w:text/>
                            </w:sdtPr>
                            <w:sdtContent>
                              <w:p w:rsidR="00090AC9" w:rsidRDefault="00090AC9">
                                <w:pPr>
                                  <w:rPr>
                                    <w:rStyle w:val="TitleChar"/>
                                  </w:rPr>
                                </w:pPr>
                                <w:r w:rsidRPr="00090AC9">
                                  <w:rPr>
                                    <w:rStyle w:val="TitleChar"/>
                                  </w:rPr>
                                  <w:t>Annual Gender Pay Gap Report 2021</w:t>
                                </w:r>
                              </w:p>
                            </w:sdtContent>
                          </w:sdt>
                          <w:p w:rsidR="00090AC9" w:rsidRDefault="00090AC9" w:rsidP="00090AC9"/>
                          <w:p w:rsidR="00090AC9" w:rsidRDefault="00090AC9" w:rsidP="00090AC9"/>
                          <w:sdt>
                            <w:sdtPr>
                              <w:alias w:val="Author"/>
                              <w:tag w:val=""/>
                              <w:id w:val="1142005934"/>
                              <w:placeholder>
                                <w:docPart w:val="8561C1A088AF409BAF45DAB9211CCB5C"/>
                              </w:placeholder>
                              <w:dataBinding w:prefixMappings="xmlns:ns0='http://purl.org/dc/elements/1.1/' xmlns:ns1='http://schemas.openxmlformats.org/package/2006/metadata/core-properties' " w:xpath="/ns1:coreProperties[1]/ns0:creator[1]" w:storeItemID="{6C3C8BC8-F283-45AE-878A-BAB7291924A1}"/>
                              <w:text/>
                            </w:sdtPr>
                            <w:sdtContent>
                              <w:p w:rsidR="00090AC9" w:rsidRDefault="00090AC9" w:rsidP="00090AC9">
                                <w:r>
                                  <w:t>Bruce Campion-Smith</w:t>
                                </w:r>
                              </w:p>
                            </w:sdtContent>
                          </w:sdt>
                          <w:p w:rsidR="00AF731D" w:rsidRPr="00090AC9" w:rsidRDefault="00AF731D" w:rsidP="00090AC9">
                            <w:r w:rsidRPr="00090AC9">
                              <w:t>Head of Equality Diversity and Inclusion</w:t>
                            </w:r>
                          </w:p>
                          <w:p w:rsidR="00090AC9" w:rsidRPr="00090AC9" w:rsidRDefault="00090AC9" w:rsidP="00090AC9"/>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40.75pt;height:325.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" fillcolor="white [3201]" stroked="f" strokeweight=".5pt">
                <v:textbox>
                  <w:txbxContent>
                    <w:sdt>
                      <w:sdtPr>
                        <w:rPr>
                          <w:rStyle w:val="TitleChar"/>
                        </w:rPr>
                        <w:alias w:val="Title"/>
                        <w:tag w:val=""/>
                        <w:id w:val="1317071641"/>
                        <w:placeholder>
                          <w:docPart w:val="5479FB057AC647EF9BC8ADCE75B4BE73"/>
                        </w:placeholder>
                        <w:dataBinding w:prefixMappings="xmlns:ns0='http://purl.org/dc/elements/1.1/' xmlns:ns1='http://schemas.openxmlformats.org/package/2006/metadata/core-properties' " w:xpath="/ns1:coreProperties[1]/ns0:title[1]" w:storeItemID="{6C3C8BC8-F283-45AE-878A-BAB7291924A1}"/>
                        <w:text/>
                      </w:sdtPr>
                      <w:sdtContent>
                        <w:p w:rsidR="00090AC9" w:rsidRDefault="00090AC9">
                          <w:pPr>
                            <w:rPr>
                              <w:rStyle w:val="TitleChar"/>
                            </w:rPr>
                          </w:pPr>
                          <w:r w:rsidRPr="00090AC9">
                            <w:rPr>
                              <w:rStyle w:val="TitleChar"/>
                            </w:rPr>
                            <w:t>Annual Gender Pay Gap Report 2021</w:t>
                          </w:r>
                        </w:p>
                      </w:sdtContent>
                    </w:sdt>
                    <w:p w:rsidR="00090AC9" w:rsidRDefault="00090AC9" w:rsidP="00090AC9"/>
                    <w:p w:rsidR="00090AC9" w:rsidRDefault="00090AC9" w:rsidP="00090AC9"/>
                    <w:sdt>
                      <w:sdtPr>
                        <w:alias w:val="Author"/>
                        <w:tag w:val=""/>
                        <w:id w:val="1142005934"/>
                        <w:placeholder>
                          <w:docPart w:val="8561C1A088AF409BAF45DAB9211CCB5C"/>
                        </w:placeholder>
                        <w:dataBinding w:prefixMappings="xmlns:ns0='http://purl.org/dc/elements/1.1/' xmlns:ns1='http://schemas.openxmlformats.org/package/2006/metadata/core-properties' " w:xpath="/ns1:coreProperties[1]/ns0:creator[1]" w:storeItemID="{6C3C8BC8-F283-45AE-878A-BAB7291924A1}"/>
                        <w:text/>
                      </w:sdtPr>
                      <w:sdtContent>
                        <w:p w:rsidR="00090AC9" w:rsidRDefault="00090AC9" w:rsidP="00090AC9">
                          <w:r>
                            <w:t>Bruce Campion-Smith</w:t>
                          </w:r>
                        </w:p>
                      </w:sdtContent>
                    </w:sdt>
                    <w:p w:rsidR="00AF731D" w:rsidRPr="00090AC9" w:rsidRDefault="00AF731D" w:rsidP="00090AC9">
                      <w:r w:rsidRPr="00090AC9">
                        <w:t>Head of Equality Diversity and Inclusion</w:t>
                      </w:r>
                    </w:p>
                    <w:p w:rsidR="00090AC9" w:rsidRPr="00090AC9" w:rsidRDefault="00090AC9" w:rsidP="00090AC9"/>
                  </w:txbxContent>
                </v:textbox>
                <w10:anchorlock/>
              </v:shape>
            </w:pict>
          </mc:Fallback>
        </mc:AlternateContent>
      </w:r>
    </w:p>
    <w:p w:rsidR="00AF731D" w:rsidRPr="00AF731D" w:rsidRDefault="00AF731D" w:rsidP="00FE2058">
      <w:r w:rsidRPr="00AF731D">
        <w:br w:type="page"/>
      </w:r>
    </w:p>
    <w:p w:rsidR="00AF731D" w:rsidRDefault="00AF731D" w:rsidP="00FE2058">
      <w:r w:rsidRPr="00AF731D">
        <w:lastRenderedPageBreak/>
        <w:t>This is our annual gender pay gap report for the snapshot date of 31 March 202</w:t>
      </w:r>
      <w:r w:rsidR="002A58D4">
        <w:t>1</w:t>
      </w:r>
      <w:r w:rsidRPr="00AF731D">
        <w:t>.</w:t>
      </w:r>
    </w:p>
    <w:p w:rsidR="00090AC9" w:rsidRPr="00AF731D" w:rsidRDefault="00090AC9" w:rsidP="00FE2058"/>
    <w:p w:rsidR="00090AC9" w:rsidRPr="00AF731D" w:rsidRDefault="00AF731D" w:rsidP="00FE2058">
      <w:r w:rsidRPr="00AF731D">
        <w:t xml:space="preserve">Our mean gender pay gap is </w:t>
      </w:r>
      <w:r w:rsidR="002A58D4">
        <w:t>33.7% (</w:t>
      </w:r>
      <w:r w:rsidRPr="00AF731D">
        <w:t>32.7%</w:t>
      </w:r>
      <w:r w:rsidR="002A58D4">
        <w:t>)</w:t>
      </w:r>
      <w:r w:rsidRPr="00AF731D">
        <w:t>.</w:t>
      </w:r>
    </w:p>
    <w:p w:rsidR="00AF731D" w:rsidRPr="00AF731D" w:rsidRDefault="00AF731D" w:rsidP="00FE2058">
      <w:r w:rsidRPr="00AF731D">
        <w:t xml:space="preserve">Our median gender pay gap is </w:t>
      </w:r>
      <w:r w:rsidR="002A58D4">
        <w:t>26.3 % (</w:t>
      </w:r>
      <w:r w:rsidRPr="00AF731D">
        <w:t>25.4%</w:t>
      </w:r>
      <w:r w:rsidR="002A58D4">
        <w:t>)</w:t>
      </w:r>
      <w:r w:rsidR="00090AC9">
        <w:t>.</w:t>
      </w:r>
    </w:p>
    <w:p w:rsidR="00AF731D" w:rsidRPr="00AF731D" w:rsidRDefault="00AF731D" w:rsidP="00FE2058">
      <w:r w:rsidRPr="00AF731D">
        <w:t xml:space="preserve">Our mean gender bonus gap is </w:t>
      </w:r>
      <w:r w:rsidR="002A58D4">
        <w:t>32.9% (</w:t>
      </w:r>
      <w:r w:rsidRPr="00AF731D">
        <w:t>39.20%</w:t>
      </w:r>
      <w:r w:rsidR="002A58D4">
        <w:t>)</w:t>
      </w:r>
      <w:r w:rsidR="00090AC9">
        <w:t>.</w:t>
      </w:r>
    </w:p>
    <w:p w:rsidR="00AF731D" w:rsidRPr="00AF731D" w:rsidRDefault="00AF731D" w:rsidP="00FE2058">
      <w:r w:rsidRPr="00AF731D">
        <w:t xml:space="preserve">Our median gender bonus gap is </w:t>
      </w:r>
      <w:bookmarkStart w:id="0" w:name="_Hlk72417693"/>
      <w:r w:rsidR="002A58D4">
        <w:t>33.3% (</w:t>
      </w:r>
      <w:r w:rsidRPr="00AF731D">
        <w:t>50.00%</w:t>
      </w:r>
      <w:r w:rsidR="002A58D4">
        <w:t>)</w:t>
      </w:r>
      <w:bookmarkEnd w:id="0"/>
      <w:r w:rsidR="00090AC9">
        <w:t>.</w:t>
      </w:r>
    </w:p>
    <w:p w:rsidR="00AF731D" w:rsidRPr="00AF731D" w:rsidRDefault="00AF731D" w:rsidP="00FE2058">
      <w:r w:rsidRPr="00AF731D">
        <w:t>The proportion of male employees receiving a bonus is</w:t>
      </w:r>
      <w:r w:rsidR="002A58D4">
        <w:t xml:space="preserve"> </w:t>
      </w:r>
      <w:bookmarkStart w:id="1" w:name="_Hlk72417746"/>
      <w:r w:rsidR="002A58D4">
        <w:t>4.56%</w:t>
      </w:r>
      <w:r w:rsidRPr="00AF731D">
        <w:t xml:space="preserve"> </w:t>
      </w:r>
      <w:r w:rsidR="002A58D4">
        <w:t>(</w:t>
      </w:r>
      <w:r w:rsidRPr="00AF731D">
        <w:t>6.75%</w:t>
      </w:r>
      <w:r w:rsidR="002A58D4">
        <w:t>)</w:t>
      </w:r>
      <w:bookmarkEnd w:id="1"/>
    </w:p>
    <w:p w:rsidR="00AF731D" w:rsidRDefault="00AF731D" w:rsidP="00FE2058">
      <w:r w:rsidRPr="00AF731D">
        <w:t>and the proportion of female employees receiving a bonus is</w:t>
      </w:r>
      <w:r w:rsidR="002A58D4">
        <w:t xml:space="preserve"> </w:t>
      </w:r>
      <w:r w:rsidR="00F86110" w:rsidRPr="00F86110">
        <w:t>0.49</w:t>
      </w:r>
      <w:r w:rsidR="002A58D4">
        <w:t>%</w:t>
      </w:r>
      <w:r w:rsidRPr="00AF731D">
        <w:t xml:space="preserve"> </w:t>
      </w:r>
      <w:r w:rsidR="002A58D4">
        <w:t>(</w:t>
      </w:r>
      <w:r w:rsidRPr="00AF731D">
        <w:t>0.56%</w:t>
      </w:r>
      <w:r w:rsidR="002A58D4">
        <w:t>)</w:t>
      </w:r>
    </w:p>
    <w:p w:rsidR="002A58D4" w:rsidRPr="002A58D4" w:rsidRDefault="002A58D4" w:rsidP="00FE2058">
      <w:r w:rsidRPr="002A58D4">
        <w:t>figures in brackets are values for 2020</w:t>
      </w:r>
      <w:r w:rsidR="00090AC9">
        <w:t>.</w:t>
      </w:r>
    </w:p>
    <w:p w:rsidR="00AF731D" w:rsidRPr="00AF731D" w:rsidRDefault="00AF731D" w:rsidP="00FE2058"/>
    <w:p w:rsidR="00AF731D" w:rsidRDefault="00AF731D" w:rsidP="00090AC9">
      <w:pPr>
        <w:pStyle w:val="Heading1"/>
      </w:pPr>
      <w:r w:rsidRPr="00AF731D">
        <w:t>Table 1: Pay quartiles by gender</w:t>
      </w:r>
    </w:p>
    <w:p w:rsidR="00090AC9" w:rsidRPr="00AF731D" w:rsidRDefault="00090AC9" w:rsidP="00FE2058"/>
    <w:p w:rsidR="00AF731D" w:rsidRDefault="00AF731D" w:rsidP="00FE2058">
      <w:r w:rsidRPr="00AF731D">
        <w:t>This table shows our workforce divided into four equal-sized groups based on hourly pay rate. Band A includes the lowest-paid 25% of employees (the lower quartile) and band D covers the highest-paid 25% (the upper quartile).</w:t>
      </w:r>
    </w:p>
    <w:p w:rsidR="00090AC9" w:rsidRPr="00AF731D" w:rsidRDefault="00090AC9" w:rsidP="00FE2058"/>
    <w:tbl>
      <w:tblPr>
        <w:tblStyle w:val="TableGrid1"/>
        <w:tblW w:w="0" w:type="auto"/>
        <w:tblLook w:val="06A0" w:firstRow="1" w:lastRow="0" w:firstColumn="1" w:lastColumn="0" w:noHBand="1" w:noVBand="1"/>
      </w:tblPr>
      <w:tblGrid>
        <w:gridCol w:w="777"/>
        <w:gridCol w:w="1552"/>
        <w:gridCol w:w="1552"/>
        <w:gridCol w:w="5747"/>
      </w:tblGrid>
      <w:tr w:rsidR="00A65616" w:rsidRPr="00AF731D" w:rsidTr="00090AC9">
        <w:tc>
          <w:tcPr>
            <w:tcW w:w="0" w:type="auto"/>
            <w:hideMark/>
          </w:tcPr>
          <w:p w:rsidR="00AF731D" w:rsidRPr="00AF731D" w:rsidRDefault="00AF731D" w:rsidP="00FE2058">
            <w:r w:rsidRPr="00AF731D">
              <w:t>Band</w:t>
            </w:r>
          </w:p>
        </w:tc>
        <w:tc>
          <w:tcPr>
            <w:tcW w:w="0" w:type="auto"/>
            <w:hideMark/>
          </w:tcPr>
          <w:p w:rsidR="00AF731D" w:rsidRPr="00AF731D" w:rsidRDefault="00AF731D" w:rsidP="00FE2058">
            <w:r w:rsidRPr="00AF731D">
              <w:t>Males</w:t>
            </w:r>
          </w:p>
        </w:tc>
        <w:tc>
          <w:tcPr>
            <w:tcW w:w="0" w:type="auto"/>
            <w:hideMark/>
          </w:tcPr>
          <w:p w:rsidR="00AF731D" w:rsidRPr="00AF731D" w:rsidRDefault="00AF731D" w:rsidP="00FE2058">
            <w:r w:rsidRPr="00AF731D">
              <w:t>Females</w:t>
            </w:r>
          </w:p>
        </w:tc>
        <w:tc>
          <w:tcPr>
            <w:tcW w:w="0" w:type="auto"/>
            <w:hideMark/>
          </w:tcPr>
          <w:p w:rsidR="00AF731D" w:rsidRPr="00AF731D" w:rsidRDefault="00AF731D" w:rsidP="00FE2058">
            <w:r w:rsidRPr="00AF731D">
              <w:t>What is included in this band?</w:t>
            </w:r>
          </w:p>
        </w:tc>
      </w:tr>
      <w:tr w:rsidR="00A65616" w:rsidRPr="00AF731D" w:rsidTr="00090AC9">
        <w:tc>
          <w:tcPr>
            <w:tcW w:w="0" w:type="auto"/>
            <w:hideMark/>
          </w:tcPr>
          <w:p w:rsidR="00AF731D" w:rsidRPr="00AF731D" w:rsidRDefault="00AF731D" w:rsidP="00FE2058">
            <w:r w:rsidRPr="00AF731D">
              <w:t>A</w:t>
            </w:r>
          </w:p>
        </w:tc>
        <w:tc>
          <w:tcPr>
            <w:tcW w:w="0" w:type="auto"/>
          </w:tcPr>
          <w:p w:rsidR="00AF731D" w:rsidRPr="00AF731D" w:rsidRDefault="002A58D4" w:rsidP="00FE2058">
            <w:r>
              <w:t>15.75% (</w:t>
            </w:r>
            <w:r w:rsidR="00AF731D" w:rsidRPr="00AF731D">
              <w:t>15.90%</w:t>
            </w:r>
            <w:r>
              <w:t>)</w:t>
            </w:r>
          </w:p>
        </w:tc>
        <w:tc>
          <w:tcPr>
            <w:tcW w:w="0" w:type="auto"/>
          </w:tcPr>
          <w:p w:rsidR="00AF731D" w:rsidRPr="00AF731D" w:rsidRDefault="002A58D4" w:rsidP="00FE2058">
            <w:bookmarkStart w:id="2" w:name="_Hlk72417382"/>
            <w:r>
              <w:t>81.25% (</w:t>
            </w:r>
            <w:r w:rsidR="00AF731D" w:rsidRPr="00AF731D">
              <w:t>84.10%</w:t>
            </w:r>
            <w:r>
              <w:t>)</w:t>
            </w:r>
            <w:bookmarkEnd w:id="2"/>
          </w:p>
        </w:tc>
        <w:tc>
          <w:tcPr>
            <w:tcW w:w="0" w:type="auto"/>
            <w:hideMark/>
          </w:tcPr>
          <w:p w:rsidR="00AF731D" w:rsidRPr="00AF731D" w:rsidRDefault="00AF731D" w:rsidP="00FE2058">
            <w:r w:rsidRPr="00AF731D">
              <w:t>All employees whose standard hourly rate is within the lower quartile</w:t>
            </w:r>
          </w:p>
        </w:tc>
      </w:tr>
      <w:tr w:rsidR="00A65616" w:rsidRPr="00AF731D" w:rsidTr="00090AC9">
        <w:tc>
          <w:tcPr>
            <w:tcW w:w="0" w:type="auto"/>
            <w:hideMark/>
          </w:tcPr>
          <w:p w:rsidR="00AF731D" w:rsidRPr="00AF731D" w:rsidRDefault="00AF731D" w:rsidP="00FE2058">
            <w:r w:rsidRPr="00AF731D">
              <w:t>B</w:t>
            </w:r>
          </w:p>
        </w:tc>
        <w:tc>
          <w:tcPr>
            <w:tcW w:w="0" w:type="auto"/>
          </w:tcPr>
          <w:p w:rsidR="00AF731D" w:rsidRPr="00AF731D" w:rsidRDefault="002A58D4" w:rsidP="00FE2058">
            <w:r>
              <w:t>17.00% (</w:t>
            </w:r>
            <w:r w:rsidR="00AF731D" w:rsidRPr="00AF731D">
              <w:t>16.58%</w:t>
            </w:r>
            <w:r>
              <w:t>)</w:t>
            </w:r>
          </w:p>
        </w:tc>
        <w:tc>
          <w:tcPr>
            <w:tcW w:w="0" w:type="auto"/>
          </w:tcPr>
          <w:p w:rsidR="00AF731D" w:rsidRPr="00AF731D" w:rsidRDefault="00A65616" w:rsidP="00FE2058">
            <w:r>
              <w:t>83.00% (</w:t>
            </w:r>
            <w:r w:rsidR="00AF731D" w:rsidRPr="00AF731D">
              <w:t>83.42%</w:t>
            </w:r>
            <w:r>
              <w:t>)</w:t>
            </w:r>
          </w:p>
        </w:tc>
        <w:tc>
          <w:tcPr>
            <w:tcW w:w="0" w:type="auto"/>
            <w:hideMark/>
          </w:tcPr>
          <w:p w:rsidR="00AF731D" w:rsidRPr="00AF731D" w:rsidRDefault="00AF731D" w:rsidP="00FE2058">
            <w:r w:rsidRPr="00AF731D">
              <w:t>All employees whose standard hourly rate is more than the lower quartile but the same or less than the median</w:t>
            </w:r>
          </w:p>
        </w:tc>
      </w:tr>
      <w:tr w:rsidR="00A65616" w:rsidRPr="00AF731D" w:rsidTr="00090AC9">
        <w:tc>
          <w:tcPr>
            <w:tcW w:w="0" w:type="auto"/>
            <w:hideMark/>
          </w:tcPr>
          <w:p w:rsidR="00AF731D" w:rsidRPr="00AF731D" w:rsidRDefault="00AF731D" w:rsidP="00FE2058">
            <w:r w:rsidRPr="00AF731D">
              <w:t>C</w:t>
            </w:r>
          </w:p>
        </w:tc>
        <w:tc>
          <w:tcPr>
            <w:tcW w:w="0" w:type="auto"/>
          </w:tcPr>
          <w:p w:rsidR="00AF731D" w:rsidRPr="00AF731D" w:rsidRDefault="002A58D4" w:rsidP="00FE2058">
            <w:r>
              <w:t>15.25% (</w:t>
            </w:r>
            <w:r w:rsidR="00AF731D" w:rsidRPr="00AF731D">
              <w:t>15.49%</w:t>
            </w:r>
            <w:r>
              <w:t>)</w:t>
            </w:r>
          </w:p>
        </w:tc>
        <w:tc>
          <w:tcPr>
            <w:tcW w:w="0" w:type="auto"/>
          </w:tcPr>
          <w:p w:rsidR="00AF731D" w:rsidRPr="00AF731D" w:rsidRDefault="00A65616" w:rsidP="00FE2058">
            <w:r>
              <w:t>84.75% (</w:t>
            </w:r>
            <w:r w:rsidR="00AF731D" w:rsidRPr="00AF731D">
              <w:t>84.51%</w:t>
            </w:r>
          </w:p>
        </w:tc>
        <w:tc>
          <w:tcPr>
            <w:tcW w:w="0" w:type="auto"/>
            <w:hideMark/>
          </w:tcPr>
          <w:p w:rsidR="00AF731D" w:rsidRPr="00AF731D" w:rsidRDefault="00AF731D" w:rsidP="00FE2058">
            <w:r w:rsidRPr="00AF731D">
              <w:t>All employees whose standard hourly rate is more than the median but the same or less than the upper quartile</w:t>
            </w:r>
          </w:p>
        </w:tc>
      </w:tr>
      <w:tr w:rsidR="00A65616" w:rsidRPr="00AF731D" w:rsidTr="00090AC9">
        <w:tc>
          <w:tcPr>
            <w:tcW w:w="0" w:type="auto"/>
            <w:hideMark/>
          </w:tcPr>
          <w:p w:rsidR="00AF731D" w:rsidRPr="00AF731D" w:rsidRDefault="00AF731D" w:rsidP="00FE2058">
            <w:r w:rsidRPr="00AF731D">
              <w:t>D</w:t>
            </w:r>
          </w:p>
        </w:tc>
        <w:tc>
          <w:tcPr>
            <w:tcW w:w="0" w:type="auto"/>
          </w:tcPr>
          <w:p w:rsidR="00AF731D" w:rsidRPr="00AF731D" w:rsidRDefault="002A58D4" w:rsidP="00FE2058">
            <w:bookmarkStart w:id="3" w:name="_Hlk72417452"/>
            <w:r>
              <w:t>40.48% (</w:t>
            </w:r>
            <w:r w:rsidR="00AF731D" w:rsidRPr="00AF731D">
              <w:t>39.80%</w:t>
            </w:r>
            <w:r>
              <w:t>)</w:t>
            </w:r>
            <w:bookmarkEnd w:id="3"/>
          </w:p>
        </w:tc>
        <w:tc>
          <w:tcPr>
            <w:tcW w:w="0" w:type="auto"/>
          </w:tcPr>
          <w:p w:rsidR="00AF731D" w:rsidRPr="00AF731D" w:rsidRDefault="00A65616" w:rsidP="00FE2058">
            <w:r>
              <w:t>59.52% (</w:t>
            </w:r>
            <w:r w:rsidR="00AF731D" w:rsidRPr="00AF731D">
              <w:t>60.20%</w:t>
            </w:r>
            <w:r>
              <w:t>)</w:t>
            </w:r>
          </w:p>
        </w:tc>
        <w:tc>
          <w:tcPr>
            <w:tcW w:w="0" w:type="auto"/>
            <w:hideMark/>
          </w:tcPr>
          <w:p w:rsidR="00AF731D" w:rsidRPr="00AF731D" w:rsidRDefault="00AF731D" w:rsidP="00FE2058">
            <w:r w:rsidRPr="00AF731D">
              <w:t>All employees whose standard hourly rate is within the upper quartile</w:t>
            </w:r>
          </w:p>
        </w:tc>
      </w:tr>
    </w:tbl>
    <w:p w:rsidR="00AF731D" w:rsidRPr="00AF731D" w:rsidRDefault="00AF731D" w:rsidP="00FE2058"/>
    <w:p w:rsidR="00AF731D" w:rsidRPr="00AF731D" w:rsidRDefault="00AF731D" w:rsidP="00FE2058"/>
    <w:p w:rsidR="00AF731D" w:rsidRDefault="00AF731D" w:rsidP="00090AC9">
      <w:r w:rsidRPr="00090AC9">
        <w:t xml:space="preserve">A quartile is one of four equally sized groups created when you divide a selection of numbers that are in ascending order into four. The "lower quartile" is the lowest group. The "upper quartile" is the highest group. </w:t>
      </w:r>
    </w:p>
    <w:p w:rsidR="00090AC9" w:rsidRPr="00090AC9" w:rsidRDefault="00090AC9" w:rsidP="00090AC9"/>
    <w:p w:rsidR="00AF731D" w:rsidRDefault="00F86110" w:rsidP="00090AC9">
      <w:r w:rsidRPr="00090AC9">
        <w:t>77.86% (</w:t>
      </w:r>
      <w:r w:rsidR="00AF731D" w:rsidRPr="00090AC9">
        <w:t>78.06%</w:t>
      </w:r>
      <w:r w:rsidRPr="00090AC9">
        <w:t>)</w:t>
      </w:r>
      <w:r w:rsidR="00AF731D" w:rsidRPr="00090AC9">
        <w:t xml:space="preserve"> of EKHUFT staff are Female, </w:t>
      </w:r>
      <w:r w:rsidRPr="00090AC9">
        <w:t>22.14% (</w:t>
      </w:r>
      <w:r w:rsidR="00AF731D" w:rsidRPr="00090AC9">
        <w:t>21.94%</w:t>
      </w:r>
      <w:r w:rsidRPr="00090AC9">
        <w:t>)</w:t>
      </w:r>
      <w:r w:rsidR="00AF731D" w:rsidRPr="00090AC9">
        <w:t xml:space="preserve"> of EKHUFT staff are Male.</w:t>
      </w:r>
    </w:p>
    <w:p w:rsidR="00090AC9" w:rsidRPr="00090AC9" w:rsidRDefault="00090AC9" w:rsidP="00090AC9"/>
    <w:p w:rsidR="00AF731D" w:rsidRPr="00AF731D" w:rsidRDefault="00AF731D" w:rsidP="00090AC9">
      <w:r w:rsidRPr="00090AC9">
        <w:t>The figures in this table have been calculated using the standard methods used in the Equality Act 2010 (Gender Pay Gap Information) Regulations 2017.</w:t>
      </w:r>
    </w:p>
    <w:p w:rsidR="00AF731D" w:rsidRPr="00AF731D" w:rsidRDefault="00AF731D" w:rsidP="00FE2058">
      <w:r w:rsidRPr="00AF731D">
        <w:br w:type="page"/>
      </w:r>
    </w:p>
    <w:p w:rsidR="00AF731D" w:rsidRDefault="00AF731D" w:rsidP="00090AC9">
      <w:pPr>
        <w:pStyle w:val="Heading1"/>
      </w:pPr>
      <w:r w:rsidRPr="00AF731D">
        <w:lastRenderedPageBreak/>
        <w:t xml:space="preserve">Why do we have a </w:t>
      </w:r>
      <w:r w:rsidRPr="00090AC9">
        <w:t>gender</w:t>
      </w:r>
      <w:r w:rsidRPr="00AF731D">
        <w:t xml:space="preserve"> pay gap?</w:t>
      </w:r>
    </w:p>
    <w:p w:rsidR="00090AC9" w:rsidRPr="00AF731D" w:rsidRDefault="00090AC9" w:rsidP="00FE2058"/>
    <w:p w:rsidR="00AF731D" w:rsidRPr="00AF731D" w:rsidRDefault="00AF731D" w:rsidP="00FE2058">
      <w:r w:rsidRPr="00AF731D">
        <w:t>Legally, men and women must receive equal pay for:</w:t>
      </w:r>
    </w:p>
    <w:p w:rsidR="00AF731D" w:rsidRPr="00AF731D" w:rsidRDefault="00AF731D" w:rsidP="00FE2058">
      <w:r w:rsidRPr="00AF731D">
        <w:t>the same or broadly similar work;</w:t>
      </w:r>
    </w:p>
    <w:p w:rsidR="00AF731D" w:rsidRPr="00AF731D" w:rsidRDefault="00AF731D" w:rsidP="00FE2058">
      <w:r w:rsidRPr="00AF731D">
        <w:t>work rated as equivalent under a job evaluation scheme; or</w:t>
      </w:r>
    </w:p>
    <w:p w:rsidR="00AF731D" w:rsidRDefault="00AF731D" w:rsidP="00FE2058">
      <w:r w:rsidRPr="00AF731D">
        <w:t>work of equal value.</w:t>
      </w:r>
    </w:p>
    <w:p w:rsidR="00090AC9" w:rsidRPr="00AF731D" w:rsidRDefault="00090AC9" w:rsidP="00FE2058"/>
    <w:p w:rsidR="00AF731D" w:rsidRDefault="00AF731D" w:rsidP="00FE2058">
      <w:r w:rsidRPr="00AF731D">
        <w:t xml:space="preserve">We are committed to equal opportunities and equal treatment for all employees, regardless of sex, race, religion or belief, age, marriage or civil partnership, pregnancy/maternity, sexual orientation, gender reassignment or disability. We have a clear policy of paying employees equally for the same or equivalent work, regardless of their sex (or anything else listed above). </w:t>
      </w:r>
    </w:p>
    <w:p w:rsidR="00090AC9" w:rsidRPr="00AF731D" w:rsidRDefault="00090AC9" w:rsidP="00FE2058"/>
    <w:p w:rsidR="00AF731D" w:rsidRPr="00AF731D" w:rsidRDefault="00AF731D" w:rsidP="00090AC9">
      <w:r w:rsidRPr="00AF731D">
        <w:t>We:</w:t>
      </w:r>
    </w:p>
    <w:p w:rsidR="00AF731D" w:rsidRPr="00AF731D" w:rsidRDefault="00AF731D" w:rsidP="00090AC9">
      <w:pPr>
        <w:pStyle w:val="ListParagraph"/>
        <w:numPr>
          <w:ilvl w:val="0"/>
          <w:numId w:val="35"/>
        </w:numPr>
      </w:pPr>
      <w:r w:rsidRPr="00AF731D">
        <w:t>carry out regular pay and benefits audits;</w:t>
      </w:r>
    </w:p>
    <w:p w:rsidR="00AF731D" w:rsidRPr="00AF731D" w:rsidRDefault="00AF731D" w:rsidP="00090AC9">
      <w:pPr>
        <w:pStyle w:val="ListParagraph"/>
        <w:numPr>
          <w:ilvl w:val="0"/>
          <w:numId w:val="35"/>
        </w:numPr>
      </w:pPr>
      <w:r w:rsidRPr="00AF731D">
        <w:t>provide regular equal pay training for all managers and staff members who are involved in pay reviews; and</w:t>
      </w:r>
    </w:p>
    <w:p w:rsidR="00AF731D" w:rsidRPr="00AF731D" w:rsidRDefault="00AF731D" w:rsidP="00090AC9">
      <w:pPr>
        <w:pStyle w:val="ListParagraph"/>
        <w:numPr>
          <w:ilvl w:val="0"/>
          <w:numId w:val="35"/>
        </w:numPr>
      </w:pPr>
      <w:r w:rsidRPr="00AF731D">
        <w:t>evaluate job roles and pay grades to ensure fairness.</w:t>
      </w:r>
    </w:p>
    <w:p w:rsidR="00AF731D" w:rsidRPr="00AF731D" w:rsidRDefault="00AF731D" w:rsidP="00FE2058"/>
    <w:p w:rsidR="00AF731D" w:rsidRDefault="00AF731D" w:rsidP="00FE2058">
      <w:r w:rsidRPr="00AF731D">
        <w:t>We are confident that our gender pay gap is not because we pay men and women differently for the same or equivalent work. Instead, our gender pay gap is because men and women work in different roles and those roles have different salaries.</w:t>
      </w:r>
    </w:p>
    <w:p w:rsidR="00090AC9" w:rsidRPr="00AF731D" w:rsidRDefault="00090AC9" w:rsidP="00FE2058"/>
    <w:p w:rsidR="00AF731D" w:rsidRDefault="00AF731D" w:rsidP="00FE2058">
      <w:r w:rsidRPr="00AF731D">
        <w:t>Across the UK economy, men are more likely than women to be in senior roles (especially very senior roles at the top of organisations). Women are more likely than men to be in front-line roles at the lower end of the organisation. Men are more likely to be in technical and IT-related roles, which are paid more highly than other roles at similar levels of seniority. Women are also more likely than men to have had breaks from work that have affected their career progression, for example to bring up children. They are also more likely to work part time, and many of the jobs that are available across the UK on a part-time basis are relatively low paid.</w:t>
      </w:r>
    </w:p>
    <w:p w:rsidR="00090AC9" w:rsidRPr="00AF731D" w:rsidRDefault="00090AC9" w:rsidP="00FE2058"/>
    <w:p w:rsidR="00AF731D" w:rsidRDefault="00AF731D" w:rsidP="00FE2058">
      <w:r w:rsidRPr="00AF731D">
        <w:t xml:space="preserve">This pattern from the UK economy as a whole is reflected in the make-up of our organisation. </w:t>
      </w:r>
    </w:p>
    <w:p w:rsidR="00090AC9" w:rsidRPr="00AF731D" w:rsidRDefault="00090AC9" w:rsidP="00FE2058"/>
    <w:p w:rsidR="00AF731D" w:rsidRPr="00AF731D" w:rsidRDefault="00AF731D" w:rsidP="00FE2058">
      <w:r w:rsidRPr="00AF731D">
        <w:t xml:space="preserve">The table above shows our workforce divided into four equal-sized groups based on hourly pay rate. Band A includes the lowest-paid 25% of employees (the lower quartile) and band D covers the highest-paid 25% (the upper quartile). If we had no gender pay gap, there would be an equal ratio of men to women in each band. However, instead, </w:t>
      </w:r>
      <w:r w:rsidR="00F86110" w:rsidRPr="00F86110">
        <w:rPr>
          <w:b/>
        </w:rPr>
        <w:t>81.25% (84.10%)</w:t>
      </w:r>
      <w:r w:rsidR="00F86110" w:rsidRPr="00AF731D">
        <w:t xml:space="preserve"> of</w:t>
      </w:r>
      <w:r w:rsidRPr="00AF731D">
        <w:t xml:space="preserve"> the employees in band A are women and </w:t>
      </w:r>
      <w:r w:rsidR="00F86110" w:rsidRPr="00F86110">
        <w:rPr>
          <w:b/>
        </w:rPr>
        <w:t>15.75% (15.90%)</w:t>
      </w:r>
      <w:r w:rsidR="00F86110">
        <w:rPr>
          <w:b/>
        </w:rPr>
        <w:t xml:space="preserve"> </w:t>
      </w:r>
      <w:r w:rsidRPr="00AF731D">
        <w:t xml:space="preserve">men. The percentage of male employees in band D is </w:t>
      </w:r>
      <w:r w:rsidR="00F86110" w:rsidRPr="00F86110">
        <w:rPr>
          <w:b/>
        </w:rPr>
        <w:t>40.48% (39.80%)</w:t>
      </w:r>
    </w:p>
    <w:p w:rsidR="00AF731D" w:rsidRPr="00AF731D" w:rsidRDefault="00AF731D" w:rsidP="00FE2058"/>
    <w:p w:rsidR="00AF731D" w:rsidRDefault="00AF731D" w:rsidP="00090AC9">
      <w:pPr>
        <w:pStyle w:val="Heading1"/>
      </w:pPr>
      <w:r w:rsidRPr="00AF731D">
        <w:lastRenderedPageBreak/>
        <w:t>How does our gender pay gap compare with that of others?</w:t>
      </w:r>
    </w:p>
    <w:p w:rsidR="003A0CAB" w:rsidRPr="003A0CAB" w:rsidRDefault="003A0CAB" w:rsidP="003A0CAB"/>
    <w:p w:rsidR="00AF731D" w:rsidRPr="00AF731D" w:rsidRDefault="00AF731D" w:rsidP="00FE2058">
      <w:r w:rsidRPr="00AF731D">
        <w:t>Most organisations have a gender pay gap, and we are pleased to say that ours is very similar or better than others, including those within the NHS.</w:t>
      </w:r>
    </w:p>
    <w:p w:rsidR="00AF731D" w:rsidRDefault="00AF731D" w:rsidP="00FE2058">
      <w:r w:rsidRPr="00AF731D">
        <w:t>The mean gender pay gap for the whole economy for all NHS Hospitals over the last three years is shown in the table below.</w:t>
      </w:r>
    </w:p>
    <w:p w:rsidR="003A0CAB" w:rsidRPr="00AF731D" w:rsidRDefault="003A0CAB" w:rsidP="00FE2058"/>
    <w:p w:rsidR="00AF731D" w:rsidRDefault="00AF731D" w:rsidP="00090AC9">
      <w:pPr>
        <w:pStyle w:val="Heading1"/>
      </w:pPr>
      <w:r w:rsidRPr="00AF731D">
        <w:t>Table 2: Comparison with other organisations</w:t>
      </w:r>
    </w:p>
    <w:p w:rsidR="003A0CAB" w:rsidRPr="003A0CAB" w:rsidRDefault="003A0CAB" w:rsidP="003A0CAB"/>
    <w:tbl>
      <w:tblPr>
        <w:tblStyle w:val="TableGrid1"/>
        <w:tblW w:w="9209" w:type="dxa"/>
        <w:tblLook w:val="06A0" w:firstRow="1" w:lastRow="0" w:firstColumn="1" w:lastColumn="0" w:noHBand="1" w:noVBand="1"/>
      </w:tblPr>
      <w:tblGrid>
        <w:gridCol w:w="3611"/>
        <w:gridCol w:w="1084"/>
        <w:gridCol w:w="1084"/>
        <w:gridCol w:w="1084"/>
        <w:gridCol w:w="1084"/>
        <w:gridCol w:w="1262"/>
      </w:tblGrid>
      <w:tr w:rsidR="003A0CAB" w:rsidRPr="003A0CAB" w:rsidTr="003A0CAB">
        <w:trPr>
          <w:trHeight w:val="422"/>
        </w:trPr>
        <w:tc>
          <w:tcPr>
            <w:tcW w:w="3611" w:type="dxa"/>
            <w:noWrap/>
            <w:vAlign w:val="center"/>
            <w:hideMark/>
          </w:tcPr>
          <w:p w:rsidR="007800B2" w:rsidRPr="003A0CAB" w:rsidRDefault="007800B2" w:rsidP="003A0CAB">
            <w:r w:rsidRPr="003A0CAB">
              <w:t>Mean Gender Pay Gap</w:t>
            </w:r>
          </w:p>
        </w:tc>
        <w:tc>
          <w:tcPr>
            <w:tcW w:w="1081" w:type="dxa"/>
            <w:noWrap/>
            <w:vAlign w:val="center"/>
            <w:hideMark/>
          </w:tcPr>
          <w:p w:rsidR="007800B2" w:rsidRPr="003A0CAB" w:rsidRDefault="007800B2" w:rsidP="003A0CAB">
            <w:r w:rsidRPr="003A0CAB">
              <w:t>2017/18</w:t>
            </w:r>
          </w:p>
        </w:tc>
        <w:tc>
          <w:tcPr>
            <w:tcW w:w="1081" w:type="dxa"/>
            <w:noWrap/>
            <w:vAlign w:val="center"/>
            <w:hideMark/>
          </w:tcPr>
          <w:p w:rsidR="007800B2" w:rsidRPr="003A0CAB" w:rsidRDefault="007800B2" w:rsidP="003A0CAB">
            <w:r w:rsidRPr="003A0CAB">
              <w:t>2018/19</w:t>
            </w:r>
          </w:p>
        </w:tc>
        <w:tc>
          <w:tcPr>
            <w:tcW w:w="1081" w:type="dxa"/>
            <w:noWrap/>
            <w:vAlign w:val="center"/>
            <w:hideMark/>
          </w:tcPr>
          <w:p w:rsidR="007800B2" w:rsidRPr="003A0CAB" w:rsidRDefault="007800B2" w:rsidP="003A0CAB">
            <w:r w:rsidRPr="003A0CAB">
              <w:t>2019/20</w:t>
            </w:r>
          </w:p>
        </w:tc>
        <w:tc>
          <w:tcPr>
            <w:tcW w:w="1081" w:type="dxa"/>
            <w:noWrap/>
            <w:vAlign w:val="center"/>
            <w:hideMark/>
          </w:tcPr>
          <w:p w:rsidR="007800B2" w:rsidRPr="003A0CAB" w:rsidRDefault="007800B2" w:rsidP="003A0CAB">
            <w:r w:rsidRPr="003A0CAB">
              <w:t>2020/21</w:t>
            </w:r>
          </w:p>
        </w:tc>
        <w:tc>
          <w:tcPr>
            <w:tcW w:w="1274" w:type="dxa"/>
            <w:vAlign w:val="center"/>
          </w:tcPr>
          <w:p w:rsidR="007800B2" w:rsidRPr="003A0CAB" w:rsidRDefault="007800B2" w:rsidP="003A0CAB">
            <w:r w:rsidRPr="003A0CAB">
              <w:t>2021/22</w:t>
            </w:r>
          </w:p>
        </w:tc>
      </w:tr>
      <w:tr w:rsidR="003A0CAB" w:rsidRPr="003A0CAB" w:rsidTr="003A0CAB">
        <w:trPr>
          <w:trHeight w:val="300"/>
        </w:trPr>
        <w:tc>
          <w:tcPr>
            <w:tcW w:w="3611" w:type="dxa"/>
            <w:noWrap/>
            <w:vAlign w:val="center"/>
            <w:hideMark/>
          </w:tcPr>
          <w:p w:rsidR="007800B2" w:rsidRPr="003A0CAB" w:rsidRDefault="007800B2" w:rsidP="003A0CAB">
            <w:r w:rsidRPr="003A0CAB">
              <w:t>EKHUFT</w:t>
            </w:r>
          </w:p>
        </w:tc>
        <w:tc>
          <w:tcPr>
            <w:tcW w:w="1081" w:type="dxa"/>
            <w:noWrap/>
            <w:vAlign w:val="center"/>
            <w:hideMark/>
          </w:tcPr>
          <w:p w:rsidR="007800B2" w:rsidRPr="003A0CAB" w:rsidRDefault="007800B2" w:rsidP="003A0CAB">
            <w:r w:rsidRPr="003A0CAB">
              <w:t>30.90</w:t>
            </w:r>
          </w:p>
        </w:tc>
        <w:tc>
          <w:tcPr>
            <w:tcW w:w="1081" w:type="dxa"/>
            <w:noWrap/>
            <w:vAlign w:val="center"/>
            <w:hideMark/>
          </w:tcPr>
          <w:p w:rsidR="007800B2" w:rsidRPr="003A0CAB" w:rsidRDefault="007800B2" w:rsidP="003A0CAB">
            <w:r w:rsidRPr="003A0CAB">
              <w:t>31.40</w:t>
            </w:r>
          </w:p>
        </w:tc>
        <w:tc>
          <w:tcPr>
            <w:tcW w:w="1081" w:type="dxa"/>
            <w:noWrap/>
            <w:vAlign w:val="center"/>
            <w:hideMark/>
          </w:tcPr>
          <w:p w:rsidR="007800B2" w:rsidRPr="003A0CAB" w:rsidRDefault="007800B2" w:rsidP="003A0CAB">
            <w:r w:rsidRPr="003A0CAB">
              <w:t>33.00</w:t>
            </w:r>
          </w:p>
        </w:tc>
        <w:tc>
          <w:tcPr>
            <w:tcW w:w="1081" w:type="dxa"/>
            <w:noWrap/>
            <w:vAlign w:val="center"/>
            <w:hideMark/>
          </w:tcPr>
          <w:p w:rsidR="007800B2" w:rsidRPr="003A0CAB" w:rsidRDefault="007800B2" w:rsidP="003A0CAB">
            <w:r w:rsidRPr="003A0CAB">
              <w:t>32.73</w:t>
            </w:r>
          </w:p>
        </w:tc>
        <w:tc>
          <w:tcPr>
            <w:tcW w:w="1274" w:type="dxa"/>
            <w:vAlign w:val="center"/>
          </w:tcPr>
          <w:p w:rsidR="007800B2" w:rsidRPr="003A0CAB" w:rsidRDefault="007800B2" w:rsidP="003A0CAB">
            <w:r w:rsidRPr="003A0CAB">
              <w:t>33.7</w:t>
            </w:r>
          </w:p>
        </w:tc>
      </w:tr>
      <w:tr w:rsidR="003A0CAB" w:rsidRPr="003A0CAB" w:rsidTr="003A0CAB">
        <w:trPr>
          <w:trHeight w:val="300"/>
        </w:trPr>
        <w:tc>
          <w:tcPr>
            <w:tcW w:w="3611" w:type="dxa"/>
            <w:noWrap/>
            <w:vAlign w:val="center"/>
            <w:hideMark/>
          </w:tcPr>
          <w:p w:rsidR="007800B2" w:rsidRPr="003A0CAB" w:rsidRDefault="007800B2" w:rsidP="003A0CAB">
            <w:r w:rsidRPr="003A0CAB">
              <w:t>Average of all NHS Hospitals</w:t>
            </w:r>
          </w:p>
        </w:tc>
        <w:tc>
          <w:tcPr>
            <w:tcW w:w="1081" w:type="dxa"/>
            <w:noWrap/>
            <w:vAlign w:val="center"/>
            <w:hideMark/>
          </w:tcPr>
          <w:p w:rsidR="007800B2" w:rsidRPr="003A0CAB" w:rsidRDefault="007800B2" w:rsidP="003A0CAB">
            <w:r w:rsidRPr="003A0CAB">
              <w:t>26.39</w:t>
            </w:r>
          </w:p>
        </w:tc>
        <w:tc>
          <w:tcPr>
            <w:tcW w:w="1081" w:type="dxa"/>
            <w:noWrap/>
            <w:vAlign w:val="center"/>
            <w:hideMark/>
          </w:tcPr>
          <w:p w:rsidR="007800B2" w:rsidRPr="003A0CAB" w:rsidRDefault="007800B2" w:rsidP="003A0CAB">
            <w:r w:rsidRPr="003A0CAB">
              <w:t>27.51</w:t>
            </w:r>
          </w:p>
        </w:tc>
        <w:tc>
          <w:tcPr>
            <w:tcW w:w="1081" w:type="dxa"/>
            <w:noWrap/>
            <w:vAlign w:val="center"/>
            <w:hideMark/>
          </w:tcPr>
          <w:p w:rsidR="007800B2" w:rsidRPr="003A0CAB" w:rsidRDefault="007800B2" w:rsidP="003A0CAB">
            <w:r w:rsidRPr="003A0CAB">
              <w:t>26.91</w:t>
            </w:r>
          </w:p>
        </w:tc>
        <w:tc>
          <w:tcPr>
            <w:tcW w:w="1081" w:type="dxa"/>
            <w:noWrap/>
            <w:vAlign w:val="center"/>
            <w:hideMark/>
          </w:tcPr>
          <w:p w:rsidR="007800B2" w:rsidRPr="003A0CAB" w:rsidRDefault="007800B2" w:rsidP="003A0CAB">
            <w:r w:rsidRPr="003A0CAB">
              <w:t>26.5</w:t>
            </w:r>
          </w:p>
        </w:tc>
        <w:tc>
          <w:tcPr>
            <w:tcW w:w="1274" w:type="dxa"/>
            <w:vAlign w:val="center"/>
          </w:tcPr>
          <w:p w:rsidR="007800B2" w:rsidRPr="003A0CAB" w:rsidRDefault="007800B2" w:rsidP="003A0CAB">
            <w:r w:rsidRPr="003A0CAB">
              <w:t>N/K</w:t>
            </w:r>
          </w:p>
        </w:tc>
      </w:tr>
    </w:tbl>
    <w:p w:rsidR="003A0CAB" w:rsidRPr="003A0CAB" w:rsidRDefault="003A0CAB" w:rsidP="003A0CAB"/>
    <w:tbl>
      <w:tblPr>
        <w:tblStyle w:val="TableGrid1"/>
        <w:tblW w:w="9209" w:type="dxa"/>
        <w:tblLook w:val="06A0" w:firstRow="1" w:lastRow="0" w:firstColumn="1" w:lastColumn="0" w:noHBand="1" w:noVBand="1"/>
      </w:tblPr>
      <w:tblGrid>
        <w:gridCol w:w="3611"/>
        <w:gridCol w:w="1084"/>
        <w:gridCol w:w="1084"/>
        <w:gridCol w:w="1084"/>
        <w:gridCol w:w="1084"/>
        <w:gridCol w:w="1262"/>
      </w:tblGrid>
      <w:tr w:rsidR="003A0CAB" w:rsidRPr="003A0CAB" w:rsidTr="00F300E8">
        <w:trPr>
          <w:trHeight w:val="300"/>
        </w:trPr>
        <w:tc>
          <w:tcPr>
            <w:tcW w:w="3611" w:type="dxa"/>
            <w:noWrap/>
            <w:hideMark/>
          </w:tcPr>
          <w:p w:rsidR="003A0CAB" w:rsidRPr="003A0CAB" w:rsidRDefault="003A0CAB" w:rsidP="003A0CAB">
            <w:r w:rsidRPr="003A0CAB">
              <w:t>Median Gender Pay Gap</w:t>
            </w:r>
          </w:p>
        </w:tc>
        <w:tc>
          <w:tcPr>
            <w:tcW w:w="1081" w:type="dxa"/>
            <w:noWrap/>
            <w:vAlign w:val="center"/>
            <w:hideMark/>
          </w:tcPr>
          <w:p w:rsidR="003A0CAB" w:rsidRPr="003A0CAB" w:rsidRDefault="003A0CAB" w:rsidP="003A0CAB">
            <w:r w:rsidRPr="003A0CAB">
              <w:t>2017/18</w:t>
            </w:r>
          </w:p>
        </w:tc>
        <w:tc>
          <w:tcPr>
            <w:tcW w:w="1081" w:type="dxa"/>
            <w:noWrap/>
            <w:vAlign w:val="center"/>
            <w:hideMark/>
          </w:tcPr>
          <w:p w:rsidR="003A0CAB" w:rsidRPr="003A0CAB" w:rsidRDefault="003A0CAB" w:rsidP="003A0CAB">
            <w:r w:rsidRPr="003A0CAB">
              <w:t>2018/19</w:t>
            </w:r>
          </w:p>
        </w:tc>
        <w:tc>
          <w:tcPr>
            <w:tcW w:w="1081" w:type="dxa"/>
            <w:noWrap/>
            <w:vAlign w:val="center"/>
            <w:hideMark/>
          </w:tcPr>
          <w:p w:rsidR="003A0CAB" w:rsidRPr="003A0CAB" w:rsidRDefault="003A0CAB" w:rsidP="003A0CAB">
            <w:r w:rsidRPr="003A0CAB">
              <w:t>2019/20</w:t>
            </w:r>
          </w:p>
        </w:tc>
        <w:tc>
          <w:tcPr>
            <w:tcW w:w="1081" w:type="dxa"/>
            <w:noWrap/>
            <w:vAlign w:val="center"/>
            <w:hideMark/>
          </w:tcPr>
          <w:p w:rsidR="003A0CAB" w:rsidRPr="003A0CAB" w:rsidRDefault="003A0CAB" w:rsidP="003A0CAB">
            <w:r w:rsidRPr="003A0CAB">
              <w:t>2020/21</w:t>
            </w:r>
          </w:p>
        </w:tc>
        <w:tc>
          <w:tcPr>
            <w:tcW w:w="1274" w:type="dxa"/>
            <w:vAlign w:val="center"/>
          </w:tcPr>
          <w:p w:rsidR="003A0CAB" w:rsidRPr="003A0CAB" w:rsidRDefault="003A0CAB" w:rsidP="003A0CAB">
            <w:r w:rsidRPr="003A0CAB">
              <w:t>2021/22</w:t>
            </w:r>
          </w:p>
        </w:tc>
      </w:tr>
      <w:tr w:rsidR="003A0CAB" w:rsidRPr="003A0CAB" w:rsidTr="003A0CAB">
        <w:trPr>
          <w:trHeight w:val="300"/>
        </w:trPr>
        <w:tc>
          <w:tcPr>
            <w:tcW w:w="3611" w:type="dxa"/>
            <w:noWrap/>
            <w:hideMark/>
          </w:tcPr>
          <w:p w:rsidR="003A0CAB" w:rsidRPr="003A0CAB" w:rsidRDefault="003A0CAB" w:rsidP="003A0CAB">
            <w:r w:rsidRPr="003A0CAB">
              <w:t>EKHUFT</w:t>
            </w:r>
          </w:p>
        </w:tc>
        <w:tc>
          <w:tcPr>
            <w:tcW w:w="1081" w:type="dxa"/>
            <w:noWrap/>
            <w:hideMark/>
          </w:tcPr>
          <w:p w:rsidR="003A0CAB" w:rsidRPr="003A0CAB" w:rsidRDefault="003A0CAB" w:rsidP="003A0CAB">
            <w:r w:rsidRPr="003A0CAB">
              <w:t>17.70</w:t>
            </w:r>
          </w:p>
        </w:tc>
        <w:tc>
          <w:tcPr>
            <w:tcW w:w="1081" w:type="dxa"/>
            <w:noWrap/>
            <w:hideMark/>
          </w:tcPr>
          <w:p w:rsidR="003A0CAB" w:rsidRPr="003A0CAB" w:rsidRDefault="003A0CAB" w:rsidP="003A0CAB">
            <w:r w:rsidRPr="003A0CAB">
              <w:t>18.70</w:t>
            </w:r>
          </w:p>
        </w:tc>
        <w:tc>
          <w:tcPr>
            <w:tcW w:w="1081" w:type="dxa"/>
            <w:noWrap/>
            <w:hideMark/>
          </w:tcPr>
          <w:p w:rsidR="003A0CAB" w:rsidRPr="003A0CAB" w:rsidRDefault="003A0CAB" w:rsidP="003A0CAB">
            <w:r w:rsidRPr="003A0CAB">
              <w:t>24.60</w:t>
            </w:r>
          </w:p>
        </w:tc>
        <w:tc>
          <w:tcPr>
            <w:tcW w:w="1081" w:type="dxa"/>
            <w:noWrap/>
            <w:hideMark/>
          </w:tcPr>
          <w:p w:rsidR="003A0CAB" w:rsidRPr="003A0CAB" w:rsidRDefault="003A0CAB" w:rsidP="003A0CAB">
            <w:r w:rsidRPr="003A0CAB">
              <w:t>25.41</w:t>
            </w:r>
          </w:p>
        </w:tc>
        <w:tc>
          <w:tcPr>
            <w:tcW w:w="1274" w:type="dxa"/>
          </w:tcPr>
          <w:p w:rsidR="003A0CAB" w:rsidRPr="003A0CAB" w:rsidRDefault="003A0CAB" w:rsidP="003A0CAB">
            <w:r w:rsidRPr="003A0CAB">
              <w:t>26.3</w:t>
            </w:r>
          </w:p>
        </w:tc>
      </w:tr>
      <w:tr w:rsidR="003A0CAB" w:rsidRPr="003A0CAB" w:rsidTr="003A0CAB">
        <w:trPr>
          <w:trHeight w:val="300"/>
        </w:trPr>
        <w:tc>
          <w:tcPr>
            <w:tcW w:w="3611" w:type="dxa"/>
            <w:noWrap/>
            <w:hideMark/>
          </w:tcPr>
          <w:p w:rsidR="003A0CAB" w:rsidRPr="003A0CAB" w:rsidRDefault="003A0CAB" w:rsidP="003A0CAB">
            <w:r w:rsidRPr="003A0CAB">
              <w:t>Average of all NHS Hospitals</w:t>
            </w:r>
          </w:p>
        </w:tc>
        <w:tc>
          <w:tcPr>
            <w:tcW w:w="1081" w:type="dxa"/>
            <w:noWrap/>
            <w:hideMark/>
          </w:tcPr>
          <w:p w:rsidR="003A0CAB" w:rsidRPr="003A0CAB" w:rsidRDefault="003A0CAB" w:rsidP="003A0CAB">
            <w:r w:rsidRPr="003A0CAB">
              <w:t>11.52</w:t>
            </w:r>
          </w:p>
        </w:tc>
        <w:tc>
          <w:tcPr>
            <w:tcW w:w="1081" w:type="dxa"/>
            <w:noWrap/>
            <w:hideMark/>
          </w:tcPr>
          <w:p w:rsidR="003A0CAB" w:rsidRPr="003A0CAB" w:rsidRDefault="003A0CAB" w:rsidP="003A0CAB">
            <w:r w:rsidRPr="003A0CAB">
              <w:t>12.55</w:t>
            </w:r>
          </w:p>
        </w:tc>
        <w:tc>
          <w:tcPr>
            <w:tcW w:w="1081" w:type="dxa"/>
            <w:noWrap/>
            <w:hideMark/>
          </w:tcPr>
          <w:p w:rsidR="003A0CAB" w:rsidRPr="003A0CAB" w:rsidRDefault="003A0CAB" w:rsidP="003A0CAB">
            <w:r w:rsidRPr="003A0CAB">
              <w:t>12.81</w:t>
            </w:r>
          </w:p>
        </w:tc>
        <w:tc>
          <w:tcPr>
            <w:tcW w:w="1081" w:type="dxa"/>
            <w:noWrap/>
            <w:hideMark/>
          </w:tcPr>
          <w:p w:rsidR="003A0CAB" w:rsidRPr="003A0CAB" w:rsidRDefault="003A0CAB" w:rsidP="003A0CAB">
            <w:r w:rsidRPr="003A0CAB">
              <w:t>11.6</w:t>
            </w:r>
          </w:p>
        </w:tc>
        <w:tc>
          <w:tcPr>
            <w:tcW w:w="1274" w:type="dxa"/>
          </w:tcPr>
          <w:p w:rsidR="003A0CAB" w:rsidRPr="003A0CAB" w:rsidRDefault="003A0CAB" w:rsidP="003A0CAB">
            <w:r w:rsidRPr="003A0CAB">
              <w:t>N/K</w:t>
            </w:r>
          </w:p>
        </w:tc>
      </w:tr>
    </w:tbl>
    <w:p w:rsidR="00AF731D" w:rsidRDefault="00AF731D" w:rsidP="00FE2058"/>
    <w:tbl>
      <w:tblPr>
        <w:tblStyle w:val="TableGrid1"/>
        <w:tblW w:w="9209" w:type="dxa"/>
        <w:tblLook w:val="06A0" w:firstRow="1" w:lastRow="0" w:firstColumn="1" w:lastColumn="0" w:noHBand="1" w:noVBand="1"/>
      </w:tblPr>
      <w:tblGrid>
        <w:gridCol w:w="3611"/>
        <w:gridCol w:w="1084"/>
        <w:gridCol w:w="1084"/>
        <w:gridCol w:w="1084"/>
        <w:gridCol w:w="1084"/>
        <w:gridCol w:w="1262"/>
      </w:tblGrid>
      <w:tr w:rsidR="003A0CAB" w:rsidRPr="003A0CAB" w:rsidTr="001413D9">
        <w:trPr>
          <w:trHeight w:val="300"/>
        </w:trPr>
        <w:tc>
          <w:tcPr>
            <w:tcW w:w="3611" w:type="dxa"/>
            <w:noWrap/>
            <w:hideMark/>
          </w:tcPr>
          <w:p w:rsidR="003A0CAB" w:rsidRPr="003A0CAB" w:rsidRDefault="003A0CAB" w:rsidP="003A0CAB">
            <w:r w:rsidRPr="003A0CAB">
              <w:t>Mean Bonus Pay Gap</w:t>
            </w:r>
          </w:p>
        </w:tc>
        <w:tc>
          <w:tcPr>
            <w:tcW w:w="1081" w:type="dxa"/>
            <w:noWrap/>
            <w:vAlign w:val="center"/>
            <w:hideMark/>
          </w:tcPr>
          <w:p w:rsidR="003A0CAB" w:rsidRPr="003A0CAB" w:rsidRDefault="003A0CAB" w:rsidP="003A0CAB">
            <w:r w:rsidRPr="003A0CAB">
              <w:t>2017/18</w:t>
            </w:r>
          </w:p>
        </w:tc>
        <w:tc>
          <w:tcPr>
            <w:tcW w:w="1081" w:type="dxa"/>
            <w:noWrap/>
            <w:vAlign w:val="center"/>
            <w:hideMark/>
          </w:tcPr>
          <w:p w:rsidR="003A0CAB" w:rsidRPr="003A0CAB" w:rsidRDefault="003A0CAB" w:rsidP="003A0CAB">
            <w:r w:rsidRPr="003A0CAB">
              <w:t>2018/19</w:t>
            </w:r>
          </w:p>
        </w:tc>
        <w:tc>
          <w:tcPr>
            <w:tcW w:w="1081" w:type="dxa"/>
            <w:noWrap/>
            <w:vAlign w:val="center"/>
            <w:hideMark/>
          </w:tcPr>
          <w:p w:rsidR="003A0CAB" w:rsidRPr="003A0CAB" w:rsidRDefault="003A0CAB" w:rsidP="003A0CAB">
            <w:r w:rsidRPr="003A0CAB">
              <w:t>2019/20</w:t>
            </w:r>
          </w:p>
        </w:tc>
        <w:tc>
          <w:tcPr>
            <w:tcW w:w="1081" w:type="dxa"/>
            <w:noWrap/>
            <w:vAlign w:val="center"/>
            <w:hideMark/>
          </w:tcPr>
          <w:p w:rsidR="003A0CAB" w:rsidRPr="003A0CAB" w:rsidRDefault="003A0CAB" w:rsidP="003A0CAB">
            <w:r w:rsidRPr="003A0CAB">
              <w:t>2020/21</w:t>
            </w:r>
          </w:p>
        </w:tc>
        <w:tc>
          <w:tcPr>
            <w:tcW w:w="1274" w:type="dxa"/>
            <w:vAlign w:val="center"/>
          </w:tcPr>
          <w:p w:rsidR="003A0CAB" w:rsidRPr="003A0CAB" w:rsidRDefault="003A0CAB" w:rsidP="003A0CAB">
            <w:r w:rsidRPr="003A0CAB">
              <w:t>2021/22</w:t>
            </w:r>
          </w:p>
        </w:tc>
      </w:tr>
      <w:tr w:rsidR="003A0CAB" w:rsidRPr="003A0CAB" w:rsidTr="003A0CAB">
        <w:trPr>
          <w:trHeight w:val="300"/>
        </w:trPr>
        <w:tc>
          <w:tcPr>
            <w:tcW w:w="3611" w:type="dxa"/>
            <w:noWrap/>
            <w:hideMark/>
          </w:tcPr>
          <w:p w:rsidR="007800B2" w:rsidRPr="003A0CAB" w:rsidRDefault="007800B2" w:rsidP="003A0CAB">
            <w:r w:rsidRPr="003A0CAB">
              <w:t>EKHUFT</w:t>
            </w:r>
          </w:p>
        </w:tc>
        <w:tc>
          <w:tcPr>
            <w:tcW w:w="1081" w:type="dxa"/>
            <w:noWrap/>
            <w:hideMark/>
          </w:tcPr>
          <w:p w:rsidR="007800B2" w:rsidRPr="003A0CAB" w:rsidRDefault="007800B2" w:rsidP="003A0CAB">
            <w:r w:rsidRPr="003A0CAB">
              <w:t>25.80</w:t>
            </w:r>
          </w:p>
        </w:tc>
        <w:tc>
          <w:tcPr>
            <w:tcW w:w="1081" w:type="dxa"/>
            <w:noWrap/>
            <w:hideMark/>
          </w:tcPr>
          <w:p w:rsidR="007800B2" w:rsidRPr="003A0CAB" w:rsidRDefault="007800B2" w:rsidP="003A0CAB">
            <w:r w:rsidRPr="003A0CAB">
              <w:t>20.60</w:t>
            </w:r>
          </w:p>
        </w:tc>
        <w:tc>
          <w:tcPr>
            <w:tcW w:w="1081" w:type="dxa"/>
            <w:noWrap/>
            <w:hideMark/>
          </w:tcPr>
          <w:p w:rsidR="007800B2" w:rsidRPr="003A0CAB" w:rsidRDefault="007800B2" w:rsidP="003A0CAB">
            <w:r w:rsidRPr="003A0CAB">
              <w:t>35.20</w:t>
            </w:r>
          </w:p>
        </w:tc>
        <w:tc>
          <w:tcPr>
            <w:tcW w:w="1081" w:type="dxa"/>
            <w:noWrap/>
            <w:hideMark/>
          </w:tcPr>
          <w:p w:rsidR="007800B2" w:rsidRPr="003A0CAB" w:rsidRDefault="007800B2" w:rsidP="003A0CAB">
            <w:r w:rsidRPr="003A0CAB">
              <w:t>39.20</w:t>
            </w:r>
          </w:p>
        </w:tc>
        <w:tc>
          <w:tcPr>
            <w:tcW w:w="1274" w:type="dxa"/>
          </w:tcPr>
          <w:p w:rsidR="007800B2" w:rsidRPr="003A0CAB" w:rsidRDefault="007800B2" w:rsidP="003A0CAB">
            <w:r w:rsidRPr="003A0CAB">
              <w:t>32.9</w:t>
            </w:r>
          </w:p>
        </w:tc>
      </w:tr>
      <w:tr w:rsidR="003A0CAB" w:rsidRPr="003A0CAB" w:rsidTr="003A0CAB">
        <w:trPr>
          <w:trHeight w:val="300"/>
        </w:trPr>
        <w:tc>
          <w:tcPr>
            <w:tcW w:w="3611" w:type="dxa"/>
            <w:noWrap/>
            <w:hideMark/>
          </w:tcPr>
          <w:p w:rsidR="007800B2" w:rsidRPr="003A0CAB" w:rsidRDefault="007800B2" w:rsidP="003A0CAB">
            <w:r w:rsidRPr="003A0CAB">
              <w:t>Average of all NHS Hospitals</w:t>
            </w:r>
          </w:p>
        </w:tc>
        <w:tc>
          <w:tcPr>
            <w:tcW w:w="1081" w:type="dxa"/>
            <w:noWrap/>
            <w:hideMark/>
          </w:tcPr>
          <w:p w:rsidR="007800B2" w:rsidRPr="003A0CAB" w:rsidRDefault="007800B2" w:rsidP="003A0CAB">
            <w:r w:rsidRPr="003A0CAB">
              <w:t>29.92</w:t>
            </w:r>
          </w:p>
        </w:tc>
        <w:tc>
          <w:tcPr>
            <w:tcW w:w="1081" w:type="dxa"/>
            <w:noWrap/>
            <w:hideMark/>
          </w:tcPr>
          <w:p w:rsidR="007800B2" w:rsidRPr="003A0CAB" w:rsidRDefault="007800B2" w:rsidP="003A0CAB">
            <w:r w:rsidRPr="003A0CAB">
              <w:t>33.61</w:t>
            </w:r>
          </w:p>
        </w:tc>
        <w:tc>
          <w:tcPr>
            <w:tcW w:w="1081" w:type="dxa"/>
            <w:noWrap/>
            <w:hideMark/>
          </w:tcPr>
          <w:p w:rsidR="007800B2" w:rsidRPr="003A0CAB" w:rsidRDefault="007800B2" w:rsidP="003A0CAB">
            <w:r w:rsidRPr="003A0CAB">
              <w:t>35.20</w:t>
            </w:r>
          </w:p>
        </w:tc>
        <w:tc>
          <w:tcPr>
            <w:tcW w:w="1081" w:type="dxa"/>
            <w:noWrap/>
            <w:hideMark/>
          </w:tcPr>
          <w:p w:rsidR="007800B2" w:rsidRPr="003A0CAB" w:rsidRDefault="007800B2" w:rsidP="003A0CAB">
            <w:r w:rsidRPr="003A0CAB">
              <w:t>33.7</w:t>
            </w:r>
          </w:p>
        </w:tc>
        <w:tc>
          <w:tcPr>
            <w:tcW w:w="1274" w:type="dxa"/>
          </w:tcPr>
          <w:p w:rsidR="007800B2" w:rsidRPr="003A0CAB" w:rsidRDefault="007800B2" w:rsidP="003A0CAB">
            <w:r w:rsidRPr="003A0CAB">
              <w:t>N/K</w:t>
            </w:r>
          </w:p>
        </w:tc>
      </w:tr>
    </w:tbl>
    <w:p w:rsidR="003A0CAB" w:rsidRDefault="003A0CAB" w:rsidP="00FE2058"/>
    <w:tbl>
      <w:tblPr>
        <w:tblStyle w:val="TableGrid1"/>
        <w:tblW w:w="9209" w:type="dxa"/>
        <w:tblLook w:val="06A0" w:firstRow="1" w:lastRow="0" w:firstColumn="1" w:lastColumn="0" w:noHBand="1" w:noVBand="1"/>
      </w:tblPr>
      <w:tblGrid>
        <w:gridCol w:w="3611"/>
        <w:gridCol w:w="1084"/>
        <w:gridCol w:w="1084"/>
        <w:gridCol w:w="1084"/>
        <w:gridCol w:w="1084"/>
        <w:gridCol w:w="1262"/>
      </w:tblGrid>
      <w:tr w:rsidR="003A0CAB" w:rsidRPr="003A0CAB" w:rsidTr="008A4D6D">
        <w:trPr>
          <w:trHeight w:val="300"/>
        </w:trPr>
        <w:tc>
          <w:tcPr>
            <w:tcW w:w="3611" w:type="dxa"/>
            <w:noWrap/>
            <w:hideMark/>
          </w:tcPr>
          <w:p w:rsidR="003A0CAB" w:rsidRPr="003A0CAB" w:rsidRDefault="003A0CAB" w:rsidP="003A0CAB">
            <w:r w:rsidRPr="003A0CAB">
              <w:t>Median Bonus Pay Gap</w:t>
            </w:r>
          </w:p>
        </w:tc>
        <w:tc>
          <w:tcPr>
            <w:tcW w:w="1081" w:type="dxa"/>
            <w:noWrap/>
            <w:vAlign w:val="center"/>
            <w:hideMark/>
          </w:tcPr>
          <w:p w:rsidR="003A0CAB" w:rsidRPr="003A0CAB" w:rsidRDefault="003A0CAB" w:rsidP="003A0CAB">
            <w:r w:rsidRPr="003A0CAB">
              <w:t>2017/18</w:t>
            </w:r>
          </w:p>
        </w:tc>
        <w:tc>
          <w:tcPr>
            <w:tcW w:w="1081" w:type="dxa"/>
            <w:noWrap/>
            <w:vAlign w:val="center"/>
            <w:hideMark/>
          </w:tcPr>
          <w:p w:rsidR="003A0CAB" w:rsidRPr="003A0CAB" w:rsidRDefault="003A0CAB" w:rsidP="003A0CAB">
            <w:r w:rsidRPr="003A0CAB">
              <w:t>2018/19</w:t>
            </w:r>
          </w:p>
        </w:tc>
        <w:tc>
          <w:tcPr>
            <w:tcW w:w="1081" w:type="dxa"/>
            <w:noWrap/>
            <w:vAlign w:val="center"/>
            <w:hideMark/>
          </w:tcPr>
          <w:p w:rsidR="003A0CAB" w:rsidRPr="003A0CAB" w:rsidRDefault="003A0CAB" w:rsidP="003A0CAB">
            <w:r w:rsidRPr="003A0CAB">
              <w:t>2019/20</w:t>
            </w:r>
          </w:p>
        </w:tc>
        <w:tc>
          <w:tcPr>
            <w:tcW w:w="1081" w:type="dxa"/>
            <w:noWrap/>
            <w:vAlign w:val="center"/>
            <w:hideMark/>
          </w:tcPr>
          <w:p w:rsidR="003A0CAB" w:rsidRPr="003A0CAB" w:rsidRDefault="003A0CAB" w:rsidP="003A0CAB">
            <w:r w:rsidRPr="003A0CAB">
              <w:t>2020/21</w:t>
            </w:r>
          </w:p>
        </w:tc>
        <w:tc>
          <w:tcPr>
            <w:tcW w:w="1274" w:type="dxa"/>
            <w:vAlign w:val="center"/>
          </w:tcPr>
          <w:p w:rsidR="003A0CAB" w:rsidRPr="003A0CAB" w:rsidRDefault="003A0CAB" w:rsidP="003A0CAB">
            <w:r w:rsidRPr="003A0CAB">
              <w:t>2021/22</w:t>
            </w:r>
          </w:p>
        </w:tc>
      </w:tr>
      <w:tr w:rsidR="003A0CAB" w:rsidRPr="003A0CAB" w:rsidTr="003A0CAB">
        <w:trPr>
          <w:trHeight w:val="300"/>
        </w:trPr>
        <w:tc>
          <w:tcPr>
            <w:tcW w:w="3611" w:type="dxa"/>
            <w:noWrap/>
            <w:hideMark/>
          </w:tcPr>
          <w:p w:rsidR="003A0CAB" w:rsidRPr="003A0CAB" w:rsidRDefault="003A0CAB" w:rsidP="003A0CAB">
            <w:r w:rsidRPr="003A0CAB">
              <w:t>EKHUFT</w:t>
            </w:r>
          </w:p>
        </w:tc>
        <w:tc>
          <w:tcPr>
            <w:tcW w:w="1081" w:type="dxa"/>
            <w:noWrap/>
            <w:hideMark/>
          </w:tcPr>
          <w:p w:rsidR="003A0CAB" w:rsidRPr="003A0CAB" w:rsidRDefault="003A0CAB" w:rsidP="003A0CAB">
            <w:r w:rsidRPr="003A0CAB">
              <w:t>33.30</w:t>
            </w:r>
          </w:p>
        </w:tc>
        <w:tc>
          <w:tcPr>
            <w:tcW w:w="1081" w:type="dxa"/>
            <w:noWrap/>
            <w:hideMark/>
          </w:tcPr>
          <w:p w:rsidR="003A0CAB" w:rsidRPr="003A0CAB" w:rsidRDefault="003A0CAB" w:rsidP="003A0CAB">
            <w:r w:rsidRPr="003A0CAB">
              <w:t>33.30</w:t>
            </w:r>
          </w:p>
        </w:tc>
        <w:tc>
          <w:tcPr>
            <w:tcW w:w="1081" w:type="dxa"/>
            <w:noWrap/>
            <w:hideMark/>
          </w:tcPr>
          <w:p w:rsidR="003A0CAB" w:rsidRPr="003A0CAB" w:rsidRDefault="003A0CAB" w:rsidP="003A0CAB">
            <w:r w:rsidRPr="003A0CAB">
              <w:t>45.20</w:t>
            </w:r>
          </w:p>
        </w:tc>
        <w:tc>
          <w:tcPr>
            <w:tcW w:w="1081" w:type="dxa"/>
            <w:noWrap/>
            <w:hideMark/>
          </w:tcPr>
          <w:p w:rsidR="003A0CAB" w:rsidRPr="003A0CAB" w:rsidRDefault="003A0CAB" w:rsidP="003A0CAB">
            <w:r w:rsidRPr="003A0CAB">
              <w:t>50.00</w:t>
            </w:r>
          </w:p>
        </w:tc>
        <w:tc>
          <w:tcPr>
            <w:tcW w:w="1274" w:type="dxa"/>
          </w:tcPr>
          <w:p w:rsidR="003A0CAB" w:rsidRPr="003A0CAB" w:rsidRDefault="003A0CAB" w:rsidP="003A0CAB">
            <w:r w:rsidRPr="003A0CAB">
              <w:t>33.3</w:t>
            </w:r>
          </w:p>
        </w:tc>
      </w:tr>
      <w:tr w:rsidR="003A0CAB" w:rsidRPr="003A0CAB" w:rsidTr="003A0CAB">
        <w:trPr>
          <w:trHeight w:val="300"/>
        </w:trPr>
        <w:tc>
          <w:tcPr>
            <w:tcW w:w="3611" w:type="dxa"/>
            <w:noWrap/>
            <w:hideMark/>
          </w:tcPr>
          <w:p w:rsidR="003A0CAB" w:rsidRPr="003A0CAB" w:rsidRDefault="003A0CAB" w:rsidP="003A0CAB">
            <w:r w:rsidRPr="003A0CAB">
              <w:t>Average of all NHS Hospitals</w:t>
            </w:r>
          </w:p>
        </w:tc>
        <w:tc>
          <w:tcPr>
            <w:tcW w:w="1081" w:type="dxa"/>
            <w:noWrap/>
            <w:hideMark/>
          </w:tcPr>
          <w:p w:rsidR="003A0CAB" w:rsidRPr="003A0CAB" w:rsidRDefault="003A0CAB" w:rsidP="003A0CAB">
            <w:r w:rsidRPr="003A0CAB">
              <w:t>33.87</w:t>
            </w:r>
          </w:p>
        </w:tc>
        <w:tc>
          <w:tcPr>
            <w:tcW w:w="1081" w:type="dxa"/>
            <w:noWrap/>
            <w:hideMark/>
          </w:tcPr>
          <w:p w:rsidR="003A0CAB" w:rsidRPr="003A0CAB" w:rsidRDefault="003A0CAB" w:rsidP="003A0CAB">
            <w:r w:rsidRPr="003A0CAB">
              <w:t>36.23</w:t>
            </w:r>
          </w:p>
        </w:tc>
        <w:tc>
          <w:tcPr>
            <w:tcW w:w="1081" w:type="dxa"/>
            <w:noWrap/>
            <w:hideMark/>
          </w:tcPr>
          <w:p w:rsidR="003A0CAB" w:rsidRPr="003A0CAB" w:rsidRDefault="003A0CAB" w:rsidP="003A0CAB">
            <w:r w:rsidRPr="003A0CAB">
              <w:t>41.05</w:t>
            </w:r>
          </w:p>
        </w:tc>
        <w:tc>
          <w:tcPr>
            <w:tcW w:w="1081" w:type="dxa"/>
            <w:noWrap/>
            <w:hideMark/>
          </w:tcPr>
          <w:p w:rsidR="003A0CAB" w:rsidRPr="003A0CAB" w:rsidRDefault="003A0CAB" w:rsidP="003A0CAB">
            <w:r w:rsidRPr="003A0CAB">
              <w:t>36.5</w:t>
            </w:r>
          </w:p>
        </w:tc>
        <w:tc>
          <w:tcPr>
            <w:tcW w:w="1274" w:type="dxa"/>
          </w:tcPr>
          <w:p w:rsidR="003A0CAB" w:rsidRPr="003A0CAB" w:rsidRDefault="003A0CAB" w:rsidP="003A0CAB">
            <w:r w:rsidRPr="003A0CAB">
              <w:t>N/K</w:t>
            </w:r>
          </w:p>
        </w:tc>
      </w:tr>
    </w:tbl>
    <w:p w:rsidR="00AF731D" w:rsidRPr="00AF731D" w:rsidRDefault="00AF731D" w:rsidP="00FE2058"/>
    <w:p w:rsidR="00AF731D" w:rsidRDefault="007800B2" w:rsidP="00FE2058">
      <w:r>
        <w:t>The Gender Pay Gap Service removed the requirement to submit data last year in a response to COVID-19. Although there was no requirement to submit EKHUFT and 18 other hospital trusts did submit their GPG data and reports.</w:t>
      </w:r>
      <w:r w:rsidR="004901CA">
        <w:t xml:space="preserve"> 70 Trusts chose not to submit data last </w:t>
      </w:r>
      <w:r w:rsidR="00137926">
        <w:t>year.</w:t>
      </w:r>
      <w:r w:rsidR="00137926" w:rsidRPr="00AF731D">
        <w:t xml:space="preserve"> Our</w:t>
      </w:r>
      <w:r w:rsidR="00AF731D" w:rsidRPr="00AF731D">
        <w:t xml:space="preserve"> mean and median gender bonus gaps are large:</w:t>
      </w:r>
      <w:r w:rsidR="00F86110" w:rsidRPr="00F86110">
        <w:t xml:space="preserve"> 32.9% (39.20%)</w:t>
      </w:r>
      <w:r w:rsidR="00AF731D" w:rsidRPr="00AF731D">
        <w:t xml:space="preserve"> and </w:t>
      </w:r>
      <w:r w:rsidR="00F86110" w:rsidRPr="00F86110">
        <w:rPr>
          <w:b/>
        </w:rPr>
        <w:t>33.3% (50.00</w:t>
      </w:r>
      <w:r w:rsidR="00137926" w:rsidRPr="00F86110">
        <w:rPr>
          <w:b/>
        </w:rPr>
        <w:t>%)</w:t>
      </w:r>
      <w:r w:rsidR="00137926" w:rsidRPr="00AF731D">
        <w:t xml:space="preserve"> respectively</w:t>
      </w:r>
      <w:r>
        <w:t xml:space="preserve"> but have shown significant reductions in the last year</w:t>
      </w:r>
      <w:r w:rsidR="00AF731D" w:rsidRPr="00AF731D">
        <w:t xml:space="preserve">. </w:t>
      </w:r>
    </w:p>
    <w:p w:rsidR="003A0CAB" w:rsidRPr="00AF731D" w:rsidRDefault="003A0CAB" w:rsidP="00FE2058"/>
    <w:p w:rsidR="003A0CAB" w:rsidRPr="00AF731D" w:rsidRDefault="00F86110" w:rsidP="00FE2058">
      <w:r w:rsidRPr="00F86110">
        <w:rPr>
          <w:b/>
        </w:rPr>
        <w:t>4.56% (6.75%)</w:t>
      </w:r>
      <w:r>
        <w:rPr>
          <w:b/>
        </w:rPr>
        <w:t xml:space="preserve"> </w:t>
      </w:r>
      <w:r w:rsidR="00AF731D" w:rsidRPr="00AF731D">
        <w:t xml:space="preserve">of men at our organisation received a bonus in the 12 months up to 5 April 2020. For women this was </w:t>
      </w:r>
      <w:r w:rsidR="00841392" w:rsidRPr="00841392">
        <w:t>0.49% (0.56%)</w:t>
      </w:r>
      <w:r w:rsidR="00AF731D" w:rsidRPr="00AF731D">
        <w:rPr>
          <w:b/>
        </w:rPr>
        <w:t>.</w:t>
      </w:r>
      <w:r w:rsidR="00AF731D" w:rsidRPr="00AF731D">
        <w:t xml:space="preserve"> This is because there are more men in consultant roles, which are eligible for a performance bonus.</w:t>
      </w:r>
    </w:p>
    <w:p w:rsidR="00AF731D" w:rsidRDefault="00AF731D" w:rsidP="003A0CAB">
      <w:pPr>
        <w:pStyle w:val="Heading1"/>
      </w:pPr>
      <w:r w:rsidRPr="00AF731D">
        <w:lastRenderedPageBreak/>
        <w:t>What are we doing to address our gender pay gap?</w:t>
      </w:r>
    </w:p>
    <w:p w:rsidR="003A0CAB" w:rsidRPr="00AF731D" w:rsidRDefault="003A0CAB" w:rsidP="003A0CAB">
      <w:pPr>
        <w:keepNext/>
        <w:keepLines/>
      </w:pPr>
    </w:p>
    <w:p w:rsidR="00AF731D" w:rsidRDefault="00AF731D" w:rsidP="003A0CAB">
      <w:pPr>
        <w:keepNext/>
        <w:keepLines/>
      </w:pPr>
      <w:r w:rsidRPr="00AF731D">
        <w:t xml:space="preserve">We are not happy with our gender pay gap and are committed to doing everything we can to reduce the gap. However, we also know this is a difficult task. For example, we have no control over the gender make up of our current staff or the systems of pay. If we do not include consultants in our GPG calculations the mean GPG reduces from </w:t>
      </w:r>
      <w:r w:rsidRPr="00AF731D">
        <w:rPr>
          <w:b/>
        </w:rPr>
        <w:t>32.73%</w:t>
      </w:r>
      <w:r w:rsidRPr="00AF731D">
        <w:t xml:space="preserve"> to </w:t>
      </w:r>
      <w:r w:rsidR="004901CA">
        <w:t xml:space="preserve">around </w:t>
      </w:r>
      <w:r w:rsidRPr="00AF731D">
        <w:rPr>
          <w:b/>
        </w:rPr>
        <w:t xml:space="preserve">16% </w:t>
      </w:r>
      <w:r w:rsidRPr="00AF731D">
        <w:t>and the Median GPG reduces from</w:t>
      </w:r>
      <w:r w:rsidRPr="00AF731D">
        <w:rPr>
          <w:b/>
        </w:rPr>
        <w:t xml:space="preserve"> 25.41% to </w:t>
      </w:r>
      <w:r w:rsidR="004901CA">
        <w:rPr>
          <w:b/>
        </w:rPr>
        <w:t xml:space="preserve">around </w:t>
      </w:r>
      <w:r w:rsidRPr="00AF731D">
        <w:rPr>
          <w:b/>
        </w:rPr>
        <w:t xml:space="preserve">11%. </w:t>
      </w:r>
      <w:r w:rsidRPr="00AF731D">
        <w:t>The gender configuration of new doctors is far more balanced and we will strive to retain female doctors and provide a more flexible approach to working at EKHUFT to help us do that. To change the gender balance at the top of or medical workforce is a long-term goal which should address our pay gaps.</w:t>
      </w:r>
    </w:p>
    <w:p w:rsidR="003A0CAB" w:rsidRPr="00AF731D" w:rsidRDefault="003A0CAB" w:rsidP="003A0CAB">
      <w:pPr>
        <w:keepNext/>
        <w:keepLines/>
      </w:pPr>
    </w:p>
    <w:p w:rsidR="00AF731D" w:rsidRDefault="00AF731D" w:rsidP="00FE2058">
      <w:r w:rsidRPr="00AF731D">
        <w:t>For the immediate future we are unable to address the Bonus Pay Gap as we are bound to follow the guidelines of NHSEI which this year will be the same as last year and resulted in our current Bonus Pay Gap.</w:t>
      </w:r>
    </w:p>
    <w:p w:rsidR="003A0CAB" w:rsidRDefault="003A0CAB" w:rsidP="00FE2058"/>
    <w:p w:rsidR="003A0CAB" w:rsidRDefault="003A0CAB" w:rsidP="003A0CAB">
      <w:pPr>
        <w:pStyle w:val="Heading2"/>
      </w:pPr>
      <w:r w:rsidRPr="003A0CAB">
        <w:t>Recommended action</w:t>
      </w:r>
      <w:r>
        <w:t xml:space="preserve"> – enable flexible working</w:t>
      </w:r>
    </w:p>
    <w:p w:rsidR="003A0CAB" w:rsidRPr="003A0CAB" w:rsidRDefault="003A0CAB" w:rsidP="003A0CAB">
      <w:pPr>
        <w:pStyle w:val="Heading3"/>
      </w:pPr>
      <w:r w:rsidRPr="003A0CAB">
        <w:t>Action 1</w:t>
      </w:r>
    </w:p>
    <w:p w:rsidR="003A0CAB" w:rsidRDefault="00AF731D" w:rsidP="003A0CAB">
      <w:r w:rsidRPr="003A0CAB">
        <w:t>To review the Flexible Working Policy. To promote flexible working as a benefit to the Trust. To encourage staff to apply for and be granted flexible working. Current policy permits and allows flexible working but does not encourage.</w:t>
      </w:r>
    </w:p>
    <w:p w:rsidR="003A0CAB" w:rsidRDefault="003A0CAB" w:rsidP="003A0CAB"/>
    <w:p w:rsidR="003A0CAB" w:rsidRDefault="003A0CAB" w:rsidP="003A0CAB">
      <w:r>
        <w:t xml:space="preserve">Start date: </w:t>
      </w:r>
      <w:r w:rsidR="00AF731D" w:rsidRPr="003A0CAB">
        <w:t>31/</w:t>
      </w:r>
      <w:r w:rsidR="004901CA" w:rsidRPr="003A0CAB">
        <w:t>06</w:t>
      </w:r>
      <w:r w:rsidR="00AF731D" w:rsidRPr="003A0CAB">
        <w:t>/202</w:t>
      </w:r>
      <w:r w:rsidR="004901CA" w:rsidRPr="003A0CAB">
        <w:t>1</w:t>
      </w:r>
    </w:p>
    <w:p w:rsidR="003A0CAB" w:rsidRDefault="003A0CAB" w:rsidP="003A0CAB">
      <w:r>
        <w:t>Completion date:</w:t>
      </w:r>
      <w:r w:rsidRPr="003A0CAB">
        <w:t xml:space="preserve"> </w:t>
      </w:r>
      <w:r w:rsidR="00AF731D" w:rsidRPr="003A0CAB">
        <w:t>31/12/202</w:t>
      </w:r>
      <w:r w:rsidR="00137926" w:rsidRPr="003A0CAB">
        <w:t>1</w:t>
      </w:r>
    </w:p>
    <w:p w:rsidR="003A0CAB" w:rsidRDefault="003A0CAB" w:rsidP="003A0CAB">
      <w:r>
        <w:t>Lead: ER</w:t>
      </w:r>
    </w:p>
    <w:p w:rsidR="003A0CAB" w:rsidRDefault="003A0CAB" w:rsidP="003A0CAB">
      <w:r>
        <w:t xml:space="preserve">Success measure: </w:t>
      </w:r>
      <w:r w:rsidR="00AF731D" w:rsidRPr="003A0CAB">
        <w:t>The number of flexible working arrangements agreed increases for males and females, thus improving the GPG.</w:t>
      </w:r>
    </w:p>
    <w:p w:rsidR="003A0CAB" w:rsidRDefault="003A0CAB" w:rsidP="003A0CAB"/>
    <w:p w:rsidR="003A0CAB" w:rsidRPr="003A0CAB" w:rsidRDefault="003A0CAB" w:rsidP="003A0CAB">
      <w:pPr>
        <w:pStyle w:val="Heading3"/>
      </w:pPr>
      <w:r w:rsidRPr="003A0CAB">
        <w:t xml:space="preserve">Action </w:t>
      </w:r>
      <w:r>
        <w:t>2</w:t>
      </w:r>
    </w:p>
    <w:p w:rsidR="003A0CAB" w:rsidRDefault="00AF731D" w:rsidP="003A0CAB">
      <w:r w:rsidRPr="003A0CAB">
        <w:t>To work with the Communications Team to raise awareness and promote the Flexible Working policy and Shared Parental Leave entitlements.</w:t>
      </w:r>
    </w:p>
    <w:p w:rsidR="003A0CAB" w:rsidRPr="003A0CAB" w:rsidRDefault="003A0CAB" w:rsidP="003A0CAB"/>
    <w:p w:rsidR="003A0CAB" w:rsidRPr="003A0CAB" w:rsidRDefault="003A0CAB" w:rsidP="003A0CAB">
      <w:r w:rsidRPr="003A0CAB">
        <w:t>Start date: 3</w:t>
      </w:r>
      <w:r>
        <w:t>0</w:t>
      </w:r>
      <w:r w:rsidRPr="003A0CAB">
        <w:t>/06/2021</w:t>
      </w:r>
    </w:p>
    <w:p w:rsidR="003A0CAB" w:rsidRPr="003A0CAB" w:rsidRDefault="003A0CAB" w:rsidP="003A0CAB">
      <w:r w:rsidRPr="003A0CAB">
        <w:t>Completion date: 3</w:t>
      </w:r>
      <w:r>
        <w:t>0</w:t>
      </w:r>
      <w:r w:rsidRPr="003A0CAB">
        <w:t>/</w:t>
      </w:r>
      <w:r>
        <w:t>09</w:t>
      </w:r>
      <w:r w:rsidRPr="003A0CAB">
        <w:t>/2021</w:t>
      </w:r>
    </w:p>
    <w:p w:rsidR="003A0CAB" w:rsidRPr="003A0CAB" w:rsidRDefault="003A0CAB" w:rsidP="003A0CAB">
      <w:r w:rsidRPr="003A0CAB">
        <w:t>Lead: E</w:t>
      </w:r>
      <w:r>
        <w:t>DI</w:t>
      </w:r>
    </w:p>
    <w:p w:rsidR="003A0CAB" w:rsidRDefault="003A0CAB" w:rsidP="003A0CAB">
      <w:r w:rsidRPr="003A0CAB">
        <w:t>Success measure: The number of flexible working arrangements agreed increases for males and females, thus improving the GPG.</w:t>
      </w:r>
    </w:p>
    <w:p w:rsidR="003A0CAB" w:rsidRDefault="003A0CAB" w:rsidP="003A0CAB"/>
    <w:p w:rsidR="003A0CAB" w:rsidRPr="003A0CAB" w:rsidRDefault="003A0CAB" w:rsidP="003A0CAB">
      <w:pPr>
        <w:pStyle w:val="Heading3"/>
        <w:keepNext/>
        <w:keepLines/>
      </w:pPr>
      <w:r w:rsidRPr="003A0CAB">
        <w:lastRenderedPageBreak/>
        <w:t xml:space="preserve">Action </w:t>
      </w:r>
      <w:r>
        <w:t>3</w:t>
      </w:r>
    </w:p>
    <w:p w:rsidR="003A0CAB" w:rsidRDefault="00AF731D" w:rsidP="003A0CAB">
      <w:pPr>
        <w:keepNext/>
        <w:keepLines/>
      </w:pPr>
      <w:r w:rsidRPr="003A0CAB">
        <w:t>To work with managers to ensure they are aware of their responsibilities in considering flexible working arrangements.</w:t>
      </w:r>
    </w:p>
    <w:p w:rsidR="003A0CAB" w:rsidRPr="003A0CAB" w:rsidRDefault="003A0CAB" w:rsidP="003A0CAB">
      <w:pPr>
        <w:keepNext/>
        <w:keepLines/>
      </w:pPr>
    </w:p>
    <w:p w:rsidR="003A0CAB" w:rsidRPr="003A0CAB" w:rsidRDefault="003A0CAB" w:rsidP="003A0CAB">
      <w:pPr>
        <w:keepNext/>
        <w:keepLines/>
      </w:pPr>
      <w:r w:rsidRPr="003A0CAB">
        <w:t>Start date: 3</w:t>
      </w:r>
      <w:r>
        <w:t>0</w:t>
      </w:r>
      <w:r w:rsidRPr="003A0CAB">
        <w:t>/06/2021</w:t>
      </w:r>
    </w:p>
    <w:p w:rsidR="003A0CAB" w:rsidRPr="003A0CAB" w:rsidRDefault="003A0CAB" w:rsidP="003A0CAB">
      <w:pPr>
        <w:keepNext/>
        <w:keepLines/>
      </w:pPr>
      <w:r w:rsidRPr="003A0CAB">
        <w:t>Completion date: 3</w:t>
      </w:r>
      <w:r>
        <w:t>1</w:t>
      </w:r>
      <w:r w:rsidRPr="003A0CAB">
        <w:t>/</w:t>
      </w:r>
      <w:r>
        <w:t>03</w:t>
      </w:r>
      <w:r w:rsidRPr="003A0CAB">
        <w:t>/2021</w:t>
      </w:r>
    </w:p>
    <w:p w:rsidR="003A0CAB" w:rsidRPr="003A0CAB" w:rsidRDefault="003A0CAB" w:rsidP="003A0CAB">
      <w:pPr>
        <w:keepNext/>
        <w:keepLines/>
      </w:pPr>
      <w:r w:rsidRPr="003A0CAB">
        <w:t xml:space="preserve">Lead: </w:t>
      </w:r>
      <w:r>
        <w:t>Resourcing</w:t>
      </w:r>
    </w:p>
    <w:p w:rsidR="003A0CAB" w:rsidRDefault="003A0CAB" w:rsidP="003A0CAB">
      <w:pPr>
        <w:keepNext/>
        <w:keepLines/>
      </w:pPr>
      <w:r w:rsidRPr="003A0CAB">
        <w:t>Success measure: The number of flexible working arrangements agreed increases for males and females, thus improving the GPG.</w:t>
      </w:r>
    </w:p>
    <w:p w:rsidR="003A0CAB" w:rsidRDefault="003A0CAB" w:rsidP="003A0CAB">
      <w:pPr>
        <w:keepNext/>
        <w:keepLines/>
      </w:pPr>
    </w:p>
    <w:p w:rsidR="003A0CAB" w:rsidRPr="003A0CAB" w:rsidRDefault="003A0CAB" w:rsidP="00A5674B">
      <w:pPr>
        <w:pStyle w:val="Heading3"/>
      </w:pPr>
      <w:r w:rsidRPr="003A0CAB">
        <w:t xml:space="preserve">Action </w:t>
      </w:r>
      <w:r w:rsidR="00A5674B">
        <w:t>4</w:t>
      </w:r>
    </w:p>
    <w:p w:rsidR="003A0CAB" w:rsidRDefault="00AF731D" w:rsidP="003A0CAB">
      <w:pPr>
        <w:keepNext/>
        <w:keepLines/>
      </w:pPr>
      <w:r w:rsidRPr="00A5674B">
        <w:t>To work with recruiting managers to encourage them to consider flexible working options when recruiting to a vacancy. Ensuring the options are clearly highlighted on the job advert.</w:t>
      </w:r>
    </w:p>
    <w:p w:rsidR="00A5674B" w:rsidRPr="003A0CAB" w:rsidRDefault="00A5674B" w:rsidP="003A0CAB">
      <w:pPr>
        <w:keepNext/>
        <w:keepLines/>
      </w:pPr>
    </w:p>
    <w:p w:rsidR="003A0CAB" w:rsidRPr="003A0CAB" w:rsidRDefault="003A0CAB" w:rsidP="003A0CAB">
      <w:pPr>
        <w:keepNext/>
        <w:keepLines/>
      </w:pPr>
      <w:r w:rsidRPr="003A0CAB">
        <w:t>Start date: 30/06/2021</w:t>
      </w:r>
    </w:p>
    <w:p w:rsidR="003A0CAB" w:rsidRPr="003A0CAB" w:rsidRDefault="003A0CAB" w:rsidP="003A0CAB">
      <w:pPr>
        <w:keepNext/>
        <w:keepLines/>
      </w:pPr>
      <w:r w:rsidRPr="003A0CAB">
        <w:t>Completion date: 31/03/2021</w:t>
      </w:r>
    </w:p>
    <w:p w:rsidR="003A0CAB" w:rsidRPr="003A0CAB" w:rsidRDefault="003A0CAB" w:rsidP="003A0CAB">
      <w:pPr>
        <w:keepNext/>
        <w:keepLines/>
      </w:pPr>
      <w:r w:rsidRPr="003A0CAB">
        <w:t>Lead: Resourcing</w:t>
      </w:r>
    </w:p>
    <w:p w:rsidR="003A0CAB" w:rsidRPr="003A0CAB" w:rsidRDefault="003A0CAB" w:rsidP="003A0CAB">
      <w:pPr>
        <w:keepNext/>
        <w:keepLines/>
      </w:pPr>
      <w:r w:rsidRPr="003A0CAB">
        <w:t>Success measure: The number of flexible working arrangements agreed increases for males and females, thus improving the GPG.</w:t>
      </w:r>
    </w:p>
    <w:p w:rsidR="003A0CAB" w:rsidRDefault="003A0CAB" w:rsidP="003A0CAB">
      <w:pPr>
        <w:keepNext/>
        <w:keepLines/>
      </w:pPr>
    </w:p>
    <w:p w:rsidR="00A5674B" w:rsidRPr="00A5674B" w:rsidRDefault="00A5674B" w:rsidP="00A5674B">
      <w:pPr>
        <w:pStyle w:val="Heading3"/>
      </w:pPr>
      <w:r w:rsidRPr="00A5674B">
        <w:t xml:space="preserve">Action </w:t>
      </w:r>
      <w:r>
        <w:t>5</w:t>
      </w:r>
    </w:p>
    <w:p w:rsidR="00A5674B" w:rsidRDefault="00AF731D" w:rsidP="00A5674B">
      <w:pPr>
        <w:keepNext/>
        <w:keepLines/>
      </w:pPr>
      <w:r w:rsidRPr="00A5674B">
        <w:t>To incorporate flexible working options into the Recruitment and Selection Training.</w:t>
      </w:r>
    </w:p>
    <w:p w:rsidR="00A5674B" w:rsidRPr="00A5674B" w:rsidRDefault="00A5674B" w:rsidP="00A5674B">
      <w:pPr>
        <w:keepNext/>
        <w:keepLines/>
      </w:pPr>
    </w:p>
    <w:p w:rsidR="00A5674B" w:rsidRPr="00A5674B" w:rsidRDefault="00A5674B" w:rsidP="00A5674B">
      <w:pPr>
        <w:keepNext/>
        <w:keepLines/>
      </w:pPr>
      <w:r w:rsidRPr="00A5674B">
        <w:t>Start date: 30/06/2021</w:t>
      </w:r>
    </w:p>
    <w:p w:rsidR="00A5674B" w:rsidRPr="00A5674B" w:rsidRDefault="00A5674B" w:rsidP="00A5674B">
      <w:pPr>
        <w:keepNext/>
        <w:keepLines/>
      </w:pPr>
      <w:r w:rsidRPr="00A5674B">
        <w:t>Completion date: 3</w:t>
      </w:r>
      <w:r>
        <w:t>0</w:t>
      </w:r>
      <w:r w:rsidRPr="00A5674B">
        <w:t>/0</w:t>
      </w:r>
      <w:r>
        <w:t>9</w:t>
      </w:r>
      <w:r w:rsidRPr="00A5674B">
        <w:t>/2021</w:t>
      </w:r>
    </w:p>
    <w:p w:rsidR="00A5674B" w:rsidRPr="00A5674B" w:rsidRDefault="00A5674B" w:rsidP="00A5674B">
      <w:pPr>
        <w:keepNext/>
        <w:keepLines/>
      </w:pPr>
      <w:r w:rsidRPr="00A5674B">
        <w:t>Lead: Resourcing</w:t>
      </w:r>
    </w:p>
    <w:p w:rsidR="00A5674B" w:rsidRDefault="00A5674B" w:rsidP="00A5674B">
      <w:pPr>
        <w:keepNext/>
        <w:keepLines/>
      </w:pPr>
      <w:r w:rsidRPr="00A5674B">
        <w:t>Success measure</w:t>
      </w:r>
      <w:bookmarkStart w:id="4" w:name="_GoBack"/>
      <w:bookmarkEnd w:id="4"/>
      <w:r w:rsidRPr="00A5674B">
        <w:t>: The number of flexible working arrangements agreed increases for males and females, thus improving the GPG.</w:t>
      </w:r>
    </w:p>
    <w:p w:rsidR="00A5674B" w:rsidRDefault="00A5674B" w:rsidP="00A5674B">
      <w:pPr>
        <w:keepNext/>
        <w:keepLines/>
      </w:pPr>
    </w:p>
    <w:p w:rsidR="00AF731D" w:rsidRPr="00A5674B" w:rsidRDefault="00AF731D" w:rsidP="00A5674B">
      <w:pPr>
        <w:pStyle w:val="Heading2"/>
      </w:pPr>
      <w:r w:rsidRPr="00A5674B">
        <w:t xml:space="preserve">Action </w:t>
      </w:r>
      <w:r w:rsidR="00A5674B">
        <w:t>p</w:t>
      </w:r>
      <w:r w:rsidRPr="00A5674B">
        <w:t>lan</w:t>
      </w:r>
    </w:p>
    <w:p w:rsidR="00AF731D" w:rsidRPr="00A5674B" w:rsidRDefault="00AF731D" w:rsidP="00A5674B">
      <w:pPr>
        <w:keepNext/>
        <w:keepLines/>
      </w:pPr>
    </w:p>
    <w:p w:rsidR="00AF731D" w:rsidRPr="00A5674B" w:rsidRDefault="00AF731D" w:rsidP="00A5674B">
      <w:pPr>
        <w:keepNext/>
        <w:keepLines/>
      </w:pPr>
      <w:r w:rsidRPr="00A5674B">
        <w:t>I, Andrea Ashman, Director of Human Resources and Organisational Development, confirm that the information in this statement is accurate.</w:t>
      </w:r>
    </w:p>
    <w:p w:rsidR="00AF731D" w:rsidRPr="00A5674B" w:rsidRDefault="00AF731D" w:rsidP="00A5674B">
      <w:pPr>
        <w:keepNext/>
        <w:keepLines/>
      </w:pPr>
      <w:r w:rsidRPr="00A5674B">
        <w:t>Signed</w:t>
      </w:r>
    </w:p>
    <w:p w:rsidR="00AF731D" w:rsidRPr="00A5674B" w:rsidRDefault="00AF731D" w:rsidP="00A5674B">
      <w:pPr>
        <w:keepNext/>
        <w:keepLines/>
      </w:pPr>
    </w:p>
    <w:p w:rsidR="00AF731D" w:rsidRPr="00A5674B" w:rsidRDefault="00AF731D" w:rsidP="00A5674B">
      <w:pPr>
        <w:keepNext/>
        <w:keepLines/>
      </w:pPr>
      <w:r w:rsidRPr="00A5674B">
        <w:t>Date</w:t>
      </w:r>
    </w:p>
    <w:sectPr w:rsidR="00AF731D" w:rsidRPr="00A5674B" w:rsidSect="00A5674B">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FA" w:rsidRDefault="00EA77FA" w:rsidP="00FE2058">
      <w:r>
        <w:separator/>
      </w:r>
    </w:p>
  </w:endnote>
  <w:endnote w:type="continuationSeparator" w:id="0">
    <w:p w:rsidR="00EA77FA" w:rsidRDefault="00EA77FA" w:rsidP="00FE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331656"/>
      <w:docPartObj>
        <w:docPartGallery w:val="Page Numbers (Bottom of Page)"/>
        <w:docPartUnique/>
      </w:docPartObj>
    </w:sdtPr>
    <w:sdtEndPr/>
    <w:sdtContent>
      <w:p w:rsidR="00D33B78" w:rsidRDefault="00AF731D" w:rsidP="00FE2058">
        <w:pPr>
          <w:pStyle w:val="Footer"/>
          <w:jc w:val="right"/>
        </w:pPr>
        <w:r>
          <w:fldChar w:fldCharType="begin"/>
        </w:r>
        <w:r>
          <w:instrText>PAGE</w:instrText>
        </w:r>
        <w:r>
          <w:fldChar w:fldCharType="separate"/>
        </w:r>
        <w:r>
          <w:t>1</w:t>
        </w:r>
        <w:r>
          <w:fldChar w:fldCharType="end"/>
        </w:r>
      </w:p>
    </w:sdtContent>
  </w:sdt>
  <w:p w:rsidR="00D33B78" w:rsidRDefault="00EA77FA" w:rsidP="00FE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FA" w:rsidRDefault="00EA77FA" w:rsidP="00FE2058">
      <w:r>
        <w:separator/>
      </w:r>
    </w:p>
  </w:footnote>
  <w:footnote w:type="continuationSeparator" w:id="0">
    <w:p w:rsidR="00EA77FA" w:rsidRDefault="00EA77FA" w:rsidP="00FE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4BD" w:rsidRDefault="00FE2058" w:rsidP="00FE2058">
    <w:pPr>
      <w:pStyle w:val="Header"/>
      <w:tabs>
        <w:tab w:val="clear" w:pos="9026"/>
        <w:tab w:val="right" w:pos="8647"/>
      </w:tabs>
      <w:ind w:right="-472"/>
      <w:jc w:val="right"/>
    </w:pPr>
    <w:r>
      <w:rPr>
        <w:noProof/>
      </w:rPr>
      <w:drawing>
        <wp:inline distT="0" distB="0" distL="0" distR="0" wp14:anchorId="4CD7E151" wp14:editId="10EBCB5A">
          <wp:extent cx="3688898" cy="1263191"/>
          <wp:effectExtent l="0" t="0" r="6985" b="0"/>
          <wp:docPr id="4" name="Picture 4"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293" r="7759" b="14074"/>
                  <a:stretch/>
                </pic:blipFill>
                <pic:spPr bwMode="auto">
                  <a:xfrm>
                    <a:off x="0" y="0"/>
                    <a:ext cx="3712045" cy="1271117"/>
                  </a:xfrm>
                  <a:prstGeom prst="rect">
                    <a:avLst/>
                  </a:prstGeom>
                  <a:noFill/>
                  <a:ln>
                    <a:noFill/>
                  </a:ln>
                  <a:extLst>
                    <a:ext uri="{53640926-AAD7-44D8-BBD7-CCE9431645EC}">
                      <a14:shadowObscured xmlns:a14="http://schemas.microsoft.com/office/drawing/2010/main"/>
                    </a:ext>
                  </a:extLst>
                </pic:spPr>
              </pic:pic>
            </a:graphicData>
          </a:graphic>
        </wp:inline>
      </w:drawing>
    </w:r>
  </w:p>
  <w:p w:rsidR="00FE2058" w:rsidRDefault="00FE2058" w:rsidP="00FE2058">
    <w:pPr>
      <w:pStyle w:val="Header"/>
    </w:pPr>
  </w:p>
  <w:p w:rsidR="00D33B78" w:rsidRDefault="00EA77FA" w:rsidP="00FE2058">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4B5B"/>
    <w:multiLevelType w:val="multilevel"/>
    <w:tmpl w:val="E0BE81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F090B21"/>
    <w:multiLevelType w:val="hybridMultilevel"/>
    <w:tmpl w:val="54440BA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 w15:restartNumberingAfterBreak="0">
    <w:nsid w:val="53BC1523"/>
    <w:multiLevelType w:val="hybridMultilevel"/>
    <w:tmpl w:val="A95CE390"/>
    <w:lvl w:ilvl="0" w:tplc="9374376E">
      <w:start w:val="1"/>
      <w:numFmt w:val="bullet"/>
      <w:pStyle w:val="ListParagraph"/>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61530709"/>
    <w:multiLevelType w:val="multilevel"/>
    <w:tmpl w:val="D3305CF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47F1D6E"/>
    <w:multiLevelType w:val="hybridMultilevel"/>
    <w:tmpl w:val="61CC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30206"/>
    <w:multiLevelType w:val="multilevel"/>
    <w:tmpl w:val="3C6EC2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2"/>
  </w:num>
  <w:num w:numId="31">
    <w:abstractNumId w:val="0"/>
  </w:num>
  <w:num w:numId="32">
    <w:abstractNumId w:val="3"/>
  </w:num>
  <w:num w:numId="33">
    <w:abstractNumId w:val="3"/>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1D"/>
    <w:rsid w:val="00090AC9"/>
    <w:rsid w:val="00137926"/>
    <w:rsid w:val="001B3CB2"/>
    <w:rsid w:val="00254A68"/>
    <w:rsid w:val="002A58D4"/>
    <w:rsid w:val="003221F3"/>
    <w:rsid w:val="003A0CAB"/>
    <w:rsid w:val="00412263"/>
    <w:rsid w:val="004901CA"/>
    <w:rsid w:val="004E1EC9"/>
    <w:rsid w:val="005552F0"/>
    <w:rsid w:val="00676E07"/>
    <w:rsid w:val="00755C09"/>
    <w:rsid w:val="007614BD"/>
    <w:rsid w:val="007800B2"/>
    <w:rsid w:val="00841392"/>
    <w:rsid w:val="008702E8"/>
    <w:rsid w:val="008A4B49"/>
    <w:rsid w:val="009063AD"/>
    <w:rsid w:val="00907BED"/>
    <w:rsid w:val="00A31B36"/>
    <w:rsid w:val="00A5674B"/>
    <w:rsid w:val="00A65616"/>
    <w:rsid w:val="00AF731D"/>
    <w:rsid w:val="00C9786C"/>
    <w:rsid w:val="00D4221E"/>
    <w:rsid w:val="00D63175"/>
    <w:rsid w:val="00DA6ACA"/>
    <w:rsid w:val="00EA77FA"/>
    <w:rsid w:val="00F07C7C"/>
    <w:rsid w:val="00F86110"/>
    <w:rsid w:val="00F953B4"/>
    <w:rsid w:val="00FD2219"/>
    <w:rsid w:val="00FE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F4FD"/>
  <w15:chartTrackingRefBased/>
  <w15:docId w15:val="{D9918E65-651A-468C-86D6-9AE6DA6F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058"/>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090AC9"/>
    <w:pPr>
      <w:keepNext/>
      <w:keepLines/>
      <w:tabs>
        <w:tab w:val="left" w:pos="851"/>
      </w:tabs>
      <w:spacing w:before="120" w:after="120"/>
      <w:ind w:left="357" w:hanging="357"/>
      <w:outlineLvl w:val="0"/>
    </w:pPr>
    <w:rPr>
      <w:rFonts w:cstheme="majorBidi"/>
      <w:b/>
      <w:bCs/>
      <w:szCs w:val="28"/>
    </w:rPr>
  </w:style>
  <w:style w:type="paragraph" w:styleId="Heading2">
    <w:name w:val="heading 2"/>
    <w:basedOn w:val="Normal"/>
    <w:link w:val="Heading2Char"/>
    <w:uiPriority w:val="9"/>
    <w:unhideWhenUsed/>
    <w:qFormat/>
    <w:rsid w:val="003A0CAB"/>
    <w:pPr>
      <w:autoSpaceDE w:val="0"/>
      <w:autoSpaceDN w:val="0"/>
      <w:spacing w:after="120"/>
      <w:outlineLvl w:val="1"/>
    </w:pPr>
    <w:rPr>
      <w:rFonts w:eastAsia="Calibri"/>
      <w:b/>
      <w:bCs/>
      <w:lang w:bidi="en-GB"/>
    </w:rPr>
  </w:style>
  <w:style w:type="paragraph" w:styleId="Heading3">
    <w:name w:val="heading 3"/>
    <w:basedOn w:val="Heading2"/>
    <w:next w:val="Normal"/>
    <w:link w:val="Heading3Char"/>
    <w:uiPriority w:val="9"/>
    <w:unhideWhenUsed/>
    <w:qFormat/>
    <w:rsid w:val="003A0CAB"/>
    <w:pPr>
      <w:outlineLvl w:val="2"/>
    </w:pPr>
  </w:style>
  <w:style w:type="paragraph" w:styleId="Heading4">
    <w:name w:val="heading 4"/>
    <w:basedOn w:val="Normal"/>
    <w:next w:val="Normal"/>
    <w:link w:val="Heading4Char"/>
    <w:uiPriority w:val="9"/>
    <w:semiHidden/>
    <w:unhideWhenUsed/>
    <w:qFormat/>
    <w:rsid w:val="001B3CB2"/>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3CB2"/>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3CB2"/>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3CB2"/>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3CB2"/>
    <w:pPr>
      <w:keepNext/>
      <w:keepLines/>
      <w:numPr>
        <w:ilvl w:val="7"/>
        <w:numId w:val="3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B3CB2"/>
    <w:pPr>
      <w:keepNext/>
      <w:keepLines/>
      <w:numPr>
        <w:ilvl w:val="8"/>
        <w:numId w:val="3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9063AD"/>
    <w:pPr>
      <w:keepNext/>
      <w:keepLines/>
      <w:tabs>
        <w:tab w:val="left" w:pos="1134"/>
        <w:tab w:val="right" w:leader="dot" w:pos="9180"/>
      </w:tabs>
      <w:contextualSpacing/>
    </w:pPr>
    <w:rPr>
      <w:rFonts w:eastAsia="Calibri"/>
    </w:rPr>
  </w:style>
  <w:style w:type="paragraph" w:styleId="TOC1">
    <w:name w:val="toc 1"/>
    <w:basedOn w:val="Normal"/>
    <w:next w:val="Normal"/>
    <w:autoRedefine/>
    <w:uiPriority w:val="39"/>
    <w:rsid w:val="009063AD"/>
    <w:pPr>
      <w:keepNext/>
      <w:keepLines/>
      <w:tabs>
        <w:tab w:val="left" w:pos="482"/>
        <w:tab w:val="right" w:leader="dot" w:pos="9498"/>
      </w:tabs>
      <w:ind w:left="425" w:hanging="425"/>
      <w:contextualSpacing/>
    </w:pPr>
    <w:rPr>
      <w:rFonts w:eastAsia="Calibri"/>
    </w:rPr>
  </w:style>
  <w:style w:type="paragraph" w:styleId="TOC3">
    <w:name w:val="toc 3"/>
    <w:basedOn w:val="Normal"/>
    <w:next w:val="Normal"/>
    <w:autoRedefine/>
    <w:uiPriority w:val="39"/>
    <w:rsid w:val="009063AD"/>
    <w:pPr>
      <w:keepNext/>
      <w:keepLines/>
      <w:tabs>
        <w:tab w:val="left" w:pos="1100"/>
        <w:tab w:val="right" w:leader="dot" w:pos="8755"/>
      </w:tabs>
      <w:contextualSpacing/>
    </w:pPr>
    <w:rPr>
      <w:rFonts w:eastAsia="Calibri"/>
    </w:rPr>
  </w:style>
  <w:style w:type="paragraph" w:customStyle="1" w:styleId="Default">
    <w:name w:val="Default"/>
    <w:rsid w:val="00F953B4"/>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953B4"/>
    <w:pPr>
      <w:spacing w:line="241" w:lineRule="atLeast"/>
    </w:pPr>
    <w:rPr>
      <w:rFonts w:ascii="Frutiger LT Pro 45 Light" w:eastAsiaTheme="minorEastAsia" w:hAnsi="Frutiger LT Pro 45 Light" w:cstheme="minorBidi"/>
      <w:color w:val="auto"/>
      <w:lang w:eastAsia="en-GB"/>
    </w:rPr>
  </w:style>
  <w:style w:type="character" w:customStyle="1" w:styleId="A6">
    <w:name w:val="A6"/>
    <w:uiPriority w:val="99"/>
    <w:rsid w:val="00F953B4"/>
    <w:rPr>
      <w:rFonts w:cs="Frutiger LT Pro 45 Light"/>
      <w:b/>
      <w:bCs/>
      <w:color w:val="000000"/>
      <w:sz w:val="20"/>
      <w:szCs w:val="20"/>
    </w:rPr>
  </w:style>
  <w:style w:type="character" w:customStyle="1" w:styleId="A7">
    <w:name w:val="A7"/>
    <w:uiPriority w:val="99"/>
    <w:rsid w:val="00F953B4"/>
    <w:rPr>
      <w:rFonts w:cs="Frutiger LT Pro 45 Light"/>
      <w:color w:val="000000"/>
      <w:sz w:val="18"/>
      <w:szCs w:val="18"/>
    </w:rPr>
  </w:style>
  <w:style w:type="table" w:customStyle="1" w:styleId="TableGrid1">
    <w:name w:val="Table Grid1"/>
    <w:basedOn w:val="TableNormal"/>
    <w:next w:val="TableGrid"/>
    <w:uiPriority w:val="59"/>
    <w:rsid w:val="00F953B4"/>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5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0AC9"/>
    <w:rPr>
      <w:rFonts w:ascii="Arial" w:eastAsia="Times New Roman" w:hAnsi="Arial" w:cstheme="majorBidi"/>
      <w:b/>
      <w:bCs/>
      <w:sz w:val="24"/>
      <w:szCs w:val="28"/>
      <w:lang w:eastAsia="en-GB"/>
    </w:rPr>
  </w:style>
  <w:style w:type="character" w:customStyle="1" w:styleId="Heading2Char">
    <w:name w:val="Heading 2 Char"/>
    <w:basedOn w:val="DefaultParagraphFont"/>
    <w:link w:val="Heading2"/>
    <w:uiPriority w:val="9"/>
    <w:rsid w:val="003A0CAB"/>
    <w:rPr>
      <w:rFonts w:ascii="Arial" w:eastAsia="Calibri" w:hAnsi="Arial" w:cs="Arial"/>
      <w:b/>
      <w:bCs/>
      <w:sz w:val="24"/>
      <w:szCs w:val="24"/>
      <w:lang w:eastAsia="en-GB" w:bidi="en-GB"/>
    </w:rPr>
  </w:style>
  <w:style w:type="character" w:customStyle="1" w:styleId="Heading3Char">
    <w:name w:val="Heading 3 Char"/>
    <w:basedOn w:val="DefaultParagraphFont"/>
    <w:link w:val="Heading3"/>
    <w:uiPriority w:val="9"/>
    <w:rsid w:val="003A0CAB"/>
    <w:rPr>
      <w:rFonts w:ascii="Arial" w:eastAsia="Calibri" w:hAnsi="Arial" w:cs="Arial"/>
      <w:b/>
      <w:bCs/>
      <w:sz w:val="24"/>
      <w:szCs w:val="24"/>
      <w:lang w:eastAsia="en-GB" w:bidi="en-GB"/>
    </w:rPr>
  </w:style>
  <w:style w:type="character" w:customStyle="1" w:styleId="Heading4Char">
    <w:name w:val="Heading 4 Char"/>
    <w:basedOn w:val="DefaultParagraphFont"/>
    <w:link w:val="Heading4"/>
    <w:uiPriority w:val="9"/>
    <w:semiHidden/>
    <w:rsid w:val="00F953B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953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953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953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953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953B4"/>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F953B4"/>
    <w:pPr>
      <w:ind w:left="480"/>
    </w:pPr>
    <w:rPr>
      <w:rFonts w:cstheme="minorHAnsi"/>
    </w:rPr>
  </w:style>
  <w:style w:type="paragraph" w:styleId="TOC5">
    <w:name w:val="toc 5"/>
    <w:basedOn w:val="Normal"/>
    <w:next w:val="Normal"/>
    <w:autoRedefine/>
    <w:uiPriority w:val="39"/>
    <w:unhideWhenUsed/>
    <w:rsid w:val="00F953B4"/>
    <w:pPr>
      <w:ind w:left="720"/>
    </w:pPr>
    <w:rPr>
      <w:rFonts w:cstheme="minorHAnsi"/>
    </w:rPr>
  </w:style>
  <w:style w:type="paragraph" w:styleId="TOC6">
    <w:name w:val="toc 6"/>
    <w:basedOn w:val="Normal"/>
    <w:next w:val="Normal"/>
    <w:autoRedefine/>
    <w:uiPriority w:val="39"/>
    <w:unhideWhenUsed/>
    <w:rsid w:val="00F953B4"/>
    <w:pPr>
      <w:ind w:left="960"/>
    </w:pPr>
    <w:rPr>
      <w:rFonts w:cstheme="minorHAnsi"/>
    </w:rPr>
  </w:style>
  <w:style w:type="paragraph" w:styleId="TOC7">
    <w:name w:val="toc 7"/>
    <w:basedOn w:val="Normal"/>
    <w:next w:val="Normal"/>
    <w:autoRedefine/>
    <w:uiPriority w:val="39"/>
    <w:unhideWhenUsed/>
    <w:rsid w:val="00F953B4"/>
    <w:pPr>
      <w:ind w:left="1200"/>
    </w:pPr>
    <w:rPr>
      <w:rFonts w:cstheme="minorHAnsi"/>
    </w:rPr>
  </w:style>
  <w:style w:type="paragraph" w:styleId="TOC8">
    <w:name w:val="toc 8"/>
    <w:basedOn w:val="Normal"/>
    <w:next w:val="Normal"/>
    <w:autoRedefine/>
    <w:uiPriority w:val="39"/>
    <w:unhideWhenUsed/>
    <w:rsid w:val="00F953B4"/>
    <w:pPr>
      <w:ind w:left="1440"/>
    </w:pPr>
    <w:rPr>
      <w:rFonts w:cstheme="minorHAnsi"/>
    </w:rPr>
  </w:style>
  <w:style w:type="paragraph" w:styleId="TOC9">
    <w:name w:val="toc 9"/>
    <w:basedOn w:val="Normal"/>
    <w:next w:val="Normal"/>
    <w:autoRedefine/>
    <w:uiPriority w:val="39"/>
    <w:unhideWhenUsed/>
    <w:rsid w:val="00F953B4"/>
    <w:pPr>
      <w:ind w:left="1680"/>
    </w:pPr>
    <w:rPr>
      <w:rFonts w:cstheme="minorHAnsi"/>
    </w:rPr>
  </w:style>
  <w:style w:type="paragraph" w:styleId="Header">
    <w:name w:val="header"/>
    <w:basedOn w:val="Normal"/>
    <w:link w:val="HeaderChar"/>
    <w:uiPriority w:val="99"/>
    <w:unhideWhenUsed/>
    <w:rsid w:val="00F953B4"/>
    <w:pPr>
      <w:tabs>
        <w:tab w:val="center" w:pos="4513"/>
        <w:tab w:val="right" w:pos="9026"/>
      </w:tabs>
    </w:pPr>
  </w:style>
  <w:style w:type="character" w:customStyle="1" w:styleId="HeaderChar">
    <w:name w:val="Header Char"/>
    <w:basedOn w:val="DefaultParagraphFont"/>
    <w:link w:val="Header"/>
    <w:uiPriority w:val="99"/>
    <w:rsid w:val="00F953B4"/>
    <w:rPr>
      <w:sz w:val="24"/>
      <w:szCs w:val="24"/>
    </w:rPr>
  </w:style>
  <w:style w:type="paragraph" w:styleId="Footer">
    <w:name w:val="footer"/>
    <w:basedOn w:val="Normal"/>
    <w:link w:val="FooterChar"/>
    <w:uiPriority w:val="99"/>
    <w:unhideWhenUsed/>
    <w:rsid w:val="00F953B4"/>
    <w:pPr>
      <w:tabs>
        <w:tab w:val="center" w:pos="4513"/>
        <w:tab w:val="right" w:pos="9026"/>
      </w:tabs>
    </w:pPr>
  </w:style>
  <w:style w:type="character" w:customStyle="1" w:styleId="FooterChar">
    <w:name w:val="Footer Char"/>
    <w:basedOn w:val="DefaultParagraphFont"/>
    <w:link w:val="Footer"/>
    <w:uiPriority w:val="99"/>
    <w:rsid w:val="00F953B4"/>
    <w:rPr>
      <w:sz w:val="24"/>
      <w:szCs w:val="24"/>
    </w:rPr>
  </w:style>
  <w:style w:type="paragraph" w:styleId="Caption">
    <w:name w:val="caption"/>
    <w:basedOn w:val="Normal"/>
    <w:next w:val="Normal"/>
    <w:uiPriority w:val="35"/>
    <w:unhideWhenUsed/>
    <w:qFormat/>
    <w:rsid w:val="00F953B4"/>
    <w:pPr>
      <w:spacing w:after="120"/>
    </w:pPr>
    <w:rPr>
      <w:b/>
      <w:bCs/>
      <w:szCs w:val="18"/>
    </w:rPr>
  </w:style>
  <w:style w:type="paragraph" w:styleId="TableofFigures">
    <w:name w:val="table of figures"/>
    <w:basedOn w:val="Normal"/>
    <w:next w:val="Normal"/>
    <w:uiPriority w:val="99"/>
    <w:unhideWhenUsed/>
    <w:rsid w:val="00F953B4"/>
  </w:style>
  <w:style w:type="character" w:styleId="Hyperlink">
    <w:name w:val="Hyperlink"/>
    <w:basedOn w:val="DefaultParagraphFont"/>
    <w:uiPriority w:val="99"/>
    <w:unhideWhenUsed/>
    <w:rsid w:val="00F953B4"/>
    <w:rPr>
      <w:color w:val="0000FF" w:themeColor="hyperlink"/>
      <w:u w:val="single"/>
    </w:rPr>
  </w:style>
  <w:style w:type="character" w:styleId="FollowedHyperlink">
    <w:name w:val="FollowedHyperlink"/>
    <w:basedOn w:val="DefaultParagraphFont"/>
    <w:uiPriority w:val="99"/>
    <w:semiHidden/>
    <w:unhideWhenUsed/>
    <w:rsid w:val="00F953B4"/>
    <w:rPr>
      <w:color w:val="800080" w:themeColor="followedHyperlink"/>
      <w:u w:val="single"/>
    </w:rPr>
  </w:style>
  <w:style w:type="paragraph" w:styleId="BalloonText">
    <w:name w:val="Balloon Text"/>
    <w:basedOn w:val="Normal"/>
    <w:link w:val="BalloonTextChar"/>
    <w:uiPriority w:val="99"/>
    <w:semiHidden/>
    <w:unhideWhenUsed/>
    <w:rsid w:val="00F953B4"/>
    <w:rPr>
      <w:rFonts w:ascii="Tahoma" w:hAnsi="Tahoma" w:cs="Tahoma"/>
      <w:sz w:val="16"/>
      <w:szCs w:val="16"/>
    </w:rPr>
  </w:style>
  <w:style w:type="character" w:customStyle="1" w:styleId="BalloonTextChar">
    <w:name w:val="Balloon Text Char"/>
    <w:basedOn w:val="DefaultParagraphFont"/>
    <w:link w:val="BalloonText"/>
    <w:uiPriority w:val="99"/>
    <w:semiHidden/>
    <w:rsid w:val="00F953B4"/>
    <w:rPr>
      <w:rFonts w:ascii="Tahoma" w:hAnsi="Tahoma" w:cs="Tahoma"/>
      <w:sz w:val="16"/>
      <w:szCs w:val="16"/>
    </w:rPr>
  </w:style>
  <w:style w:type="paragraph" w:styleId="ListParagraph">
    <w:name w:val="List Paragraph"/>
    <w:basedOn w:val="Normal"/>
    <w:uiPriority w:val="34"/>
    <w:qFormat/>
    <w:rsid w:val="00F953B4"/>
    <w:pPr>
      <w:numPr>
        <w:numId w:val="30"/>
      </w:numPr>
      <w:contextualSpacing/>
    </w:pPr>
  </w:style>
  <w:style w:type="paragraph" w:styleId="TOCHeading">
    <w:name w:val="TOC Heading"/>
    <w:basedOn w:val="TOC1"/>
    <w:next w:val="Normal"/>
    <w:uiPriority w:val="39"/>
    <w:unhideWhenUsed/>
    <w:qFormat/>
    <w:rsid w:val="00F953B4"/>
    <w:pPr>
      <w:tabs>
        <w:tab w:val="left" w:pos="851"/>
      </w:tabs>
    </w:pPr>
    <w:rPr>
      <w:b/>
    </w:rPr>
  </w:style>
  <w:style w:type="table" w:customStyle="1" w:styleId="TableGrid11">
    <w:name w:val="Table Grid11"/>
    <w:basedOn w:val="TableNormal"/>
    <w:next w:val="TableGrid"/>
    <w:uiPriority w:val="59"/>
    <w:rsid w:val="00AF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0AC9"/>
    <w:pPr>
      <w:spacing w:before="840" w:after="360"/>
    </w:pPr>
    <w:rPr>
      <w:b/>
      <w:sz w:val="44"/>
      <w:szCs w:val="36"/>
    </w:rPr>
  </w:style>
  <w:style w:type="character" w:customStyle="1" w:styleId="TitleChar">
    <w:name w:val="Title Char"/>
    <w:basedOn w:val="DefaultParagraphFont"/>
    <w:link w:val="Title"/>
    <w:uiPriority w:val="10"/>
    <w:rsid w:val="00090AC9"/>
    <w:rPr>
      <w:rFonts w:ascii="Arial" w:eastAsia="Times New Roman" w:hAnsi="Arial" w:cs="Arial"/>
      <w:b/>
      <w:sz w:val="44"/>
      <w:szCs w:val="36"/>
      <w:lang w:eastAsia="en-GB"/>
    </w:rPr>
  </w:style>
  <w:style w:type="character" w:styleId="PlaceholderText">
    <w:name w:val="Placeholder Text"/>
    <w:basedOn w:val="DefaultParagraphFont"/>
    <w:uiPriority w:val="99"/>
    <w:semiHidden/>
    <w:rsid w:val="00FE2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79FB057AC647EF9BC8ADCE75B4BE73"/>
        <w:category>
          <w:name w:val="General"/>
          <w:gallery w:val="placeholder"/>
        </w:category>
        <w:types>
          <w:type w:val="bbPlcHdr"/>
        </w:types>
        <w:behaviors>
          <w:behavior w:val="content"/>
        </w:behaviors>
        <w:guid w:val="{F34D6D77-A024-442F-9341-806C33365076}"/>
      </w:docPartPr>
      <w:docPartBody>
        <w:p w:rsidR="00000000" w:rsidRDefault="004B64E8">
          <w:r w:rsidRPr="00096119">
            <w:rPr>
              <w:rStyle w:val="PlaceholderText"/>
            </w:rPr>
            <w:t>[Title]</w:t>
          </w:r>
        </w:p>
      </w:docPartBody>
    </w:docPart>
    <w:docPart>
      <w:docPartPr>
        <w:name w:val="8561C1A088AF409BAF45DAB9211CCB5C"/>
        <w:category>
          <w:name w:val="General"/>
          <w:gallery w:val="placeholder"/>
        </w:category>
        <w:types>
          <w:type w:val="bbPlcHdr"/>
        </w:types>
        <w:behaviors>
          <w:behavior w:val="content"/>
        </w:behaviors>
        <w:guid w:val="{571FD01D-866B-4408-99C8-2E7B643C51EA}"/>
      </w:docPartPr>
      <w:docPartBody>
        <w:p w:rsidR="00000000" w:rsidRDefault="004B64E8">
          <w:r w:rsidRPr="0009611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E8"/>
    <w:rsid w:val="004B64E8"/>
    <w:rsid w:val="00CC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3580DDD77431680E46DFA3A571437">
    <w:name w:val="E953580DDD77431680E46DFA3A571437"/>
    <w:rsid w:val="004B64E8"/>
  </w:style>
  <w:style w:type="character" w:styleId="PlaceholderText">
    <w:name w:val="Placeholder Text"/>
    <w:basedOn w:val="DefaultParagraphFont"/>
    <w:uiPriority w:val="99"/>
    <w:semiHidden/>
    <w:rsid w:val="004B64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6E13-1AB8-4781-B270-BDEE2DAE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Gender Pay Gap Report 2021</dc:title>
  <dc:subject>Data report for East Kent Hospitals Gender Pay Gap in 2021.</dc:subject>
  <dc:creator>Bruce Campion-Smith</dc:creator>
  <cp:keywords/>
  <dc:description/>
  <cp:lastModifiedBy>Hollie Godwin</cp:lastModifiedBy>
  <cp:revision>2</cp:revision>
  <dcterms:created xsi:type="dcterms:W3CDTF">2023-07-07T10:43:00Z</dcterms:created>
  <dcterms:modified xsi:type="dcterms:W3CDTF">2023-07-07T10:43:00Z</dcterms:modified>
</cp:coreProperties>
</file>