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90E" w:rsidRDefault="00AB790E" w:rsidP="000A1773">
      <w:pPr>
        <w:jc w:val="right"/>
        <w:rPr>
          <w:rFonts w:ascii="CG Times" w:hAnsi="CG Times"/>
          <w:b/>
          <w:sz w:val="36"/>
        </w:rPr>
      </w:pPr>
      <w:bookmarkStart w:id="0" w:name="_GoBack"/>
      <w:bookmarkEnd w:id="0"/>
    </w:p>
    <w:p w:rsidR="00AB790E" w:rsidRDefault="00AB790E">
      <w:pPr>
        <w:jc w:val="center"/>
        <w:rPr>
          <w:rFonts w:ascii="CG Times" w:hAnsi="CG Times"/>
          <w:b/>
          <w:sz w:val="36"/>
        </w:rPr>
      </w:pPr>
    </w:p>
    <w:p w:rsidR="00AB790E" w:rsidRDefault="00AB790E">
      <w:pPr>
        <w:jc w:val="both"/>
        <w:rPr>
          <w:rFonts w:ascii="CG Times" w:hAnsi="CG Times"/>
          <w:i/>
          <w:sz w:val="28"/>
        </w:rPr>
      </w:pPr>
    </w:p>
    <w:p w:rsidR="00AB790E" w:rsidRDefault="00AB790E">
      <w:pPr>
        <w:jc w:val="center"/>
        <w:rPr>
          <w:rFonts w:ascii="CG Times" w:hAnsi="CG Times"/>
          <w:b/>
          <w:sz w:val="28"/>
        </w:rPr>
      </w:pPr>
    </w:p>
    <w:p w:rsidR="00FA5196" w:rsidRDefault="00FA5196">
      <w:pPr>
        <w:jc w:val="center"/>
        <w:rPr>
          <w:rFonts w:ascii="CG Times" w:hAnsi="CG Times"/>
          <w:b/>
          <w:sz w:val="28"/>
        </w:rPr>
      </w:pPr>
    </w:p>
    <w:p w:rsidR="00721ADE" w:rsidRPr="00E04B5E" w:rsidRDefault="00721ADE">
      <w:pPr>
        <w:jc w:val="center"/>
        <w:rPr>
          <w:rFonts w:ascii="Arial" w:hAnsi="Arial"/>
          <w:b/>
          <w:color w:val="0070C0"/>
          <w:sz w:val="48"/>
        </w:rPr>
      </w:pPr>
      <w:r w:rsidRPr="00E04B5E">
        <w:rPr>
          <w:rFonts w:ascii="Arial" w:hAnsi="Arial"/>
          <w:b/>
          <w:color w:val="0070C0"/>
          <w:sz w:val="72"/>
        </w:rPr>
        <w:t>CLINICAL BIOCHEMISTRY (INCLUDING IMMUNOLOGY) USER GUIDE</w:t>
      </w:r>
    </w:p>
    <w:p w:rsidR="00AB790E" w:rsidRDefault="00AB790E">
      <w:pPr>
        <w:jc w:val="center"/>
        <w:rPr>
          <w:rFonts w:ascii="Arial" w:hAnsi="Arial"/>
          <w:b/>
          <w:sz w:val="28"/>
        </w:rPr>
      </w:pPr>
    </w:p>
    <w:p w:rsidR="00AB790E" w:rsidRDefault="00AB790E">
      <w:pPr>
        <w:jc w:val="center"/>
        <w:rPr>
          <w:rFonts w:ascii="Arial" w:hAnsi="Arial"/>
          <w:b/>
          <w:sz w:val="28"/>
        </w:rPr>
      </w:pPr>
    </w:p>
    <w:p w:rsidR="00AB790E" w:rsidRDefault="00AB790E">
      <w:pPr>
        <w:jc w:val="center"/>
        <w:rPr>
          <w:rFonts w:ascii="Arial" w:hAnsi="Arial"/>
          <w:sz w:val="28"/>
        </w:rPr>
      </w:pPr>
    </w:p>
    <w:p w:rsidR="00AB790E" w:rsidRDefault="00AF465B">
      <w:pPr>
        <w:jc w:val="center"/>
        <w:rPr>
          <w:rFonts w:ascii="CG Times" w:hAnsi="CG Times"/>
          <w:sz w:val="36"/>
        </w:rPr>
      </w:pPr>
      <w:r w:rsidRPr="00721ADE">
        <w:rPr>
          <w:rFonts w:ascii="Arial" w:hAnsi="Arial" w:cs="Arial"/>
          <w:noProof/>
          <w:snapToGrid/>
          <w:color w:val="333333"/>
          <w:sz w:val="20"/>
          <w:lang w:eastAsia="en-GB"/>
        </w:rPr>
        <w:drawing>
          <wp:inline distT="0" distB="0" distL="0" distR="0">
            <wp:extent cx="5895975" cy="1552575"/>
            <wp:effectExtent l="0" t="0" r="0" b="0"/>
            <wp:docPr id="1" name="Picture 1" descr="Clinical bio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nical biochemist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1552575"/>
                    </a:xfrm>
                    <a:prstGeom prst="rect">
                      <a:avLst/>
                    </a:prstGeom>
                    <a:noFill/>
                    <a:ln>
                      <a:noFill/>
                    </a:ln>
                  </pic:spPr>
                </pic:pic>
              </a:graphicData>
            </a:graphic>
          </wp:inline>
        </w:drawing>
      </w:r>
    </w:p>
    <w:p w:rsidR="00AB790E" w:rsidRDefault="00AB790E">
      <w:pPr>
        <w:jc w:val="center"/>
        <w:rPr>
          <w:rFonts w:ascii="CG Times" w:hAnsi="CG Times"/>
        </w:rPr>
      </w:pPr>
    </w:p>
    <w:p w:rsidR="00AB790E" w:rsidRDefault="00AB790E">
      <w:pPr>
        <w:jc w:val="center"/>
        <w:rPr>
          <w:rFonts w:ascii="CG Times" w:hAnsi="CG Times"/>
        </w:rPr>
      </w:pPr>
    </w:p>
    <w:p w:rsidR="00AB790E" w:rsidRDefault="00AB790E">
      <w:pPr>
        <w:jc w:val="center"/>
        <w:rPr>
          <w:rFonts w:ascii="CG Times" w:hAnsi="CG Times"/>
        </w:rPr>
      </w:pPr>
    </w:p>
    <w:p w:rsidR="00AB790E" w:rsidRDefault="00AB790E">
      <w:pPr>
        <w:jc w:val="center"/>
        <w:rPr>
          <w:rFonts w:ascii="Arial" w:hAnsi="Arial"/>
          <w:sz w:val="36"/>
        </w:rPr>
      </w:pPr>
    </w:p>
    <w:p w:rsidR="00721ADE" w:rsidRDefault="00721ADE">
      <w:pPr>
        <w:jc w:val="center"/>
        <w:rPr>
          <w:rFonts w:ascii="Arial" w:hAnsi="Arial"/>
          <w:sz w:val="36"/>
        </w:rPr>
      </w:pPr>
    </w:p>
    <w:p w:rsidR="00721ADE" w:rsidRDefault="00721ADE">
      <w:pPr>
        <w:jc w:val="center"/>
        <w:rPr>
          <w:rFonts w:ascii="Arial" w:hAnsi="Arial"/>
          <w:sz w:val="36"/>
        </w:rPr>
      </w:pPr>
    </w:p>
    <w:p w:rsidR="00721ADE" w:rsidRDefault="00721ADE">
      <w:pPr>
        <w:jc w:val="center"/>
        <w:rPr>
          <w:rFonts w:ascii="Arial" w:hAnsi="Arial"/>
          <w:sz w:val="36"/>
        </w:rPr>
      </w:pPr>
    </w:p>
    <w:p w:rsidR="00721ADE" w:rsidRDefault="00721ADE">
      <w:pPr>
        <w:jc w:val="center"/>
        <w:rPr>
          <w:rFonts w:ascii="Arial" w:hAnsi="Arial"/>
          <w:sz w:val="36"/>
        </w:rPr>
      </w:pPr>
    </w:p>
    <w:p w:rsidR="00721ADE" w:rsidRDefault="00721ADE">
      <w:pPr>
        <w:jc w:val="center"/>
        <w:rPr>
          <w:rFonts w:ascii="Arial" w:hAnsi="Arial"/>
          <w:sz w:val="36"/>
        </w:rPr>
      </w:pPr>
    </w:p>
    <w:p w:rsidR="00721ADE" w:rsidRDefault="00721ADE">
      <w:pPr>
        <w:jc w:val="center"/>
        <w:rPr>
          <w:rFonts w:ascii="Arial" w:hAnsi="Arial"/>
          <w:sz w:val="36"/>
        </w:rPr>
      </w:pPr>
    </w:p>
    <w:p w:rsidR="00721ADE" w:rsidRDefault="00721ADE">
      <w:pPr>
        <w:jc w:val="center"/>
        <w:rPr>
          <w:rFonts w:ascii="Arial" w:hAnsi="Arial"/>
          <w:sz w:val="36"/>
        </w:rPr>
      </w:pPr>
    </w:p>
    <w:p w:rsidR="00721ADE" w:rsidRDefault="00721ADE">
      <w:pPr>
        <w:jc w:val="center"/>
        <w:rPr>
          <w:rFonts w:ascii="CG Times" w:hAnsi="CG Times"/>
        </w:rPr>
      </w:pPr>
    </w:p>
    <w:p w:rsidR="00AB790E" w:rsidRDefault="00AB790E">
      <w:pPr>
        <w:jc w:val="center"/>
        <w:rPr>
          <w:rFonts w:ascii="CG Times" w:hAnsi="CG Times"/>
        </w:rPr>
      </w:pPr>
    </w:p>
    <w:p w:rsidR="00AB790E" w:rsidRDefault="00AB790E">
      <w:pPr>
        <w:jc w:val="center"/>
        <w:rPr>
          <w:rFonts w:ascii="CG Times" w:hAnsi="CG Times"/>
        </w:rPr>
      </w:pPr>
    </w:p>
    <w:p w:rsidR="009F6E9E" w:rsidRDefault="009F6E9E">
      <w:pPr>
        <w:jc w:val="center"/>
        <w:rPr>
          <w:rFonts w:ascii="CG Times" w:hAnsi="CG Times"/>
        </w:rPr>
      </w:pPr>
    </w:p>
    <w:p w:rsidR="0051031E" w:rsidRDefault="0051031E">
      <w:pPr>
        <w:jc w:val="center"/>
        <w:rPr>
          <w:rFonts w:ascii="CG Times" w:hAnsi="CG Times"/>
        </w:rPr>
      </w:pPr>
    </w:p>
    <w:p w:rsidR="009F6E9E" w:rsidRDefault="009F6E9E">
      <w:pPr>
        <w:jc w:val="center"/>
        <w:rPr>
          <w:rFonts w:ascii="CG Times" w:hAnsi="CG Times"/>
        </w:rPr>
      </w:pPr>
    </w:p>
    <w:p w:rsidR="00C2271F" w:rsidRDefault="00C2271F" w:rsidP="0041039A">
      <w:pPr>
        <w:jc w:val="both"/>
        <w:rPr>
          <w:rFonts w:ascii="Arial" w:hAnsi="Arial"/>
          <w:b/>
        </w:rPr>
      </w:pPr>
    </w:p>
    <w:p w:rsidR="00C2271F" w:rsidRDefault="00C2271F" w:rsidP="0041039A">
      <w:pPr>
        <w:jc w:val="both"/>
        <w:rPr>
          <w:rFonts w:ascii="Arial" w:hAnsi="Arial"/>
          <w:b/>
        </w:rPr>
      </w:pPr>
    </w:p>
    <w:p w:rsidR="0041039A" w:rsidRPr="0041039A" w:rsidRDefault="0041039A" w:rsidP="0041039A">
      <w:pPr>
        <w:jc w:val="both"/>
        <w:rPr>
          <w:rFonts w:ascii="Arial" w:hAnsi="Arial"/>
        </w:rPr>
      </w:pPr>
      <w:r w:rsidRPr="0041039A">
        <w:rPr>
          <w:rFonts w:ascii="Arial" w:hAnsi="Arial"/>
          <w:b/>
        </w:rPr>
        <w:lastRenderedPageBreak/>
        <w:t>Dear Colleague,</w:t>
      </w:r>
    </w:p>
    <w:p w:rsidR="0041039A" w:rsidRPr="0041039A" w:rsidRDefault="0041039A" w:rsidP="0041039A">
      <w:pPr>
        <w:jc w:val="both"/>
        <w:rPr>
          <w:rFonts w:ascii="Arial" w:hAnsi="Arial"/>
        </w:rPr>
      </w:pPr>
    </w:p>
    <w:p w:rsidR="0041039A" w:rsidRPr="0041039A" w:rsidRDefault="0041039A" w:rsidP="0041039A">
      <w:pPr>
        <w:jc w:val="both"/>
        <w:rPr>
          <w:rFonts w:ascii="Arial" w:hAnsi="Arial"/>
          <w:sz w:val="22"/>
          <w:szCs w:val="22"/>
        </w:rPr>
      </w:pPr>
      <w:r w:rsidRPr="0041039A">
        <w:rPr>
          <w:rFonts w:ascii="Arial" w:hAnsi="Arial"/>
          <w:sz w:val="22"/>
          <w:szCs w:val="22"/>
        </w:rPr>
        <w:t>Efficient and appropriate use of the laboratory service is central to the modern practice of medicine. The aim of this user guide is to provide clear guidance on how and when to use our service, which analyses are available and which sample type should be used.</w:t>
      </w:r>
    </w:p>
    <w:p w:rsidR="0041039A" w:rsidRPr="0041039A" w:rsidRDefault="0041039A" w:rsidP="0041039A">
      <w:pPr>
        <w:jc w:val="both"/>
        <w:rPr>
          <w:rFonts w:ascii="Arial" w:hAnsi="Arial"/>
          <w:sz w:val="22"/>
          <w:szCs w:val="22"/>
        </w:rPr>
      </w:pPr>
    </w:p>
    <w:p w:rsidR="0041039A" w:rsidRPr="0041039A" w:rsidRDefault="0041039A" w:rsidP="0041039A">
      <w:pPr>
        <w:jc w:val="both"/>
        <w:rPr>
          <w:rFonts w:ascii="Arial" w:hAnsi="Arial" w:cs="Arial"/>
          <w:sz w:val="22"/>
          <w:szCs w:val="22"/>
        </w:rPr>
      </w:pPr>
      <w:r w:rsidRPr="0041039A">
        <w:rPr>
          <w:rFonts w:ascii="Arial" w:hAnsi="Arial" w:cs="Arial"/>
          <w:sz w:val="22"/>
          <w:szCs w:val="22"/>
        </w:rPr>
        <w:t xml:space="preserve">Clinical Biochemistry has laboratories on the three acute Trust sites in East Kent and provides a continuous service to hospitals and local general practitioners. Our specialist immunology service is located at the William Harvey Hospital, Ashford. Clinical Biochemistry (including immunology) is accredited by UKAS to ISO 15189 (laboratory reference 8636). </w:t>
      </w:r>
    </w:p>
    <w:p w:rsidR="0041039A" w:rsidRPr="0041039A" w:rsidRDefault="0041039A" w:rsidP="0041039A">
      <w:pPr>
        <w:jc w:val="both"/>
        <w:rPr>
          <w:rFonts w:ascii="Arial" w:hAnsi="Arial" w:cs="Arial"/>
          <w:sz w:val="22"/>
          <w:szCs w:val="22"/>
        </w:rPr>
      </w:pPr>
    </w:p>
    <w:p w:rsidR="0041039A" w:rsidRPr="0041039A" w:rsidRDefault="0041039A" w:rsidP="0041039A">
      <w:pPr>
        <w:jc w:val="both"/>
        <w:rPr>
          <w:rFonts w:ascii="Arial" w:hAnsi="Arial"/>
          <w:sz w:val="22"/>
          <w:szCs w:val="22"/>
        </w:rPr>
      </w:pPr>
      <w:r w:rsidRPr="0041039A">
        <w:rPr>
          <w:rFonts w:ascii="Arial" w:hAnsi="Arial" w:cs="Arial"/>
          <w:sz w:val="22"/>
          <w:szCs w:val="22"/>
        </w:rPr>
        <w:t>We process more</w:t>
      </w:r>
      <w:r w:rsidRPr="0041039A">
        <w:rPr>
          <w:rFonts w:ascii="Arial" w:hAnsi="Arial"/>
          <w:sz w:val="22"/>
          <w:szCs w:val="22"/>
        </w:rPr>
        <w:t xml:space="preserve"> than </w:t>
      </w:r>
      <w:r w:rsidRPr="003904C1">
        <w:rPr>
          <w:rFonts w:ascii="Arial" w:hAnsi="Arial"/>
          <w:sz w:val="22"/>
          <w:szCs w:val="22"/>
        </w:rPr>
        <w:t>9 million</w:t>
      </w:r>
      <w:r w:rsidRPr="0041039A">
        <w:rPr>
          <w:rFonts w:ascii="Arial" w:hAnsi="Arial"/>
          <w:sz w:val="22"/>
          <w:szCs w:val="22"/>
        </w:rPr>
        <w:t xml:space="preserve"> individual biochemistry and immunology tests each year. Analyses are performed using the latest technology by qualified, HCPC registered scientific staff assisted by trained support staff. All processes are rigorously quality controlled and the laboratory participates in external quality assessment programmes and accreditation schemes.</w:t>
      </w:r>
      <w:r w:rsidRPr="0041039A">
        <w:rPr>
          <w:sz w:val="22"/>
          <w:szCs w:val="22"/>
        </w:rPr>
        <w:t xml:space="preserve"> </w:t>
      </w:r>
      <w:r w:rsidRPr="0041039A">
        <w:rPr>
          <w:rFonts w:ascii="Arial" w:hAnsi="Arial"/>
          <w:sz w:val="22"/>
          <w:szCs w:val="22"/>
        </w:rPr>
        <w:t>Authorised personnel periodically review the examinations provided by the laboratory to ensure that they are clinically appropriate for the requests received.</w:t>
      </w:r>
    </w:p>
    <w:p w:rsidR="0041039A" w:rsidRPr="0041039A" w:rsidRDefault="0041039A" w:rsidP="0041039A">
      <w:pPr>
        <w:jc w:val="both"/>
        <w:rPr>
          <w:rFonts w:ascii="Arial" w:hAnsi="Arial"/>
          <w:sz w:val="22"/>
          <w:szCs w:val="22"/>
        </w:rPr>
      </w:pPr>
    </w:p>
    <w:p w:rsidR="0041039A" w:rsidRPr="0041039A" w:rsidRDefault="0041039A" w:rsidP="0041039A">
      <w:pPr>
        <w:jc w:val="both"/>
        <w:rPr>
          <w:rFonts w:ascii="Arial" w:hAnsi="Arial"/>
          <w:sz w:val="22"/>
          <w:szCs w:val="22"/>
        </w:rPr>
      </w:pPr>
      <w:r w:rsidRPr="0041039A">
        <w:rPr>
          <w:rFonts w:ascii="Arial" w:hAnsi="Arial"/>
          <w:sz w:val="22"/>
          <w:szCs w:val="22"/>
        </w:rPr>
        <w:t>Clearly, a concise user guide cannot give comprehensive coverage of all aspects of the service we offer. Contact names and telephone numbers of key senior members of staff are given - please contact us whenever you have a query over which investigation is most appropriate, what collection conditions might affect your result and how you should interpret that result. Clinical advice is always available from HCPC registered clinical scientists and is an essential part of the service we offer: effective liaison with us improves our service to you.</w:t>
      </w:r>
    </w:p>
    <w:p w:rsidR="0041039A" w:rsidRPr="0041039A" w:rsidRDefault="0041039A" w:rsidP="0041039A">
      <w:pPr>
        <w:jc w:val="both"/>
        <w:rPr>
          <w:rFonts w:ascii="Arial" w:hAnsi="Arial"/>
          <w:sz w:val="22"/>
          <w:szCs w:val="22"/>
        </w:rPr>
      </w:pPr>
    </w:p>
    <w:p w:rsidR="0041039A" w:rsidRPr="0041039A" w:rsidRDefault="0041039A" w:rsidP="0041039A">
      <w:pPr>
        <w:jc w:val="both"/>
        <w:rPr>
          <w:rFonts w:ascii="Arial" w:hAnsi="Arial"/>
          <w:sz w:val="22"/>
          <w:szCs w:val="22"/>
        </w:rPr>
      </w:pPr>
      <w:r w:rsidRPr="0041039A">
        <w:rPr>
          <w:rFonts w:ascii="Arial" w:hAnsi="Arial"/>
          <w:sz w:val="22"/>
          <w:szCs w:val="22"/>
        </w:rPr>
        <w:t>We have made every effort to ensure that the information in this user guide is correct at the time of publication. However, information will obviously change as new technologies become available and the service evolves to meet the needs of our users. We welcome any comments or suggestions you would like to make, positive or negative, so that these can be incorporated into future editions.</w:t>
      </w:r>
    </w:p>
    <w:p w:rsidR="0041039A" w:rsidRPr="0041039A" w:rsidRDefault="0041039A" w:rsidP="0041039A">
      <w:pPr>
        <w:jc w:val="both"/>
        <w:rPr>
          <w:rFonts w:ascii="Arial" w:hAnsi="Arial"/>
          <w:sz w:val="20"/>
        </w:rPr>
      </w:pPr>
    </w:p>
    <w:p w:rsidR="0041039A" w:rsidRPr="0041039A" w:rsidRDefault="0041039A" w:rsidP="0041039A">
      <w:pPr>
        <w:jc w:val="both"/>
        <w:rPr>
          <w:rFonts w:ascii="Arial" w:hAnsi="Arial"/>
          <w:sz w:val="20"/>
        </w:rPr>
      </w:pPr>
    </w:p>
    <w:p w:rsidR="0041039A" w:rsidRPr="0041039A" w:rsidRDefault="0041039A" w:rsidP="0041039A">
      <w:pPr>
        <w:jc w:val="both"/>
        <w:rPr>
          <w:rFonts w:ascii="Arial" w:hAnsi="Arial"/>
          <w:sz w:val="20"/>
        </w:rPr>
      </w:pPr>
    </w:p>
    <w:p w:rsidR="0041039A" w:rsidRPr="0041039A" w:rsidRDefault="00AF465B" w:rsidP="0041039A">
      <w:r w:rsidRPr="0041039A">
        <w:rPr>
          <w:noProof/>
          <w:snapToGrid/>
          <w:lang w:eastAsia="en-GB"/>
        </w:rPr>
        <w:drawing>
          <wp:inline distT="0" distB="0" distL="0" distR="0">
            <wp:extent cx="2209800" cy="942975"/>
            <wp:effectExtent l="0" t="0" r="0" b="9525"/>
            <wp:docPr id="2" name="Picture 1" title="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942975"/>
                    </a:xfrm>
                    <a:prstGeom prst="rect">
                      <a:avLst/>
                    </a:prstGeom>
                    <a:noFill/>
                    <a:ln>
                      <a:noFill/>
                    </a:ln>
                  </pic:spPr>
                </pic:pic>
              </a:graphicData>
            </a:graphic>
          </wp:inline>
        </w:drawing>
      </w:r>
    </w:p>
    <w:p w:rsidR="0041039A" w:rsidRPr="0041039A" w:rsidRDefault="0041039A" w:rsidP="0041039A">
      <w:pPr>
        <w:jc w:val="both"/>
        <w:rPr>
          <w:rFonts w:ascii="Arial" w:hAnsi="Arial"/>
          <w:b/>
          <w:sz w:val="20"/>
        </w:rPr>
      </w:pPr>
    </w:p>
    <w:p w:rsidR="0041039A" w:rsidRPr="0041039A" w:rsidRDefault="0041039A" w:rsidP="0041039A">
      <w:pPr>
        <w:jc w:val="both"/>
        <w:rPr>
          <w:rFonts w:ascii="Arial" w:hAnsi="Arial"/>
          <w:b/>
          <w:sz w:val="22"/>
          <w:szCs w:val="22"/>
        </w:rPr>
      </w:pPr>
      <w:r w:rsidRPr="0041039A">
        <w:rPr>
          <w:rFonts w:ascii="Arial" w:hAnsi="Arial"/>
          <w:b/>
          <w:sz w:val="22"/>
          <w:szCs w:val="22"/>
        </w:rPr>
        <w:t>Dr Sally Stock PhD FRCPath</w:t>
      </w:r>
    </w:p>
    <w:p w:rsidR="0041039A" w:rsidRPr="0041039A" w:rsidRDefault="0041039A" w:rsidP="0041039A">
      <w:pPr>
        <w:jc w:val="both"/>
        <w:rPr>
          <w:rFonts w:ascii="Arial" w:hAnsi="Arial"/>
          <w:sz w:val="22"/>
          <w:szCs w:val="22"/>
        </w:rPr>
      </w:pPr>
      <w:r w:rsidRPr="0041039A">
        <w:rPr>
          <w:rFonts w:ascii="Arial" w:hAnsi="Arial"/>
          <w:b/>
          <w:sz w:val="22"/>
          <w:szCs w:val="22"/>
        </w:rPr>
        <w:t>Consultant Clinical Scientist &amp; Head of Service for Clinical Biochemistry and Immunology</w:t>
      </w:r>
      <w:r w:rsidR="004A7E25">
        <w:rPr>
          <w:rFonts w:ascii="Arial" w:hAnsi="Arial"/>
          <w:b/>
          <w:sz w:val="22"/>
          <w:szCs w:val="22"/>
        </w:rPr>
        <w:t xml:space="preserve"> </w:t>
      </w:r>
      <w:r w:rsidR="004A7E25" w:rsidRPr="004A7E25">
        <w:rPr>
          <w:rFonts w:ascii="Arial" w:hAnsi="Arial"/>
          <w:b/>
          <w:sz w:val="22"/>
          <w:szCs w:val="22"/>
        </w:rPr>
        <w:t xml:space="preserve">and </w:t>
      </w:r>
      <w:r w:rsidR="004A7E25" w:rsidRPr="00FD56FE">
        <w:rPr>
          <w:rFonts w:ascii="Arial" w:hAnsi="Arial"/>
          <w:b/>
          <w:snapToGrid/>
          <w:sz w:val="22"/>
          <w:szCs w:val="24"/>
        </w:rPr>
        <w:t>Clinical Director of Pathology</w:t>
      </w:r>
    </w:p>
    <w:p w:rsidR="0041039A" w:rsidRPr="0041039A" w:rsidRDefault="0041039A" w:rsidP="0041039A">
      <w:pPr>
        <w:rPr>
          <w:rFonts w:ascii="CG Times" w:hAnsi="CG Times"/>
          <w:sz w:val="20"/>
        </w:rPr>
      </w:pPr>
    </w:p>
    <w:p w:rsidR="0041039A" w:rsidRPr="0041039A" w:rsidRDefault="0041039A" w:rsidP="0041039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jc w:val="both"/>
        <w:outlineLvl w:val="5"/>
        <w:rPr>
          <w:rFonts w:ascii="CG Times" w:hAnsi="CG Times"/>
          <w:b/>
          <w:sz w:val="20"/>
        </w:rPr>
      </w:pPr>
    </w:p>
    <w:p w:rsidR="0041039A" w:rsidRPr="0041039A" w:rsidRDefault="0041039A" w:rsidP="0041039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jc w:val="both"/>
        <w:outlineLvl w:val="5"/>
        <w:rPr>
          <w:rFonts w:ascii="CG Times" w:hAnsi="CG Times"/>
          <w:b/>
          <w:sz w:val="20"/>
        </w:rPr>
      </w:pPr>
    </w:p>
    <w:p w:rsidR="0041039A" w:rsidRPr="0041039A" w:rsidRDefault="0041039A" w:rsidP="0041039A"/>
    <w:p w:rsidR="0041039A" w:rsidRPr="0041039A" w:rsidRDefault="0041039A" w:rsidP="0041039A"/>
    <w:p w:rsidR="0041039A" w:rsidRPr="0041039A" w:rsidRDefault="0041039A" w:rsidP="0041039A">
      <w:pPr>
        <w:rPr>
          <w:rFonts w:ascii="Arial" w:hAnsi="Arial" w:cs="Arial"/>
          <w:sz w:val="20"/>
        </w:rPr>
      </w:pPr>
    </w:p>
    <w:p w:rsidR="0041039A" w:rsidRPr="0041039A" w:rsidRDefault="0041039A" w:rsidP="0041039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outlineLvl w:val="5"/>
        <w:rPr>
          <w:rFonts w:ascii="Arial" w:hAnsi="Arial"/>
          <w:b/>
          <w:sz w:val="20"/>
        </w:rPr>
      </w:pPr>
      <w:r w:rsidRPr="0041039A">
        <w:rPr>
          <w:rFonts w:ascii="Arial" w:hAnsi="Arial"/>
          <w:b/>
          <w:sz w:val="20"/>
        </w:rPr>
        <w:br w:type="page"/>
      </w:r>
    </w:p>
    <w:p w:rsidR="0041039A" w:rsidRPr="0041039A" w:rsidRDefault="0041039A" w:rsidP="0041039A">
      <w:pPr>
        <w:rPr>
          <w:rFonts w:ascii="Arial" w:hAnsi="Arial" w:cs="Arial"/>
          <w:b/>
          <w:sz w:val="28"/>
          <w:szCs w:val="28"/>
        </w:rPr>
      </w:pPr>
      <w:r w:rsidRPr="0041039A">
        <w:rPr>
          <w:rFonts w:ascii="Arial" w:hAnsi="Arial" w:cs="Arial"/>
          <w:b/>
          <w:sz w:val="28"/>
          <w:szCs w:val="28"/>
        </w:rPr>
        <w:t>CONTENTS</w:t>
      </w:r>
    </w:p>
    <w:p w:rsidR="0041039A" w:rsidRPr="0041039A" w:rsidRDefault="0041039A" w:rsidP="0041039A">
      <w:pPr>
        <w:rPr>
          <w:rFonts w:ascii="Arial" w:hAnsi="Arial" w:cs="Arial"/>
          <w:b/>
          <w:sz w:val="28"/>
          <w:szCs w:val="28"/>
        </w:rPr>
      </w:pP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INTRODUCTION…………………………………………………………………………..4</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LABORATORY OPENING HOURS/PHLEBOTOMY SERVICES…………………...6</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CONTACT NUMBERS AND</w:t>
      </w:r>
      <w:r w:rsidR="001A76E1">
        <w:rPr>
          <w:rFonts w:ascii="Arial" w:hAnsi="Arial" w:cs="Arial"/>
          <w:b/>
          <w:szCs w:val="24"/>
        </w:rPr>
        <w:t xml:space="preserve"> KEY PERSONNEL……………………………………...</w:t>
      </w:r>
      <w:r w:rsidR="00CC0E6C">
        <w:rPr>
          <w:rFonts w:ascii="Arial" w:hAnsi="Arial" w:cs="Arial"/>
          <w:b/>
          <w:szCs w:val="24"/>
        </w:rPr>
        <w:t>6</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CLINICAL INFOR</w:t>
      </w:r>
      <w:r w:rsidR="001A76E1">
        <w:rPr>
          <w:rFonts w:ascii="Arial" w:hAnsi="Arial" w:cs="Arial"/>
          <w:b/>
          <w:szCs w:val="24"/>
        </w:rPr>
        <w:t>MATION…………………………………………………………….…</w:t>
      </w:r>
      <w:r w:rsidR="00CC0E6C">
        <w:rPr>
          <w:rFonts w:ascii="Arial" w:hAnsi="Arial" w:cs="Arial"/>
          <w:b/>
          <w:szCs w:val="24"/>
        </w:rPr>
        <w:t>8</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CLINICAL ADVICE AND INT</w:t>
      </w:r>
      <w:r w:rsidR="001A76E1">
        <w:rPr>
          <w:rFonts w:ascii="Arial" w:hAnsi="Arial" w:cs="Arial"/>
          <w:b/>
          <w:szCs w:val="24"/>
        </w:rPr>
        <w:t>ERPRETATION………………………………………</w:t>
      </w:r>
      <w:r w:rsidR="00CC0E6C">
        <w:rPr>
          <w:rFonts w:ascii="Arial" w:hAnsi="Arial" w:cs="Arial"/>
          <w:b/>
          <w:szCs w:val="24"/>
        </w:rPr>
        <w:t>.</w:t>
      </w:r>
      <w:r w:rsidR="001A76E1">
        <w:rPr>
          <w:rFonts w:ascii="Arial" w:hAnsi="Arial" w:cs="Arial"/>
          <w:b/>
          <w:szCs w:val="24"/>
        </w:rPr>
        <w:t>…</w:t>
      </w:r>
      <w:r w:rsidR="00CC0E6C">
        <w:rPr>
          <w:rFonts w:ascii="Arial" w:hAnsi="Arial" w:cs="Arial"/>
          <w:b/>
          <w:szCs w:val="24"/>
        </w:rPr>
        <w:t>8</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SPECIMEN AND REQUEST</w:t>
      </w:r>
      <w:r w:rsidR="001A76E1">
        <w:rPr>
          <w:rFonts w:ascii="Arial" w:hAnsi="Arial" w:cs="Arial"/>
          <w:b/>
          <w:szCs w:val="24"/>
        </w:rPr>
        <w:t xml:space="preserve"> FORM LABELLING…………………………………</w:t>
      </w:r>
      <w:r w:rsidR="00CC0E6C">
        <w:rPr>
          <w:rFonts w:ascii="Arial" w:hAnsi="Arial" w:cs="Arial"/>
          <w:b/>
          <w:szCs w:val="24"/>
        </w:rPr>
        <w:t>..…8</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SAMPLE REQUI</w:t>
      </w:r>
      <w:r w:rsidR="001A76E1">
        <w:rPr>
          <w:rFonts w:ascii="Arial" w:hAnsi="Arial" w:cs="Arial"/>
          <w:b/>
          <w:szCs w:val="24"/>
        </w:rPr>
        <w:t>REMENTS……………………………………………………………</w:t>
      </w:r>
      <w:r w:rsidR="00D545C8">
        <w:rPr>
          <w:rFonts w:ascii="Arial" w:hAnsi="Arial" w:cs="Arial"/>
          <w:b/>
          <w:szCs w:val="24"/>
        </w:rPr>
        <w:t>.</w:t>
      </w:r>
      <w:r w:rsidR="001A76E1">
        <w:rPr>
          <w:rFonts w:ascii="Arial" w:hAnsi="Arial" w:cs="Arial"/>
          <w:b/>
          <w:szCs w:val="24"/>
        </w:rPr>
        <w:t>.1</w:t>
      </w:r>
      <w:r w:rsidR="00D545C8">
        <w:rPr>
          <w:rFonts w:ascii="Arial" w:hAnsi="Arial" w:cs="Arial"/>
          <w:b/>
          <w:szCs w:val="24"/>
        </w:rPr>
        <w:t>1</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URGENT AND OUT OF H</w:t>
      </w:r>
      <w:r w:rsidR="001A76E1">
        <w:rPr>
          <w:rFonts w:ascii="Arial" w:hAnsi="Arial" w:cs="Arial"/>
          <w:b/>
          <w:szCs w:val="24"/>
        </w:rPr>
        <w:t>OURS REQUESTS………………………………………..1</w:t>
      </w:r>
      <w:r w:rsidR="00F22651">
        <w:rPr>
          <w:rFonts w:ascii="Arial" w:hAnsi="Arial" w:cs="Arial"/>
          <w:b/>
          <w:szCs w:val="24"/>
        </w:rPr>
        <w:t>4</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TESTS THAT CANNOT BE COLL</w:t>
      </w:r>
      <w:r w:rsidR="001A76E1">
        <w:rPr>
          <w:rFonts w:ascii="Arial" w:hAnsi="Arial" w:cs="Arial"/>
          <w:b/>
          <w:szCs w:val="24"/>
        </w:rPr>
        <w:t>ECTED AT THE GP SURGERY……………….1</w:t>
      </w:r>
      <w:r w:rsidR="00F22651">
        <w:rPr>
          <w:rFonts w:ascii="Arial" w:hAnsi="Arial" w:cs="Arial"/>
          <w:b/>
          <w:szCs w:val="24"/>
        </w:rPr>
        <w:t>5</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HIGH RISK SAM</w:t>
      </w:r>
      <w:r w:rsidR="001A76E1">
        <w:rPr>
          <w:rFonts w:ascii="Arial" w:hAnsi="Arial" w:cs="Arial"/>
          <w:b/>
          <w:szCs w:val="24"/>
        </w:rPr>
        <w:t>PLES…………………………………………………………………..1</w:t>
      </w:r>
      <w:r w:rsidR="00D545C8">
        <w:rPr>
          <w:rFonts w:ascii="Arial" w:hAnsi="Arial" w:cs="Arial"/>
          <w:b/>
          <w:szCs w:val="24"/>
        </w:rPr>
        <w:t>6</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INFORMED CON</w:t>
      </w:r>
      <w:r w:rsidR="001A76E1">
        <w:rPr>
          <w:rFonts w:ascii="Arial" w:hAnsi="Arial" w:cs="Arial"/>
          <w:b/>
          <w:szCs w:val="24"/>
        </w:rPr>
        <w:t>SENT………………………………………………………………….1</w:t>
      </w:r>
      <w:r w:rsidR="00D545C8">
        <w:rPr>
          <w:rFonts w:ascii="Arial" w:hAnsi="Arial" w:cs="Arial"/>
          <w:b/>
          <w:szCs w:val="24"/>
        </w:rPr>
        <w:t>6</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TRANSPORT OF SPECIMENS</w:t>
      </w:r>
      <w:r w:rsidR="001A76E1">
        <w:rPr>
          <w:rFonts w:ascii="Arial" w:hAnsi="Arial" w:cs="Arial"/>
          <w:b/>
          <w:szCs w:val="24"/>
        </w:rPr>
        <w:t xml:space="preserve"> TO THE LABORATORY…………………………..1</w:t>
      </w:r>
      <w:r w:rsidR="00F22651">
        <w:rPr>
          <w:rFonts w:ascii="Arial" w:hAnsi="Arial" w:cs="Arial"/>
          <w:b/>
          <w:szCs w:val="24"/>
        </w:rPr>
        <w:t>6</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ACCESS TO RE</w:t>
      </w:r>
      <w:r w:rsidR="001A76E1">
        <w:rPr>
          <w:rFonts w:ascii="Arial" w:hAnsi="Arial" w:cs="Arial"/>
          <w:b/>
          <w:szCs w:val="24"/>
        </w:rPr>
        <w:t>SULTS…………………………………………………………………1</w:t>
      </w:r>
      <w:r w:rsidR="00D545C8">
        <w:rPr>
          <w:rFonts w:ascii="Arial" w:hAnsi="Arial" w:cs="Arial"/>
          <w:b/>
          <w:szCs w:val="24"/>
        </w:rPr>
        <w:t>7</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COMMUNICATION OF CRITICAL AND</w:t>
      </w:r>
      <w:r w:rsidR="001A76E1">
        <w:rPr>
          <w:rFonts w:ascii="Arial" w:hAnsi="Arial" w:cs="Arial"/>
          <w:b/>
          <w:szCs w:val="24"/>
        </w:rPr>
        <w:t xml:space="preserve"> UNEXPECTED RESULTS………………</w:t>
      </w:r>
      <w:r w:rsidR="00F22651">
        <w:rPr>
          <w:rFonts w:ascii="Arial" w:hAnsi="Arial" w:cs="Arial"/>
          <w:b/>
          <w:szCs w:val="24"/>
        </w:rPr>
        <w:t>17</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INTERPRETATION OF RESULTS/</w:t>
      </w:r>
      <w:r w:rsidR="001A76E1">
        <w:rPr>
          <w:rFonts w:ascii="Arial" w:hAnsi="Arial" w:cs="Arial"/>
          <w:b/>
          <w:szCs w:val="24"/>
        </w:rPr>
        <w:t>UNCERTAINTY OF MEASUREMENT……….2</w:t>
      </w:r>
      <w:r w:rsidR="00F22651">
        <w:rPr>
          <w:rFonts w:ascii="Arial" w:hAnsi="Arial" w:cs="Arial"/>
          <w:b/>
          <w:szCs w:val="24"/>
        </w:rPr>
        <w:t>0</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 xml:space="preserve">MANAGEMENT OF DATA </w:t>
      </w:r>
      <w:r w:rsidR="001A76E1">
        <w:rPr>
          <w:rFonts w:ascii="Arial" w:hAnsi="Arial" w:cs="Arial"/>
          <w:b/>
          <w:szCs w:val="24"/>
        </w:rPr>
        <w:t>AND INFORMATION…………………………………….22</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 xml:space="preserve">SERVICE COMPLIMENTS </w:t>
      </w:r>
      <w:r w:rsidR="001A76E1">
        <w:rPr>
          <w:rFonts w:ascii="Arial" w:hAnsi="Arial" w:cs="Arial"/>
          <w:b/>
          <w:szCs w:val="24"/>
        </w:rPr>
        <w:t>AND COMPLAINTS………………………………….….2</w:t>
      </w:r>
      <w:r w:rsidR="00F22651">
        <w:rPr>
          <w:rFonts w:ascii="Arial" w:hAnsi="Arial" w:cs="Arial"/>
          <w:b/>
          <w:szCs w:val="24"/>
        </w:rPr>
        <w:t>2</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RESEARCH, DEVELOPME</w:t>
      </w:r>
      <w:r w:rsidR="00E61534">
        <w:rPr>
          <w:rFonts w:ascii="Arial" w:hAnsi="Arial" w:cs="Arial"/>
          <w:b/>
          <w:szCs w:val="24"/>
        </w:rPr>
        <w:t>NT AND TEACHING……………………………….……22</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POINT OF CARE TE</w:t>
      </w:r>
      <w:r w:rsidR="00E61534">
        <w:rPr>
          <w:rFonts w:ascii="Arial" w:hAnsi="Arial" w:cs="Arial"/>
          <w:b/>
          <w:szCs w:val="24"/>
        </w:rPr>
        <w:t>STING……………………………………………………….…….22</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CLINICAL GUIDELINES/</w:t>
      </w:r>
      <w:r w:rsidR="00E61534">
        <w:rPr>
          <w:rFonts w:ascii="Arial" w:hAnsi="Arial" w:cs="Arial"/>
          <w:b/>
          <w:szCs w:val="24"/>
        </w:rPr>
        <w:t>INFORMATION……………………………………………..22</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TEST REPERTOI</w:t>
      </w:r>
      <w:r w:rsidR="003952B9">
        <w:rPr>
          <w:rFonts w:ascii="Arial" w:hAnsi="Arial" w:cs="Arial"/>
          <w:b/>
          <w:szCs w:val="24"/>
        </w:rPr>
        <w:t>RE……………………………………………………………………..4</w:t>
      </w:r>
      <w:r w:rsidR="00E61534">
        <w:rPr>
          <w:rFonts w:ascii="Arial" w:hAnsi="Arial" w:cs="Arial"/>
          <w:b/>
          <w:szCs w:val="24"/>
        </w:rPr>
        <w:t>6</w:t>
      </w:r>
    </w:p>
    <w:p w:rsidR="0041039A" w:rsidRPr="0041039A" w:rsidRDefault="0041039A" w:rsidP="00EA3038">
      <w:pPr>
        <w:numPr>
          <w:ilvl w:val="0"/>
          <w:numId w:val="64"/>
        </w:numPr>
        <w:spacing w:line="360" w:lineRule="auto"/>
        <w:ind w:left="1077" w:hanging="357"/>
        <w:rPr>
          <w:rFonts w:ascii="Arial" w:hAnsi="Arial" w:cs="Arial"/>
          <w:b/>
          <w:szCs w:val="24"/>
        </w:rPr>
      </w:pPr>
      <w:r w:rsidRPr="0041039A">
        <w:rPr>
          <w:rFonts w:ascii="Arial" w:hAnsi="Arial" w:cs="Arial"/>
          <w:b/>
          <w:szCs w:val="24"/>
        </w:rPr>
        <w:t>REFERRAL LABOR</w:t>
      </w:r>
      <w:r w:rsidR="003952B9">
        <w:rPr>
          <w:rFonts w:ascii="Arial" w:hAnsi="Arial" w:cs="Arial"/>
          <w:b/>
          <w:szCs w:val="24"/>
        </w:rPr>
        <w:t>ATORIES………………………………………………………….</w:t>
      </w:r>
      <w:r w:rsidR="00E61534">
        <w:rPr>
          <w:rFonts w:ascii="Arial" w:hAnsi="Arial" w:cs="Arial"/>
          <w:b/>
          <w:szCs w:val="24"/>
        </w:rPr>
        <w:t>78</w:t>
      </w:r>
    </w:p>
    <w:p w:rsidR="0045237D" w:rsidRDefault="0045237D" w:rsidP="0041039A">
      <w:pPr>
        <w:rPr>
          <w:rFonts w:ascii="Arial" w:hAnsi="Arial" w:cs="Arial"/>
          <w:b/>
          <w:sz w:val="28"/>
          <w:szCs w:val="28"/>
        </w:rPr>
      </w:pPr>
    </w:p>
    <w:p w:rsidR="0045237D" w:rsidRDefault="0045237D" w:rsidP="0041039A">
      <w:pPr>
        <w:rPr>
          <w:rFonts w:ascii="Arial" w:hAnsi="Arial" w:cs="Arial"/>
          <w:b/>
          <w:sz w:val="28"/>
          <w:szCs w:val="28"/>
        </w:rPr>
      </w:pPr>
    </w:p>
    <w:p w:rsidR="0045237D" w:rsidRDefault="0045237D" w:rsidP="0041039A">
      <w:pPr>
        <w:rPr>
          <w:rFonts w:ascii="Arial" w:hAnsi="Arial" w:cs="Arial"/>
          <w:b/>
          <w:sz w:val="28"/>
          <w:szCs w:val="28"/>
        </w:rPr>
      </w:pPr>
    </w:p>
    <w:p w:rsidR="0041039A" w:rsidRDefault="0041039A" w:rsidP="0041039A">
      <w:pPr>
        <w:rPr>
          <w:rFonts w:ascii="Arial" w:hAnsi="Arial" w:cs="Arial"/>
          <w:b/>
          <w:sz w:val="28"/>
          <w:szCs w:val="28"/>
        </w:rPr>
      </w:pPr>
    </w:p>
    <w:p w:rsidR="00CB7C64" w:rsidRDefault="00CB7C64" w:rsidP="0041039A">
      <w:pPr>
        <w:rPr>
          <w:rFonts w:ascii="Arial" w:hAnsi="Arial" w:cs="Arial"/>
          <w:b/>
          <w:sz w:val="28"/>
          <w:szCs w:val="28"/>
        </w:rPr>
      </w:pPr>
    </w:p>
    <w:p w:rsidR="00F22651" w:rsidRDefault="00F22651" w:rsidP="0041039A">
      <w:pPr>
        <w:rPr>
          <w:rFonts w:ascii="Arial" w:hAnsi="Arial" w:cs="Arial"/>
          <w:b/>
          <w:sz w:val="28"/>
          <w:szCs w:val="28"/>
        </w:rPr>
      </w:pPr>
    </w:p>
    <w:p w:rsidR="00E61534" w:rsidRDefault="00E61534" w:rsidP="0041039A">
      <w:pPr>
        <w:rPr>
          <w:rFonts w:ascii="Arial" w:hAnsi="Arial" w:cs="Arial"/>
          <w:b/>
          <w:sz w:val="28"/>
          <w:szCs w:val="28"/>
        </w:rPr>
      </w:pPr>
    </w:p>
    <w:p w:rsidR="00E61534" w:rsidRDefault="00E61534" w:rsidP="0041039A">
      <w:pPr>
        <w:rPr>
          <w:rFonts w:ascii="Arial" w:hAnsi="Arial" w:cs="Arial"/>
          <w:b/>
          <w:sz w:val="28"/>
          <w:szCs w:val="28"/>
        </w:rPr>
      </w:pPr>
    </w:p>
    <w:p w:rsidR="00E61534" w:rsidRPr="0041039A" w:rsidRDefault="00E61534" w:rsidP="0041039A">
      <w:pPr>
        <w:rPr>
          <w:rFonts w:ascii="Arial" w:hAnsi="Arial" w:cs="Arial"/>
          <w:b/>
          <w:sz w:val="28"/>
          <w:szCs w:val="28"/>
        </w:rPr>
      </w:pPr>
    </w:p>
    <w:p w:rsidR="0041039A" w:rsidRPr="00F214CF" w:rsidRDefault="0041039A" w:rsidP="00F214CF">
      <w:pPr>
        <w:keepNext/>
        <w:numPr>
          <w:ilvl w:val="0"/>
          <w:numId w:val="44"/>
        </w:numPr>
        <w:spacing w:before="240" w:after="60"/>
        <w:outlineLvl w:val="0"/>
        <w:rPr>
          <w:rFonts w:ascii="Arial" w:hAnsi="Arial"/>
          <w:b/>
          <w:kern w:val="28"/>
          <w:sz w:val="28"/>
        </w:rPr>
      </w:pPr>
      <w:r w:rsidRPr="00F214CF">
        <w:rPr>
          <w:rFonts w:ascii="Arial" w:hAnsi="Arial"/>
          <w:b/>
          <w:kern w:val="28"/>
          <w:sz w:val="28"/>
        </w:rPr>
        <w:t>INTRODUCTION</w:t>
      </w:r>
    </w:p>
    <w:p w:rsidR="0041039A" w:rsidRPr="0041039A" w:rsidRDefault="0041039A" w:rsidP="00D8441A">
      <w:pPr>
        <w:keepNext/>
        <w:widowControl/>
        <w:spacing w:line="360" w:lineRule="auto"/>
        <w:contextualSpacing/>
        <w:jc w:val="both"/>
        <w:outlineLvl w:val="0"/>
        <w:rPr>
          <w:rFonts w:ascii="Arial" w:hAnsi="Arial" w:cs="Arial"/>
          <w:bCs/>
          <w:snapToGrid/>
          <w:kern w:val="32"/>
          <w:sz w:val="22"/>
          <w:szCs w:val="22"/>
        </w:rPr>
      </w:pPr>
      <w:bookmarkStart w:id="1" w:name="_Toc330138580"/>
      <w:bookmarkStart w:id="2" w:name="_Toc393817771"/>
      <w:bookmarkStart w:id="3" w:name="_Toc7525343"/>
      <w:r w:rsidRPr="0041039A">
        <w:rPr>
          <w:rFonts w:ascii="Arial" w:hAnsi="Arial" w:cs="Arial"/>
          <w:bCs/>
          <w:snapToGrid/>
          <w:kern w:val="32"/>
          <w:sz w:val="22"/>
          <w:szCs w:val="22"/>
        </w:rPr>
        <w:t>This user guide is designed to help you get the most from the clinical biochemistry and immunology services at East Kent Hospitals</w:t>
      </w:r>
      <w:r w:rsidR="004A7E25" w:rsidRPr="004A7E25">
        <w:rPr>
          <w:rFonts w:ascii="Arial" w:hAnsi="Arial" w:cs="Arial"/>
          <w:bCs/>
          <w:snapToGrid/>
          <w:kern w:val="32"/>
          <w:sz w:val="22"/>
          <w:szCs w:val="22"/>
        </w:rPr>
        <w:t xml:space="preserve"> </w:t>
      </w:r>
      <w:r w:rsidR="004A7E25">
        <w:rPr>
          <w:rFonts w:ascii="Arial" w:hAnsi="Arial" w:cs="Arial"/>
          <w:bCs/>
          <w:snapToGrid/>
          <w:kern w:val="32"/>
          <w:sz w:val="22"/>
          <w:szCs w:val="22"/>
        </w:rPr>
        <w:t>University NHS Foundation Trust (EKHUFT)</w:t>
      </w:r>
      <w:r w:rsidRPr="0041039A">
        <w:rPr>
          <w:rFonts w:ascii="Arial" w:hAnsi="Arial" w:cs="Arial"/>
          <w:bCs/>
          <w:snapToGrid/>
          <w:kern w:val="32"/>
          <w:sz w:val="22"/>
          <w:szCs w:val="22"/>
        </w:rPr>
        <w:t>.</w:t>
      </w:r>
      <w:bookmarkEnd w:id="1"/>
      <w:bookmarkEnd w:id="2"/>
      <w:bookmarkEnd w:id="3"/>
      <w:r w:rsidRPr="0041039A">
        <w:rPr>
          <w:rFonts w:ascii="Arial" w:hAnsi="Arial" w:cs="Arial"/>
          <w:bCs/>
          <w:snapToGrid/>
          <w:kern w:val="32"/>
          <w:sz w:val="22"/>
          <w:szCs w:val="22"/>
        </w:rPr>
        <w:t xml:space="preserve"> </w:t>
      </w:r>
    </w:p>
    <w:p w:rsidR="000708E5" w:rsidRDefault="000708E5" w:rsidP="00D8441A">
      <w:pPr>
        <w:widowControl/>
        <w:spacing w:line="360" w:lineRule="auto"/>
        <w:contextualSpacing/>
        <w:jc w:val="both"/>
        <w:rPr>
          <w:rFonts w:ascii="Arial" w:eastAsia="Calibri" w:hAnsi="Arial" w:cs="Arial"/>
          <w:b/>
          <w:snapToGrid/>
          <w:sz w:val="22"/>
          <w:szCs w:val="22"/>
        </w:rPr>
      </w:pPr>
    </w:p>
    <w:p w:rsidR="0041039A" w:rsidRPr="0041039A" w:rsidRDefault="0041039A" w:rsidP="00D8441A">
      <w:pPr>
        <w:widowControl/>
        <w:spacing w:line="360" w:lineRule="auto"/>
        <w:contextualSpacing/>
        <w:jc w:val="both"/>
        <w:rPr>
          <w:rFonts w:ascii="Arial" w:eastAsia="Calibri" w:hAnsi="Arial" w:cs="Arial"/>
          <w:b/>
          <w:snapToGrid/>
          <w:sz w:val="22"/>
          <w:szCs w:val="22"/>
        </w:rPr>
      </w:pPr>
      <w:r w:rsidRPr="0041039A">
        <w:rPr>
          <w:rFonts w:ascii="Arial" w:eastAsia="Calibri" w:hAnsi="Arial" w:cs="Arial"/>
          <w:b/>
          <w:snapToGrid/>
          <w:sz w:val="22"/>
          <w:szCs w:val="22"/>
        </w:rPr>
        <w:t>SERVICE OVERVIEW</w:t>
      </w:r>
    </w:p>
    <w:p w:rsidR="0041039A" w:rsidRPr="0041039A" w:rsidRDefault="0041039A" w:rsidP="00D8441A">
      <w:pPr>
        <w:widowControl/>
        <w:spacing w:line="360" w:lineRule="auto"/>
        <w:contextualSpacing/>
        <w:jc w:val="both"/>
        <w:rPr>
          <w:rFonts w:ascii="Arial" w:hAnsi="Arial" w:cs="Arial"/>
          <w:bCs/>
          <w:snapToGrid/>
          <w:kern w:val="32"/>
          <w:sz w:val="22"/>
          <w:szCs w:val="22"/>
        </w:rPr>
      </w:pPr>
      <w:r w:rsidRPr="0041039A">
        <w:rPr>
          <w:rFonts w:ascii="Arial" w:hAnsi="Arial" w:cs="Arial"/>
          <w:bCs/>
          <w:snapToGrid/>
          <w:kern w:val="32"/>
          <w:sz w:val="22"/>
          <w:szCs w:val="22"/>
        </w:rPr>
        <w:t>The clinical biochemistry and immunology laboratory service, which operates within EKHUFT, covers 5 hospital sites including:</w:t>
      </w:r>
    </w:p>
    <w:p w:rsidR="0041039A" w:rsidRPr="0041039A" w:rsidRDefault="0041039A" w:rsidP="00D8441A">
      <w:pPr>
        <w:widowControl/>
        <w:numPr>
          <w:ilvl w:val="0"/>
          <w:numId w:val="43"/>
        </w:numPr>
        <w:spacing w:line="360" w:lineRule="auto"/>
        <w:contextualSpacing/>
        <w:jc w:val="both"/>
        <w:rPr>
          <w:rFonts w:ascii="Arial" w:hAnsi="Arial" w:cs="Arial"/>
          <w:bCs/>
          <w:snapToGrid/>
          <w:kern w:val="32"/>
          <w:sz w:val="22"/>
          <w:szCs w:val="22"/>
        </w:rPr>
      </w:pPr>
      <w:r w:rsidRPr="0041039A">
        <w:rPr>
          <w:rFonts w:ascii="Arial" w:hAnsi="Arial" w:cs="Arial"/>
          <w:bCs/>
          <w:snapToGrid/>
          <w:kern w:val="32"/>
          <w:sz w:val="22"/>
          <w:szCs w:val="22"/>
        </w:rPr>
        <w:t>William Harvey Hospital (WHH), Ashford – hub blood sciences laboratory, which processes all work from primary care, and provides many specialist tests. Immunology laboratory is located at this site.</w:t>
      </w:r>
    </w:p>
    <w:p w:rsidR="0041039A" w:rsidRPr="0041039A" w:rsidRDefault="0041039A" w:rsidP="00D8441A">
      <w:pPr>
        <w:widowControl/>
        <w:numPr>
          <w:ilvl w:val="0"/>
          <w:numId w:val="43"/>
        </w:numPr>
        <w:spacing w:line="360" w:lineRule="auto"/>
        <w:contextualSpacing/>
        <w:jc w:val="both"/>
        <w:rPr>
          <w:rFonts w:ascii="Arial" w:hAnsi="Arial" w:cs="Arial"/>
          <w:bCs/>
          <w:snapToGrid/>
          <w:kern w:val="32"/>
          <w:sz w:val="22"/>
          <w:szCs w:val="22"/>
        </w:rPr>
      </w:pPr>
      <w:r w:rsidRPr="0041039A">
        <w:rPr>
          <w:rFonts w:ascii="Arial" w:hAnsi="Arial" w:cs="Arial"/>
          <w:bCs/>
          <w:snapToGrid/>
          <w:kern w:val="32"/>
          <w:sz w:val="22"/>
          <w:szCs w:val="22"/>
        </w:rPr>
        <w:t>Kent &amp; Canterbury Hospital (K&amp;CH), Canterbury – cross trained spoke laboratory, provision of some specialist testing</w:t>
      </w:r>
    </w:p>
    <w:p w:rsidR="0041039A" w:rsidRPr="0041039A" w:rsidRDefault="0041039A" w:rsidP="00D8441A">
      <w:pPr>
        <w:widowControl/>
        <w:numPr>
          <w:ilvl w:val="0"/>
          <w:numId w:val="43"/>
        </w:numPr>
        <w:spacing w:line="360" w:lineRule="auto"/>
        <w:contextualSpacing/>
        <w:jc w:val="both"/>
        <w:rPr>
          <w:rFonts w:ascii="Arial" w:hAnsi="Arial" w:cs="Arial"/>
          <w:bCs/>
          <w:snapToGrid/>
          <w:kern w:val="32"/>
          <w:sz w:val="22"/>
          <w:szCs w:val="22"/>
        </w:rPr>
      </w:pPr>
      <w:r w:rsidRPr="0041039A">
        <w:rPr>
          <w:rFonts w:ascii="Arial" w:hAnsi="Arial" w:cs="Arial"/>
          <w:bCs/>
          <w:snapToGrid/>
          <w:kern w:val="32"/>
          <w:sz w:val="22"/>
          <w:szCs w:val="22"/>
        </w:rPr>
        <w:t xml:space="preserve">Queen Elizabeth the Queen Mother Hospital (QEQMH), Margate – cross trained spoke laboratory </w:t>
      </w:r>
    </w:p>
    <w:p w:rsidR="0041039A" w:rsidRPr="0041039A" w:rsidRDefault="0041039A" w:rsidP="00D8441A">
      <w:pPr>
        <w:widowControl/>
        <w:numPr>
          <w:ilvl w:val="0"/>
          <w:numId w:val="43"/>
        </w:numPr>
        <w:spacing w:line="360" w:lineRule="auto"/>
        <w:contextualSpacing/>
        <w:jc w:val="both"/>
        <w:rPr>
          <w:rFonts w:ascii="Arial" w:hAnsi="Arial" w:cs="Arial"/>
          <w:bCs/>
          <w:snapToGrid/>
          <w:kern w:val="32"/>
          <w:sz w:val="22"/>
          <w:szCs w:val="22"/>
        </w:rPr>
      </w:pPr>
      <w:r w:rsidRPr="0041039A">
        <w:rPr>
          <w:rFonts w:ascii="Arial" w:hAnsi="Arial" w:cs="Arial"/>
          <w:bCs/>
          <w:snapToGrid/>
          <w:kern w:val="32"/>
          <w:sz w:val="22"/>
          <w:szCs w:val="22"/>
        </w:rPr>
        <w:t>Royal Victoria Hospital Folkestone</w:t>
      </w:r>
      <w:r w:rsidR="00CD2C30">
        <w:rPr>
          <w:rFonts w:ascii="Arial" w:hAnsi="Arial" w:cs="Arial"/>
          <w:bCs/>
          <w:snapToGrid/>
          <w:kern w:val="32"/>
          <w:sz w:val="22"/>
          <w:szCs w:val="22"/>
        </w:rPr>
        <w:t xml:space="preserve"> (RVHF)</w:t>
      </w:r>
      <w:r w:rsidRPr="0041039A">
        <w:rPr>
          <w:rFonts w:ascii="Arial" w:hAnsi="Arial" w:cs="Arial"/>
          <w:bCs/>
          <w:snapToGrid/>
          <w:kern w:val="32"/>
          <w:sz w:val="22"/>
          <w:szCs w:val="22"/>
        </w:rPr>
        <w:t xml:space="preserve"> – phlebotomy service only</w:t>
      </w:r>
    </w:p>
    <w:p w:rsidR="0041039A" w:rsidRPr="0041039A" w:rsidRDefault="0041039A" w:rsidP="00D8441A">
      <w:pPr>
        <w:widowControl/>
        <w:numPr>
          <w:ilvl w:val="0"/>
          <w:numId w:val="43"/>
        </w:numPr>
        <w:spacing w:line="360" w:lineRule="auto"/>
        <w:contextualSpacing/>
        <w:jc w:val="both"/>
        <w:rPr>
          <w:rFonts w:ascii="Arial" w:hAnsi="Arial" w:cs="Arial"/>
          <w:bCs/>
          <w:snapToGrid/>
          <w:kern w:val="32"/>
          <w:sz w:val="22"/>
          <w:szCs w:val="22"/>
        </w:rPr>
      </w:pPr>
      <w:r w:rsidRPr="0041039A">
        <w:rPr>
          <w:rFonts w:ascii="Arial" w:hAnsi="Arial" w:cs="Arial"/>
          <w:bCs/>
          <w:snapToGrid/>
          <w:kern w:val="32"/>
          <w:sz w:val="22"/>
          <w:szCs w:val="22"/>
        </w:rPr>
        <w:t xml:space="preserve">Buckland Hospital, Dover </w:t>
      </w:r>
      <w:r w:rsidR="00CD2C30">
        <w:rPr>
          <w:rFonts w:ascii="Arial" w:hAnsi="Arial" w:cs="Arial"/>
          <w:bCs/>
          <w:snapToGrid/>
          <w:kern w:val="32"/>
          <w:sz w:val="22"/>
          <w:szCs w:val="22"/>
        </w:rPr>
        <w:t xml:space="preserve">(BHD) </w:t>
      </w:r>
      <w:r w:rsidRPr="0041039A">
        <w:rPr>
          <w:rFonts w:ascii="Arial" w:hAnsi="Arial" w:cs="Arial"/>
          <w:bCs/>
          <w:snapToGrid/>
          <w:kern w:val="32"/>
          <w:sz w:val="22"/>
          <w:szCs w:val="22"/>
        </w:rPr>
        <w:t>– phlebotomy service only</w:t>
      </w:r>
    </w:p>
    <w:p w:rsidR="0041039A" w:rsidRPr="0041039A" w:rsidRDefault="0041039A" w:rsidP="00D8441A">
      <w:pPr>
        <w:widowControl/>
        <w:spacing w:line="360" w:lineRule="auto"/>
        <w:contextualSpacing/>
        <w:jc w:val="both"/>
        <w:rPr>
          <w:rFonts w:ascii="Arial" w:hAnsi="Arial" w:cs="Arial"/>
          <w:bCs/>
          <w:snapToGrid/>
          <w:kern w:val="32"/>
          <w:sz w:val="22"/>
          <w:szCs w:val="22"/>
        </w:rPr>
      </w:pPr>
    </w:p>
    <w:p w:rsidR="0041039A" w:rsidRDefault="0041039A" w:rsidP="00D8441A">
      <w:pPr>
        <w:widowControl/>
        <w:spacing w:line="360" w:lineRule="auto"/>
        <w:contextualSpacing/>
        <w:jc w:val="both"/>
        <w:rPr>
          <w:rFonts w:ascii="Arial" w:hAnsi="Arial" w:cs="Arial"/>
          <w:bCs/>
          <w:snapToGrid/>
          <w:kern w:val="32"/>
          <w:sz w:val="22"/>
          <w:szCs w:val="22"/>
        </w:rPr>
      </w:pPr>
      <w:r w:rsidRPr="0041039A">
        <w:rPr>
          <w:rFonts w:ascii="Arial" w:hAnsi="Arial" w:cs="Arial"/>
          <w:bCs/>
          <w:snapToGrid/>
          <w:kern w:val="32"/>
          <w:sz w:val="22"/>
          <w:szCs w:val="22"/>
        </w:rPr>
        <w:t>There is a 24-7/365 diagnostic laboratory service offered on sites 1-3 with full clinical biochemistry cover during these times provided by clinical scientists, biomedical scientists and assistant health care scientists. The immunology laboratory at WHH is open Monday – Friday 08:00 - 17:15.</w:t>
      </w:r>
    </w:p>
    <w:p w:rsidR="00AD228D" w:rsidRPr="0041039A" w:rsidRDefault="00AD228D" w:rsidP="00D8441A">
      <w:pPr>
        <w:widowControl/>
        <w:spacing w:line="360" w:lineRule="auto"/>
        <w:contextualSpacing/>
        <w:jc w:val="both"/>
        <w:rPr>
          <w:rFonts w:ascii="Arial" w:hAnsi="Arial" w:cs="Arial"/>
          <w:b/>
          <w:bCs/>
          <w:snapToGrid/>
          <w:kern w:val="32"/>
          <w:sz w:val="22"/>
          <w:szCs w:val="22"/>
        </w:rPr>
      </w:pPr>
    </w:p>
    <w:p w:rsidR="0041039A" w:rsidRPr="0041039A" w:rsidRDefault="0041039A" w:rsidP="00D8441A">
      <w:pPr>
        <w:spacing w:line="360" w:lineRule="auto"/>
        <w:contextualSpacing/>
        <w:jc w:val="both"/>
        <w:rPr>
          <w:rFonts w:ascii="Arial" w:hAnsi="Arial" w:cs="Arial"/>
          <w:sz w:val="22"/>
          <w:szCs w:val="22"/>
          <w:lang w:eastAsia="en-GB"/>
        </w:rPr>
      </w:pPr>
      <w:r w:rsidRPr="0041039A">
        <w:rPr>
          <w:rFonts w:ascii="Arial" w:hAnsi="Arial" w:cs="Arial"/>
          <w:bCs/>
          <w:snapToGrid/>
          <w:kern w:val="32"/>
          <w:sz w:val="22"/>
          <w:szCs w:val="22"/>
        </w:rPr>
        <w:t xml:space="preserve">All of our clinical biochemistry (including immunology) laboratories are UKAS ISO 15189; 2012 accredited. Tests listed on our current scope of practice can be found on the UKAS website </w:t>
      </w:r>
      <w:hyperlink r:id="rId10" w:history="1">
        <w:r w:rsidRPr="0041039A">
          <w:rPr>
            <w:rFonts w:ascii="Arial" w:hAnsi="Arial" w:cs="Arial"/>
            <w:bCs/>
            <w:color w:val="0000FF"/>
            <w:kern w:val="32"/>
            <w:sz w:val="22"/>
            <w:szCs w:val="22"/>
            <w:u w:val="single"/>
          </w:rPr>
          <w:t>https://www.ukas.com/</w:t>
        </w:r>
      </w:hyperlink>
      <w:r w:rsidR="0045237D">
        <w:rPr>
          <w:rFonts w:ascii="Arial" w:hAnsi="Arial" w:cs="Arial"/>
          <w:bCs/>
          <w:snapToGrid/>
          <w:kern w:val="32"/>
          <w:sz w:val="22"/>
          <w:szCs w:val="22"/>
        </w:rPr>
        <w:t xml:space="preserve">. </w:t>
      </w:r>
    </w:p>
    <w:p w:rsidR="0041039A" w:rsidRPr="0041039A" w:rsidRDefault="0041039A" w:rsidP="00D8441A">
      <w:pPr>
        <w:spacing w:line="360" w:lineRule="auto"/>
        <w:contextualSpacing/>
        <w:jc w:val="both"/>
        <w:rPr>
          <w:rFonts w:ascii="Arial" w:hAnsi="Arial" w:cs="Arial"/>
          <w:sz w:val="22"/>
          <w:szCs w:val="22"/>
          <w:lang w:eastAsia="en-GB"/>
        </w:rPr>
      </w:pPr>
    </w:p>
    <w:p w:rsidR="0041039A" w:rsidRPr="0041039A" w:rsidRDefault="0041039A" w:rsidP="00D8441A">
      <w:pPr>
        <w:spacing w:line="360" w:lineRule="auto"/>
        <w:contextualSpacing/>
        <w:jc w:val="both"/>
        <w:rPr>
          <w:lang w:eastAsia="en-GB"/>
        </w:rPr>
      </w:pPr>
      <w:r w:rsidRPr="0041039A">
        <w:rPr>
          <w:rFonts w:ascii="Arial" w:hAnsi="Arial" w:cs="Arial"/>
          <w:sz w:val="22"/>
          <w:szCs w:val="22"/>
          <w:lang w:eastAsia="en-GB"/>
        </w:rPr>
        <w:t xml:space="preserve">Section 22 of this user guide lists our test repertoire, both tests provided within EKHUFT and those that are referred to other laboratories. The section details reference ranges, sample requirements, turnaround time, </w:t>
      </w:r>
      <w:r w:rsidR="0045237D" w:rsidRPr="0041039A">
        <w:rPr>
          <w:rFonts w:ascii="Arial" w:hAnsi="Arial" w:cs="Arial"/>
          <w:sz w:val="22"/>
          <w:szCs w:val="22"/>
          <w:lang w:eastAsia="en-GB"/>
        </w:rPr>
        <w:t>and referral</w:t>
      </w:r>
      <w:r w:rsidRPr="0041039A">
        <w:rPr>
          <w:rFonts w:ascii="Arial" w:hAnsi="Arial" w:cs="Arial"/>
          <w:sz w:val="22"/>
          <w:szCs w:val="22"/>
          <w:lang w:eastAsia="en-GB"/>
        </w:rPr>
        <w:t xml:space="preserve"> laboratory (if applicable) and identifies those test that are not </w:t>
      </w:r>
      <w:r w:rsidRPr="0041039A">
        <w:rPr>
          <w:rFonts w:ascii="Arial" w:hAnsi="Arial" w:cs="Arial"/>
          <w:bCs/>
          <w:snapToGrid/>
          <w:kern w:val="32"/>
          <w:sz w:val="22"/>
          <w:szCs w:val="22"/>
        </w:rPr>
        <w:t>UKAS ISO 15189; 2012 accredited.</w:t>
      </w:r>
      <w:r w:rsidR="00CB7C64">
        <w:rPr>
          <w:rFonts w:ascii="Arial" w:hAnsi="Arial" w:cs="Arial"/>
          <w:bCs/>
          <w:snapToGrid/>
          <w:kern w:val="32"/>
          <w:sz w:val="22"/>
          <w:szCs w:val="22"/>
        </w:rPr>
        <w:t xml:space="preserve"> </w:t>
      </w:r>
    </w:p>
    <w:p w:rsidR="0041039A" w:rsidRPr="0041039A" w:rsidRDefault="0041039A" w:rsidP="00D8441A">
      <w:pPr>
        <w:widowControl/>
        <w:spacing w:line="360" w:lineRule="auto"/>
        <w:contextualSpacing/>
        <w:jc w:val="both"/>
        <w:rPr>
          <w:rFonts w:ascii="Arial" w:hAnsi="Arial" w:cs="Arial"/>
          <w:bCs/>
          <w:snapToGrid/>
          <w:kern w:val="32"/>
          <w:sz w:val="22"/>
          <w:szCs w:val="22"/>
        </w:rPr>
      </w:pPr>
    </w:p>
    <w:p w:rsidR="0041039A" w:rsidRPr="0041039A" w:rsidRDefault="0041039A" w:rsidP="00D8441A">
      <w:pPr>
        <w:spacing w:line="360" w:lineRule="auto"/>
        <w:contextualSpacing/>
        <w:jc w:val="both"/>
        <w:rPr>
          <w:rFonts w:ascii="Arial" w:hAnsi="Arial" w:cs="Arial"/>
          <w:b/>
          <w:bCs/>
          <w:caps/>
          <w:kern w:val="32"/>
          <w:sz w:val="22"/>
          <w:szCs w:val="22"/>
        </w:rPr>
      </w:pPr>
      <w:r w:rsidRPr="0041039A">
        <w:rPr>
          <w:rFonts w:ascii="Arial" w:hAnsi="Arial" w:cs="Arial"/>
          <w:b/>
          <w:bCs/>
          <w:caps/>
          <w:kern w:val="32"/>
          <w:sz w:val="22"/>
          <w:szCs w:val="22"/>
        </w:rPr>
        <w:t>Geographical Catchment</w:t>
      </w:r>
    </w:p>
    <w:p w:rsidR="0041039A" w:rsidRPr="0041039A" w:rsidRDefault="0041039A" w:rsidP="00D8441A">
      <w:pPr>
        <w:spacing w:line="360" w:lineRule="auto"/>
        <w:contextualSpacing/>
        <w:jc w:val="both"/>
        <w:rPr>
          <w:rFonts w:ascii="Arial" w:hAnsi="Arial" w:cs="Arial"/>
          <w:sz w:val="22"/>
          <w:szCs w:val="22"/>
        </w:rPr>
      </w:pPr>
      <w:r w:rsidRPr="00F214CF">
        <w:rPr>
          <w:rFonts w:ascii="Arial" w:hAnsi="Arial" w:cs="Arial"/>
          <w:sz w:val="22"/>
          <w:szCs w:val="22"/>
        </w:rPr>
        <w:t>East Kent University Hospitals NHS Foundation Trusts</w:t>
      </w:r>
      <w:r w:rsidRPr="0041039A">
        <w:rPr>
          <w:rFonts w:ascii="Arial" w:hAnsi="Arial" w:cs="Arial"/>
          <w:sz w:val="22"/>
          <w:szCs w:val="22"/>
        </w:rPr>
        <w:t xml:space="preserve"> clinical biochemistry and immunology laboratories are spread across a wide geographical area supporting over 110 primary care sites from Margate to the east, Faversham to the north, Tenterden to the west and Romney Marsh to the south.</w:t>
      </w:r>
    </w:p>
    <w:p w:rsidR="0041039A" w:rsidRPr="0041039A" w:rsidRDefault="0041039A" w:rsidP="00D8441A">
      <w:pPr>
        <w:spacing w:line="360" w:lineRule="auto"/>
        <w:contextualSpacing/>
        <w:jc w:val="both"/>
        <w:rPr>
          <w:rFonts w:ascii="Arial" w:hAnsi="Arial" w:cs="Arial"/>
          <w:sz w:val="22"/>
          <w:szCs w:val="22"/>
        </w:rPr>
      </w:pPr>
    </w:p>
    <w:p w:rsidR="00B66AC9" w:rsidRDefault="0041039A" w:rsidP="00D8441A">
      <w:pPr>
        <w:spacing w:line="360" w:lineRule="auto"/>
        <w:contextualSpacing/>
        <w:jc w:val="both"/>
        <w:rPr>
          <w:rFonts w:ascii="Arial" w:hAnsi="Arial" w:cs="Arial"/>
          <w:sz w:val="22"/>
          <w:szCs w:val="22"/>
        </w:rPr>
      </w:pPr>
      <w:r w:rsidRPr="0041039A">
        <w:rPr>
          <w:rFonts w:ascii="Arial" w:hAnsi="Arial" w:cs="Arial"/>
          <w:sz w:val="22"/>
          <w:szCs w:val="22"/>
        </w:rPr>
        <w:t xml:space="preserve">Our services are reliant upon a specific and robust transport infrastructure in order to effectively support an ever growing population </w:t>
      </w:r>
      <w:r w:rsidRPr="00D8441A">
        <w:rPr>
          <w:rFonts w:ascii="Arial" w:hAnsi="Arial" w:cs="Arial"/>
          <w:sz w:val="22"/>
          <w:szCs w:val="22"/>
        </w:rPr>
        <w:t xml:space="preserve">of </w:t>
      </w:r>
      <w:r w:rsidRPr="003904C1">
        <w:rPr>
          <w:rFonts w:ascii="Arial" w:hAnsi="Arial" w:cs="Arial"/>
          <w:sz w:val="22"/>
          <w:szCs w:val="22"/>
        </w:rPr>
        <w:t>circa 760,000</w:t>
      </w:r>
      <w:r w:rsidRPr="00D8441A">
        <w:rPr>
          <w:rFonts w:ascii="Arial" w:hAnsi="Arial" w:cs="Arial"/>
          <w:sz w:val="22"/>
          <w:szCs w:val="22"/>
        </w:rPr>
        <w:t xml:space="preserve"> within East Kent. These support services are located within equal distance of each other geographically but are constrained</w:t>
      </w:r>
      <w:r w:rsidRPr="0041039A">
        <w:rPr>
          <w:rFonts w:ascii="Arial" w:hAnsi="Arial" w:cs="Arial"/>
          <w:sz w:val="22"/>
          <w:szCs w:val="22"/>
        </w:rPr>
        <w:t xml:space="preserve"> by the road network in places. Our services operate from:</w:t>
      </w:r>
    </w:p>
    <w:p w:rsidR="00B66AC9" w:rsidRDefault="00B66AC9" w:rsidP="00D8441A">
      <w:pPr>
        <w:spacing w:line="360" w:lineRule="auto"/>
        <w:contextualSpacing/>
        <w:jc w:val="both"/>
        <w:rPr>
          <w:rFonts w:ascii="Arial" w:hAnsi="Arial" w:cs="Arial"/>
          <w:sz w:val="22"/>
          <w:szCs w:val="22"/>
        </w:rPr>
      </w:pPr>
    </w:p>
    <w:p w:rsidR="00E61534" w:rsidRPr="0041039A" w:rsidRDefault="00E61534" w:rsidP="00D8441A">
      <w:pPr>
        <w:spacing w:line="360" w:lineRule="auto"/>
        <w:contextualSpacing/>
        <w:jc w:val="both"/>
        <w:rPr>
          <w:rFonts w:ascii="Arial" w:hAnsi="Arial" w:cs="Arial"/>
          <w:sz w:val="22"/>
          <w:szCs w:val="22"/>
        </w:rPr>
      </w:pPr>
    </w:p>
    <w:p w:rsidR="0041039A" w:rsidRPr="0041039A" w:rsidRDefault="0041039A" w:rsidP="00D8441A">
      <w:pPr>
        <w:widowControl/>
        <w:numPr>
          <w:ilvl w:val="0"/>
          <w:numId w:val="45"/>
        </w:numPr>
        <w:spacing w:line="360" w:lineRule="auto"/>
        <w:contextualSpacing/>
        <w:jc w:val="both"/>
        <w:rPr>
          <w:rFonts w:ascii="Arial" w:hAnsi="Arial" w:cs="Arial"/>
          <w:sz w:val="22"/>
          <w:szCs w:val="22"/>
        </w:rPr>
      </w:pPr>
      <w:r w:rsidRPr="0041039A">
        <w:rPr>
          <w:rFonts w:ascii="Arial" w:hAnsi="Arial" w:cs="Arial"/>
          <w:sz w:val="22"/>
          <w:szCs w:val="22"/>
        </w:rPr>
        <w:t>The William Harvey Hospital, Ashford</w:t>
      </w:r>
    </w:p>
    <w:p w:rsidR="0041039A" w:rsidRPr="0041039A" w:rsidRDefault="0041039A" w:rsidP="00D8441A">
      <w:pPr>
        <w:widowControl/>
        <w:numPr>
          <w:ilvl w:val="0"/>
          <w:numId w:val="45"/>
        </w:numPr>
        <w:spacing w:line="360" w:lineRule="auto"/>
        <w:contextualSpacing/>
        <w:jc w:val="both"/>
        <w:rPr>
          <w:rFonts w:ascii="Arial" w:hAnsi="Arial" w:cs="Arial"/>
          <w:sz w:val="22"/>
          <w:szCs w:val="22"/>
        </w:rPr>
      </w:pPr>
      <w:r w:rsidRPr="0041039A">
        <w:rPr>
          <w:rFonts w:ascii="Arial" w:hAnsi="Arial" w:cs="Arial"/>
          <w:sz w:val="22"/>
          <w:szCs w:val="22"/>
        </w:rPr>
        <w:t>The Kent &amp; Canterbury Hospital, Canterbury</w:t>
      </w:r>
    </w:p>
    <w:p w:rsidR="0041039A" w:rsidRPr="0041039A" w:rsidRDefault="0041039A" w:rsidP="00D8441A">
      <w:pPr>
        <w:widowControl/>
        <w:numPr>
          <w:ilvl w:val="0"/>
          <w:numId w:val="45"/>
        </w:numPr>
        <w:spacing w:line="360" w:lineRule="auto"/>
        <w:contextualSpacing/>
        <w:jc w:val="both"/>
        <w:rPr>
          <w:rFonts w:ascii="Arial" w:hAnsi="Arial" w:cs="Arial"/>
          <w:sz w:val="22"/>
          <w:szCs w:val="22"/>
        </w:rPr>
      </w:pPr>
      <w:r w:rsidRPr="0041039A">
        <w:rPr>
          <w:rFonts w:ascii="Arial" w:hAnsi="Arial" w:cs="Arial"/>
          <w:sz w:val="22"/>
          <w:szCs w:val="22"/>
        </w:rPr>
        <w:t>The Queen Elizabeth the Queen Mother Hospital, Margate</w:t>
      </w:r>
    </w:p>
    <w:p w:rsidR="0041039A" w:rsidRPr="0041039A" w:rsidRDefault="0041039A" w:rsidP="00D8441A">
      <w:pPr>
        <w:widowControl/>
        <w:numPr>
          <w:ilvl w:val="0"/>
          <w:numId w:val="45"/>
        </w:numPr>
        <w:spacing w:line="360" w:lineRule="auto"/>
        <w:contextualSpacing/>
        <w:jc w:val="both"/>
        <w:rPr>
          <w:rFonts w:ascii="Arial" w:hAnsi="Arial" w:cs="Arial"/>
          <w:sz w:val="22"/>
          <w:szCs w:val="22"/>
        </w:rPr>
      </w:pPr>
      <w:r w:rsidRPr="0041039A">
        <w:rPr>
          <w:rFonts w:ascii="Arial" w:hAnsi="Arial" w:cs="Arial"/>
          <w:sz w:val="22"/>
          <w:szCs w:val="22"/>
        </w:rPr>
        <w:t>Royal Victoria Hospital, Folkestone (Phlebotomy Only)</w:t>
      </w:r>
    </w:p>
    <w:p w:rsidR="0041039A" w:rsidRPr="0041039A" w:rsidRDefault="0041039A" w:rsidP="00D8441A">
      <w:pPr>
        <w:widowControl/>
        <w:numPr>
          <w:ilvl w:val="0"/>
          <w:numId w:val="45"/>
        </w:numPr>
        <w:spacing w:line="360" w:lineRule="auto"/>
        <w:contextualSpacing/>
        <w:jc w:val="both"/>
        <w:rPr>
          <w:rFonts w:ascii="Arial" w:hAnsi="Arial" w:cs="Arial"/>
          <w:sz w:val="22"/>
          <w:szCs w:val="22"/>
        </w:rPr>
      </w:pPr>
      <w:r w:rsidRPr="0041039A">
        <w:rPr>
          <w:rFonts w:ascii="Arial" w:hAnsi="Arial" w:cs="Arial"/>
          <w:sz w:val="22"/>
          <w:szCs w:val="22"/>
        </w:rPr>
        <w:t>Buckland Hospital, Dover (Phlebotomy Only)</w:t>
      </w:r>
    </w:p>
    <w:p w:rsidR="0041039A" w:rsidRPr="0041039A" w:rsidRDefault="0041039A" w:rsidP="00D8441A">
      <w:pPr>
        <w:spacing w:line="360" w:lineRule="auto"/>
        <w:contextualSpacing/>
        <w:jc w:val="both"/>
        <w:rPr>
          <w:rFonts w:ascii="Arial" w:hAnsi="Arial" w:cs="Arial"/>
          <w:sz w:val="22"/>
          <w:szCs w:val="22"/>
          <w:lang w:eastAsia="en-GB"/>
        </w:rPr>
      </w:pPr>
    </w:p>
    <w:p w:rsidR="0041039A" w:rsidRPr="0041039A" w:rsidRDefault="0041039A" w:rsidP="00D8441A">
      <w:pPr>
        <w:spacing w:line="360" w:lineRule="auto"/>
        <w:contextualSpacing/>
        <w:jc w:val="both"/>
        <w:rPr>
          <w:rFonts w:ascii="Arial" w:hAnsi="Arial" w:cs="Arial"/>
          <w:sz w:val="22"/>
          <w:szCs w:val="22"/>
        </w:rPr>
      </w:pPr>
      <w:r w:rsidRPr="0041039A">
        <w:rPr>
          <w:rFonts w:ascii="Arial" w:hAnsi="Arial" w:cs="Arial"/>
          <w:sz w:val="22"/>
          <w:szCs w:val="22"/>
        </w:rPr>
        <w:t>The figure below demonstrates the wide geographical spread of East Kent’s Pathology services as things stand.</w:t>
      </w:r>
    </w:p>
    <w:p w:rsidR="0041039A" w:rsidRPr="0041039A" w:rsidRDefault="0041039A" w:rsidP="0041039A">
      <w:pPr>
        <w:jc w:val="both"/>
        <w:rPr>
          <w:rFonts w:ascii="Arial" w:hAnsi="Arial" w:cs="Arial"/>
          <w:b/>
          <w:sz w:val="22"/>
          <w:szCs w:val="22"/>
          <w:lang w:eastAsia="en-GB"/>
        </w:rPr>
      </w:pPr>
    </w:p>
    <w:p w:rsidR="0041039A" w:rsidRPr="0041039A" w:rsidRDefault="0041039A" w:rsidP="0041039A">
      <w:pPr>
        <w:jc w:val="both"/>
        <w:rPr>
          <w:rFonts w:ascii="Arial" w:hAnsi="Arial" w:cs="Arial"/>
          <w:b/>
          <w:bCs/>
          <w:caps/>
          <w:kern w:val="32"/>
          <w:sz w:val="22"/>
          <w:szCs w:val="22"/>
        </w:rPr>
      </w:pPr>
      <w:r w:rsidRPr="0041039A">
        <w:rPr>
          <w:rFonts w:ascii="Arial" w:hAnsi="Arial" w:cs="Arial"/>
          <w:b/>
          <w:bCs/>
          <w:caps/>
          <w:kern w:val="32"/>
          <w:sz w:val="22"/>
          <w:szCs w:val="22"/>
        </w:rPr>
        <w:t>Figure 1 – Spread of Main NHS Trust Sites</w:t>
      </w:r>
    </w:p>
    <w:p w:rsidR="0041039A" w:rsidRPr="0041039A" w:rsidRDefault="0041039A" w:rsidP="0041039A">
      <w:pPr>
        <w:jc w:val="both"/>
        <w:rPr>
          <w:rFonts w:ascii="Arial" w:hAnsi="Arial" w:cs="Arial"/>
          <w:b/>
          <w:sz w:val="22"/>
          <w:szCs w:val="22"/>
          <w:lang w:eastAsia="en-GB"/>
        </w:rPr>
      </w:pPr>
    </w:p>
    <w:p w:rsidR="0041039A" w:rsidRPr="0041039A" w:rsidRDefault="0041039A" w:rsidP="0041039A">
      <w:pPr>
        <w:rPr>
          <w:rFonts w:ascii="Arial" w:hAnsi="Arial" w:cs="Arial"/>
          <w:noProof/>
          <w:color w:val="333333"/>
          <w:sz w:val="22"/>
          <w:szCs w:val="22"/>
          <w:lang w:eastAsia="en-GB"/>
        </w:rPr>
      </w:pPr>
    </w:p>
    <w:p w:rsidR="0041039A" w:rsidRPr="0041039A" w:rsidRDefault="00AF465B" w:rsidP="0041039A">
      <w:pPr>
        <w:widowControl/>
        <w:spacing w:after="200" w:line="276" w:lineRule="auto"/>
        <w:jc w:val="both"/>
        <w:rPr>
          <w:rFonts w:ascii="Arial" w:hAnsi="Arial" w:cs="Arial"/>
          <w:b/>
          <w:bCs/>
          <w:snapToGrid/>
          <w:kern w:val="32"/>
          <w:sz w:val="22"/>
          <w:szCs w:val="22"/>
        </w:rPr>
      </w:pPr>
      <w:r w:rsidRPr="0041039A">
        <w:rPr>
          <w:rFonts w:ascii="Arial" w:hAnsi="Arial" w:cs="Arial"/>
          <w:noProof/>
          <w:color w:val="333333"/>
          <w:sz w:val="22"/>
          <w:szCs w:val="22"/>
          <w:lang w:eastAsia="en-GB"/>
        </w:rPr>
        <w:drawing>
          <wp:inline distT="0" distB="0" distL="0" distR="0">
            <wp:extent cx="2638425" cy="2657475"/>
            <wp:effectExtent l="19050" t="19050" r="28575" b="28575"/>
            <wp:docPr id="3" name="Picture 7" descr="Description: http://locationmaps.com/wp-content/uploads/East%20Kent%20NHS%20Area_sized.jpg" title="Map of East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locationmaps.com/wp-content/uploads/East%20Kent%20NHS%20Area_sized.jpg"/>
                    <pic:cNvPicPr>
                      <a:picLocks noChangeAspect="1" noChangeArrowheads="1"/>
                    </pic:cNvPicPr>
                  </pic:nvPicPr>
                  <pic:blipFill>
                    <a:blip r:embed="rId11">
                      <a:extLst>
                        <a:ext uri="{28A0092B-C50C-407E-A947-70E740481C1C}">
                          <a14:useLocalDpi xmlns:a14="http://schemas.microsoft.com/office/drawing/2010/main" val="0"/>
                        </a:ext>
                      </a:extLst>
                    </a:blip>
                    <a:srcRect l="39256" t="13715" r="1454" b="1826"/>
                    <a:stretch>
                      <a:fillRect/>
                    </a:stretch>
                  </pic:blipFill>
                  <pic:spPr bwMode="auto">
                    <a:xfrm>
                      <a:off x="0" y="0"/>
                      <a:ext cx="2638425" cy="2657475"/>
                    </a:xfrm>
                    <a:prstGeom prst="rect">
                      <a:avLst/>
                    </a:prstGeom>
                    <a:noFill/>
                    <a:ln w="6350" cmpd="sng">
                      <a:solidFill>
                        <a:srgbClr val="000000"/>
                      </a:solidFill>
                      <a:miter lim="800000"/>
                      <a:headEnd/>
                      <a:tailEnd/>
                    </a:ln>
                    <a:effectLst/>
                  </pic:spPr>
                </pic:pic>
              </a:graphicData>
            </a:graphic>
          </wp:inline>
        </w:drawing>
      </w:r>
    </w:p>
    <w:p w:rsidR="0041039A" w:rsidRPr="0041039A" w:rsidRDefault="0041039A" w:rsidP="00D8441A">
      <w:pPr>
        <w:widowControl/>
        <w:spacing w:line="360" w:lineRule="auto"/>
        <w:contextualSpacing/>
        <w:jc w:val="both"/>
        <w:rPr>
          <w:rFonts w:ascii="Arial Bold" w:hAnsi="Arial Bold" w:cs="Arial"/>
          <w:b/>
          <w:bCs/>
          <w:caps/>
          <w:snapToGrid/>
          <w:kern w:val="32"/>
          <w:sz w:val="22"/>
          <w:szCs w:val="22"/>
        </w:rPr>
      </w:pPr>
      <w:r w:rsidRPr="0041039A">
        <w:rPr>
          <w:rFonts w:ascii="Arial Bold" w:hAnsi="Arial Bold" w:cs="Arial"/>
          <w:b/>
          <w:bCs/>
          <w:caps/>
          <w:snapToGrid/>
          <w:kern w:val="32"/>
          <w:sz w:val="22"/>
          <w:szCs w:val="22"/>
        </w:rPr>
        <w:t>Clinical biochemistry (including immunology) laboratory locations</w:t>
      </w:r>
    </w:p>
    <w:p w:rsidR="0041039A" w:rsidRPr="0041039A" w:rsidRDefault="0041039A" w:rsidP="00D8441A">
      <w:pPr>
        <w:autoSpaceDE w:val="0"/>
        <w:autoSpaceDN w:val="0"/>
        <w:adjustRightInd w:val="0"/>
        <w:spacing w:line="360" w:lineRule="auto"/>
        <w:contextualSpacing/>
        <w:jc w:val="both"/>
        <w:rPr>
          <w:rFonts w:ascii="Arial" w:hAnsi="Arial" w:cs="Arial"/>
          <w:bCs/>
          <w:snapToGrid/>
          <w:kern w:val="32"/>
          <w:sz w:val="22"/>
          <w:szCs w:val="22"/>
        </w:rPr>
      </w:pPr>
      <w:r w:rsidRPr="0041039A">
        <w:rPr>
          <w:rFonts w:ascii="Arial" w:hAnsi="Arial" w:cs="Arial"/>
          <w:b/>
          <w:bCs/>
          <w:snapToGrid/>
          <w:kern w:val="32"/>
          <w:sz w:val="22"/>
          <w:szCs w:val="22"/>
        </w:rPr>
        <w:t>WHH</w:t>
      </w:r>
      <w:r w:rsidRPr="0041039A">
        <w:rPr>
          <w:rFonts w:ascii="Arial" w:hAnsi="Arial" w:cs="Arial"/>
          <w:bCs/>
          <w:snapToGrid/>
          <w:kern w:val="32"/>
          <w:sz w:val="22"/>
          <w:szCs w:val="22"/>
        </w:rPr>
        <w:t xml:space="preserve"> laboratory is located on the ground floor in the green zone at the rear of the hospital. Note that phlebotomy facilities at WHH are located near the main entrance, not in Pathology.</w:t>
      </w:r>
    </w:p>
    <w:p w:rsidR="0041039A" w:rsidRPr="0041039A" w:rsidRDefault="0041039A" w:rsidP="00D8441A">
      <w:pPr>
        <w:autoSpaceDE w:val="0"/>
        <w:autoSpaceDN w:val="0"/>
        <w:adjustRightInd w:val="0"/>
        <w:spacing w:line="360" w:lineRule="auto"/>
        <w:contextualSpacing/>
        <w:jc w:val="both"/>
        <w:rPr>
          <w:rFonts w:ascii="Arial" w:hAnsi="Arial" w:cs="Arial"/>
          <w:bCs/>
          <w:snapToGrid/>
          <w:kern w:val="32"/>
          <w:sz w:val="22"/>
          <w:szCs w:val="22"/>
        </w:rPr>
      </w:pPr>
      <w:r w:rsidRPr="0041039A">
        <w:rPr>
          <w:rFonts w:ascii="Arial" w:hAnsi="Arial" w:cs="Arial"/>
          <w:b/>
          <w:bCs/>
          <w:snapToGrid/>
          <w:kern w:val="32"/>
          <w:sz w:val="22"/>
          <w:szCs w:val="22"/>
        </w:rPr>
        <w:t>K&amp;CH</w:t>
      </w:r>
      <w:r w:rsidRPr="0041039A">
        <w:rPr>
          <w:rFonts w:ascii="Arial" w:hAnsi="Arial" w:cs="Arial"/>
          <w:bCs/>
          <w:snapToGrid/>
          <w:kern w:val="32"/>
          <w:sz w:val="22"/>
          <w:szCs w:val="22"/>
        </w:rPr>
        <w:t xml:space="preserve"> laboratory is located in the corridor between Outpatients and Clarke Ward. Phlebotomy services are adjacent to the laboratory.</w:t>
      </w:r>
    </w:p>
    <w:p w:rsidR="0041039A" w:rsidRDefault="0041039A" w:rsidP="00F214CF">
      <w:pPr>
        <w:autoSpaceDE w:val="0"/>
        <w:autoSpaceDN w:val="0"/>
        <w:adjustRightInd w:val="0"/>
        <w:spacing w:line="360" w:lineRule="auto"/>
        <w:contextualSpacing/>
        <w:jc w:val="both"/>
        <w:rPr>
          <w:rFonts w:ascii="Arial" w:hAnsi="Arial" w:cs="Arial"/>
          <w:bCs/>
          <w:snapToGrid/>
          <w:kern w:val="32"/>
          <w:sz w:val="22"/>
          <w:szCs w:val="22"/>
        </w:rPr>
      </w:pPr>
      <w:r w:rsidRPr="0041039A">
        <w:rPr>
          <w:rFonts w:ascii="Arial" w:hAnsi="Arial" w:cs="Arial"/>
          <w:b/>
          <w:bCs/>
          <w:snapToGrid/>
          <w:kern w:val="32"/>
          <w:sz w:val="22"/>
          <w:szCs w:val="22"/>
        </w:rPr>
        <w:t>QEQMH</w:t>
      </w:r>
      <w:r w:rsidRPr="0041039A">
        <w:rPr>
          <w:rFonts w:ascii="Arial" w:hAnsi="Arial" w:cs="Arial"/>
          <w:bCs/>
          <w:snapToGrid/>
          <w:kern w:val="32"/>
          <w:sz w:val="22"/>
          <w:szCs w:val="22"/>
        </w:rPr>
        <w:t xml:space="preserve"> laboratory is located in the St Peter’s Road wing on the ground floor. Phlebotomy services are adjacent to the laboratory.</w:t>
      </w:r>
    </w:p>
    <w:p w:rsidR="00E61534" w:rsidRDefault="00E61534" w:rsidP="00F214CF">
      <w:pPr>
        <w:autoSpaceDE w:val="0"/>
        <w:autoSpaceDN w:val="0"/>
        <w:adjustRightInd w:val="0"/>
        <w:spacing w:line="360" w:lineRule="auto"/>
        <w:contextualSpacing/>
        <w:jc w:val="both"/>
        <w:rPr>
          <w:rFonts w:ascii="Arial" w:hAnsi="Arial" w:cs="Arial"/>
          <w:bCs/>
          <w:snapToGrid/>
          <w:kern w:val="32"/>
          <w:sz w:val="22"/>
          <w:szCs w:val="22"/>
        </w:rPr>
      </w:pPr>
    </w:p>
    <w:p w:rsidR="00E61534" w:rsidRDefault="00E61534" w:rsidP="00F214CF">
      <w:pPr>
        <w:autoSpaceDE w:val="0"/>
        <w:autoSpaceDN w:val="0"/>
        <w:adjustRightInd w:val="0"/>
        <w:spacing w:line="360" w:lineRule="auto"/>
        <w:contextualSpacing/>
        <w:jc w:val="both"/>
        <w:rPr>
          <w:rFonts w:ascii="Arial" w:hAnsi="Arial" w:cs="Arial"/>
          <w:bCs/>
          <w:snapToGrid/>
          <w:kern w:val="32"/>
          <w:sz w:val="22"/>
          <w:szCs w:val="22"/>
        </w:rPr>
      </w:pPr>
    </w:p>
    <w:p w:rsidR="00E61534" w:rsidRDefault="00E61534" w:rsidP="00F214CF">
      <w:pPr>
        <w:autoSpaceDE w:val="0"/>
        <w:autoSpaceDN w:val="0"/>
        <w:adjustRightInd w:val="0"/>
        <w:spacing w:line="360" w:lineRule="auto"/>
        <w:contextualSpacing/>
        <w:jc w:val="both"/>
        <w:rPr>
          <w:rFonts w:ascii="Arial" w:hAnsi="Arial" w:cs="Arial"/>
          <w:bCs/>
          <w:snapToGrid/>
          <w:kern w:val="32"/>
          <w:sz w:val="22"/>
          <w:szCs w:val="22"/>
        </w:rPr>
      </w:pPr>
    </w:p>
    <w:p w:rsidR="00E61534" w:rsidRDefault="00E61534" w:rsidP="00F214CF">
      <w:pPr>
        <w:autoSpaceDE w:val="0"/>
        <w:autoSpaceDN w:val="0"/>
        <w:adjustRightInd w:val="0"/>
        <w:spacing w:line="360" w:lineRule="auto"/>
        <w:contextualSpacing/>
        <w:jc w:val="both"/>
        <w:rPr>
          <w:rFonts w:ascii="Arial" w:hAnsi="Arial" w:cs="Arial"/>
          <w:bCs/>
          <w:snapToGrid/>
          <w:kern w:val="32"/>
          <w:sz w:val="22"/>
          <w:szCs w:val="22"/>
        </w:rPr>
      </w:pPr>
    </w:p>
    <w:p w:rsidR="00E61534" w:rsidRPr="00F214CF" w:rsidRDefault="00E61534" w:rsidP="00F214CF">
      <w:pPr>
        <w:autoSpaceDE w:val="0"/>
        <w:autoSpaceDN w:val="0"/>
        <w:adjustRightInd w:val="0"/>
        <w:spacing w:line="360" w:lineRule="auto"/>
        <w:contextualSpacing/>
        <w:jc w:val="both"/>
        <w:rPr>
          <w:rFonts w:ascii="Arial" w:hAnsi="Arial" w:cs="Arial"/>
          <w:bCs/>
          <w:snapToGrid/>
          <w:kern w:val="32"/>
          <w:sz w:val="22"/>
          <w:szCs w:val="22"/>
        </w:rPr>
      </w:pPr>
    </w:p>
    <w:p w:rsidR="0041039A" w:rsidRPr="00D8441A" w:rsidRDefault="0041039A" w:rsidP="00D8441A">
      <w:pPr>
        <w:keepNext/>
        <w:numPr>
          <w:ilvl w:val="0"/>
          <w:numId w:val="44"/>
        </w:numPr>
        <w:spacing w:before="240" w:after="60"/>
        <w:outlineLvl w:val="0"/>
        <w:rPr>
          <w:rFonts w:ascii="Arial" w:hAnsi="Arial"/>
          <w:snapToGrid/>
          <w:sz w:val="22"/>
          <w:szCs w:val="24"/>
        </w:rPr>
      </w:pPr>
      <w:bookmarkStart w:id="4" w:name="_Toc330067442"/>
      <w:bookmarkStart w:id="5" w:name="_Toc330121097"/>
      <w:bookmarkStart w:id="6" w:name="_Toc330122709"/>
      <w:bookmarkStart w:id="7" w:name="_Toc330132580"/>
      <w:bookmarkStart w:id="8" w:name="_Toc330132906"/>
      <w:bookmarkStart w:id="9" w:name="_Toc330067445"/>
      <w:bookmarkStart w:id="10" w:name="_Toc330121100"/>
      <w:bookmarkStart w:id="11" w:name="_Toc330122712"/>
      <w:bookmarkStart w:id="12" w:name="_Toc330132583"/>
      <w:bookmarkStart w:id="13" w:name="_Toc330132909"/>
      <w:bookmarkStart w:id="14" w:name="_Toc330067452"/>
      <w:bookmarkStart w:id="15" w:name="_Toc330121107"/>
      <w:bookmarkStart w:id="16" w:name="_Toc330122719"/>
      <w:bookmarkStart w:id="17" w:name="_Toc330132590"/>
      <w:bookmarkStart w:id="18" w:name="_Toc330132916"/>
      <w:bookmarkStart w:id="19" w:name="_Toc752534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41039A">
        <w:rPr>
          <w:rFonts w:ascii="Arial" w:hAnsi="Arial"/>
          <w:b/>
          <w:snapToGrid/>
          <w:kern w:val="28"/>
          <w:sz w:val="28"/>
        </w:rPr>
        <w:t xml:space="preserve">LABORATORY </w:t>
      </w:r>
      <w:bookmarkEnd w:id="19"/>
      <w:r w:rsidRPr="0041039A">
        <w:rPr>
          <w:rFonts w:ascii="Arial" w:hAnsi="Arial"/>
          <w:b/>
          <w:snapToGrid/>
          <w:kern w:val="28"/>
          <w:sz w:val="28"/>
        </w:rPr>
        <w:t>OPENING HOURS/PHLEBOTOMY SERVICES</w:t>
      </w:r>
    </w:p>
    <w:p w:rsidR="0041039A" w:rsidRDefault="0041039A" w:rsidP="00365C54">
      <w:pPr>
        <w:widowControl/>
        <w:spacing w:line="360" w:lineRule="auto"/>
        <w:contextualSpacing/>
        <w:jc w:val="both"/>
        <w:rPr>
          <w:rFonts w:ascii="Arial" w:hAnsi="Arial" w:cs="Arial"/>
          <w:bCs/>
          <w:snapToGrid/>
          <w:kern w:val="32"/>
          <w:sz w:val="22"/>
          <w:szCs w:val="22"/>
        </w:rPr>
      </w:pPr>
      <w:r w:rsidRPr="0041039A">
        <w:rPr>
          <w:rFonts w:ascii="Arial" w:hAnsi="Arial"/>
          <w:snapToGrid/>
          <w:sz w:val="22"/>
          <w:szCs w:val="24"/>
        </w:rPr>
        <w:t xml:space="preserve">The laboratories are operational 24-7 / 365 days a year. </w:t>
      </w:r>
      <w:r w:rsidRPr="0041039A">
        <w:rPr>
          <w:rFonts w:ascii="Arial" w:hAnsi="Arial" w:cs="Arial"/>
          <w:bCs/>
          <w:snapToGrid/>
          <w:kern w:val="32"/>
          <w:sz w:val="22"/>
          <w:szCs w:val="22"/>
        </w:rPr>
        <w:t>The immunology laboratory at WHH is open Monday – Friday 08:00 - 17:15.</w:t>
      </w:r>
    </w:p>
    <w:p w:rsidR="0045237D" w:rsidRPr="0041039A" w:rsidRDefault="0045237D" w:rsidP="00365C54">
      <w:pPr>
        <w:widowControl/>
        <w:spacing w:line="360" w:lineRule="auto"/>
        <w:contextualSpacing/>
        <w:jc w:val="both"/>
        <w:rPr>
          <w:rFonts w:ascii="Arial" w:hAnsi="Arial" w:cs="Arial"/>
          <w:b/>
          <w:bCs/>
          <w:snapToGrid/>
          <w:kern w:val="32"/>
          <w:sz w:val="22"/>
          <w:szCs w:val="22"/>
        </w:rPr>
      </w:pPr>
    </w:p>
    <w:p w:rsidR="0041039A" w:rsidRPr="0041039A" w:rsidRDefault="0041039A" w:rsidP="00365C54">
      <w:pPr>
        <w:keepNext/>
        <w:spacing w:line="360" w:lineRule="auto"/>
        <w:contextualSpacing/>
        <w:jc w:val="both"/>
        <w:outlineLvl w:val="6"/>
        <w:rPr>
          <w:rFonts w:ascii="Arial" w:hAnsi="Arial" w:cs="Arial"/>
          <w:sz w:val="22"/>
          <w:szCs w:val="22"/>
        </w:rPr>
      </w:pPr>
      <w:r w:rsidRPr="0041039A">
        <w:rPr>
          <w:rFonts w:ascii="Arial" w:hAnsi="Arial" w:cs="Arial"/>
          <w:b/>
          <w:sz w:val="22"/>
          <w:szCs w:val="22"/>
        </w:rPr>
        <w:t>CORE LABORATORY HOURS (all sites)</w:t>
      </w:r>
      <w:r w:rsidRPr="0041039A">
        <w:rPr>
          <w:rFonts w:ascii="Arial" w:hAnsi="Arial" w:cs="Arial"/>
          <w:sz w:val="22"/>
          <w:szCs w:val="22"/>
        </w:rPr>
        <w:t xml:space="preserve"> </w:t>
      </w:r>
    </w:p>
    <w:p w:rsidR="0041039A" w:rsidRPr="0041039A" w:rsidRDefault="0041039A" w:rsidP="00365C54">
      <w:pPr>
        <w:keepNext/>
        <w:spacing w:line="360" w:lineRule="auto"/>
        <w:contextualSpacing/>
        <w:jc w:val="both"/>
        <w:outlineLvl w:val="6"/>
        <w:rPr>
          <w:rFonts w:ascii="Arial" w:hAnsi="Arial" w:cs="Arial"/>
          <w:sz w:val="22"/>
          <w:szCs w:val="22"/>
        </w:rPr>
      </w:pPr>
      <w:r w:rsidRPr="0041039A">
        <w:rPr>
          <w:rFonts w:ascii="Arial" w:hAnsi="Arial" w:cs="Arial"/>
          <w:sz w:val="22"/>
          <w:szCs w:val="22"/>
        </w:rPr>
        <w:t xml:space="preserve">Monday – Friday </w:t>
      </w:r>
      <w:r w:rsidRPr="0041039A">
        <w:rPr>
          <w:rFonts w:ascii="Arial" w:hAnsi="Arial" w:cs="Arial"/>
          <w:sz w:val="22"/>
          <w:szCs w:val="22"/>
        </w:rPr>
        <w:tab/>
        <w:t>08:00 - 20.00</w:t>
      </w:r>
    </w:p>
    <w:p w:rsidR="0041039A" w:rsidRPr="0041039A" w:rsidRDefault="0041039A" w:rsidP="00365C54">
      <w:pPr>
        <w:keepNext/>
        <w:spacing w:line="360" w:lineRule="auto"/>
        <w:contextualSpacing/>
        <w:jc w:val="both"/>
        <w:outlineLvl w:val="6"/>
        <w:rPr>
          <w:rFonts w:ascii="Arial" w:hAnsi="Arial" w:cs="Arial"/>
          <w:bCs/>
          <w:snapToGrid/>
          <w:sz w:val="22"/>
          <w:szCs w:val="22"/>
          <w:lang w:eastAsia="en-GB"/>
        </w:rPr>
      </w:pPr>
      <w:r w:rsidRPr="0041039A">
        <w:rPr>
          <w:rFonts w:ascii="Arial" w:hAnsi="Arial"/>
          <w:sz w:val="22"/>
          <w:szCs w:val="22"/>
        </w:rPr>
        <w:t xml:space="preserve">Saturday </w:t>
      </w:r>
      <w:r w:rsidRPr="0041039A">
        <w:rPr>
          <w:rFonts w:ascii="Arial" w:hAnsi="Arial"/>
          <w:sz w:val="22"/>
          <w:szCs w:val="22"/>
        </w:rPr>
        <w:tab/>
      </w:r>
      <w:r w:rsidRPr="0041039A">
        <w:rPr>
          <w:rFonts w:ascii="Arial" w:hAnsi="Arial"/>
          <w:sz w:val="22"/>
          <w:szCs w:val="22"/>
        </w:rPr>
        <w:tab/>
        <w:t>08:00 - 13:00</w:t>
      </w:r>
    </w:p>
    <w:p w:rsidR="0041039A" w:rsidRPr="0041039A" w:rsidRDefault="0041039A" w:rsidP="00365C54">
      <w:pPr>
        <w:spacing w:line="360" w:lineRule="auto"/>
        <w:contextualSpacing/>
        <w:jc w:val="both"/>
        <w:rPr>
          <w:rFonts w:ascii="Arial" w:hAnsi="Arial" w:cs="Arial"/>
          <w:bCs/>
          <w:snapToGrid/>
          <w:sz w:val="22"/>
          <w:szCs w:val="22"/>
          <w:lang w:eastAsia="en-GB"/>
        </w:rPr>
      </w:pPr>
      <w:r w:rsidRPr="0041039A">
        <w:rPr>
          <w:rFonts w:ascii="Arial" w:hAnsi="Arial" w:cs="Arial"/>
          <w:bCs/>
          <w:snapToGrid/>
          <w:sz w:val="22"/>
          <w:szCs w:val="22"/>
          <w:lang w:eastAsia="en-GB"/>
        </w:rPr>
        <w:t>The laboratory provides a reduced number of investigations outside of these core hours 24 hours a day, every day of the year, though as this service is provided by a limited number of staff, use of this service should be restricted to urgent investigations only. For a list of tests available outside core hours, please refer to section 9.</w:t>
      </w:r>
    </w:p>
    <w:p w:rsidR="0041039A" w:rsidRPr="0041039A" w:rsidRDefault="0041039A" w:rsidP="0041039A">
      <w:pPr>
        <w:keepNext/>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6"/>
        <w:rPr>
          <w:rFonts w:ascii="Arial" w:hAnsi="Arial"/>
          <w:b/>
        </w:rPr>
      </w:pPr>
    </w:p>
    <w:p w:rsidR="0041039A" w:rsidRPr="0041039A" w:rsidRDefault="0041039A" w:rsidP="0041039A">
      <w:pPr>
        <w:keepNext/>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6"/>
        <w:rPr>
          <w:rFonts w:ascii="Arial" w:hAnsi="Arial" w:cs="Arial"/>
          <w:b/>
          <w:sz w:val="22"/>
          <w:szCs w:val="22"/>
        </w:rPr>
      </w:pPr>
      <w:r w:rsidRPr="0041039A">
        <w:rPr>
          <w:rFonts w:ascii="Arial" w:hAnsi="Arial" w:cs="Arial"/>
          <w:b/>
          <w:sz w:val="22"/>
          <w:szCs w:val="22"/>
        </w:rPr>
        <w:t>PHLEBOTOMY SERVICES</w:t>
      </w:r>
    </w:p>
    <w:p w:rsidR="0041039A" w:rsidRDefault="0041039A" w:rsidP="0041039A">
      <w:pPr>
        <w:widowControl/>
        <w:rPr>
          <w:rFonts w:ascii="Arial" w:hAnsi="Arial"/>
          <w:snapToGrid/>
          <w:sz w:val="22"/>
          <w:szCs w:val="24"/>
        </w:rPr>
      </w:pPr>
    </w:p>
    <w:p w:rsidR="00104D76" w:rsidRDefault="00052ABA" w:rsidP="00365C54">
      <w:pPr>
        <w:widowControl/>
        <w:spacing w:line="360" w:lineRule="auto"/>
        <w:contextualSpacing/>
        <w:jc w:val="both"/>
        <w:rPr>
          <w:rFonts w:ascii="Arial" w:hAnsi="Arial"/>
          <w:snapToGrid/>
          <w:sz w:val="22"/>
          <w:szCs w:val="24"/>
        </w:rPr>
      </w:pPr>
      <w:r>
        <w:rPr>
          <w:rFonts w:ascii="Arial" w:hAnsi="Arial"/>
          <w:snapToGrid/>
          <w:sz w:val="22"/>
          <w:szCs w:val="24"/>
        </w:rPr>
        <w:t xml:space="preserve">Please visit </w:t>
      </w:r>
      <w:hyperlink r:id="rId12" w:history="1">
        <w:r w:rsidRPr="0006070C">
          <w:rPr>
            <w:rStyle w:val="Hyperlink"/>
            <w:rFonts w:ascii="Arial" w:hAnsi="Arial"/>
            <w:snapToGrid/>
            <w:sz w:val="22"/>
            <w:szCs w:val="24"/>
          </w:rPr>
          <w:t>https://www.ekhuft.nhs.uk/book-a-service-online/blood-tests/</w:t>
        </w:r>
      </w:hyperlink>
      <w:r>
        <w:rPr>
          <w:rFonts w:ascii="Arial" w:hAnsi="Arial"/>
          <w:snapToGrid/>
          <w:sz w:val="22"/>
          <w:szCs w:val="24"/>
        </w:rPr>
        <w:t xml:space="preserve"> </w:t>
      </w:r>
      <w:r w:rsidR="00104D76">
        <w:rPr>
          <w:rFonts w:ascii="Arial" w:hAnsi="Arial"/>
          <w:snapToGrid/>
          <w:sz w:val="22"/>
          <w:szCs w:val="24"/>
        </w:rPr>
        <w:t xml:space="preserve">for the phlebotomy opening times on all sites, including guidance on how to book an appointment for blood tests. </w:t>
      </w:r>
    </w:p>
    <w:p w:rsidR="00104D76" w:rsidRDefault="00104D76" w:rsidP="00365C54">
      <w:pPr>
        <w:widowControl/>
        <w:spacing w:line="360" w:lineRule="auto"/>
        <w:contextualSpacing/>
        <w:jc w:val="both"/>
        <w:rPr>
          <w:rFonts w:ascii="Arial" w:hAnsi="Arial"/>
          <w:snapToGrid/>
          <w:sz w:val="22"/>
          <w:szCs w:val="24"/>
        </w:rPr>
      </w:pPr>
    </w:p>
    <w:p w:rsidR="0041039A" w:rsidRPr="0041039A" w:rsidRDefault="00104D76" w:rsidP="00365C54">
      <w:pPr>
        <w:widowControl/>
        <w:spacing w:line="360" w:lineRule="auto"/>
        <w:contextualSpacing/>
        <w:jc w:val="both"/>
        <w:rPr>
          <w:rFonts w:ascii="Arial" w:hAnsi="Arial"/>
          <w:snapToGrid/>
          <w:sz w:val="22"/>
          <w:szCs w:val="24"/>
        </w:rPr>
      </w:pPr>
      <w:r>
        <w:rPr>
          <w:rFonts w:ascii="Arial" w:hAnsi="Arial"/>
          <w:snapToGrid/>
          <w:sz w:val="22"/>
          <w:szCs w:val="24"/>
        </w:rPr>
        <w:t xml:space="preserve">Appointments for booking </w:t>
      </w:r>
      <w:r w:rsidRPr="00104D76">
        <w:rPr>
          <w:rFonts w:ascii="Arial" w:hAnsi="Arial"/>
          <w:snapToGrid/>
          <w:sz w:val="22"/>
          <w:szCs w:val="24"/>
        </w:rPr>
        <w:t>glucose tolerance test (GTT)</w:t>
      </w:r>
      <w:r>
        <w:rPr>
          <w:rFonts w:ascii="Arial" w:hAnsi="Arial"/>
          <w:snapToGrid/>
          <w:sz w:val="22"/>
          <w:szCs w:val="24"/>
        </w:rPr>
        <w:t xml:space="preserve"> are made by </w:t>
      </w:r>
      <w:r w:rsidRPr="00104D76">
        <w:rPr>
          <w:rFonts w:ascii="Arial" w:hAnsi="Arial"/>
          <w:snapToGrid/>
          <w:sz w:val="22"/>
          <w:szCs w:val="24"/>
        </w:rPr>
        <w:t>call</w:t>
      </w:r>
      <w:r>
        <w:rPr>
          <w:rFonts w:ascii="Arial" w:hAnsi="Arial"/>
          <w:snapToGrid/>
          <w:sz w:val="22"/>
          <w:szCs w:val="24"/>
        </w:rPr>
        <w:t>ing</w:t>
      </w:r>
      <w:r w:rsidRPr="00104D76">
        <w:rPr>
          <w:rFonts w:ascii="Arial" w:hAnsi="Arial"/>
          <w:snapToGrid/>
          <w:sz w:val="22"/>
          <w:szCs w:val="24"/>
        </w:rPr>
        <w:t xml:space="preserve"> the appropriate number for your hospital</w:t>
      </w:r>
      <w:r>
        <w:rPr>
          <w:rFonts w:ascii="Arial" w:hAnsi="Arial"/>
          <w:snapToGrid/>
          <w:sz w:val="22"/>
          <w:szCs w:val="24"/>
        </w:rPr>
        <w:t xml:space="preserve">, as shown here - </w:t>
      </w:r>
      <w:hyperlink r:id="rId13" w:history="1">
        <w:r w:rsidRPr="0006070C">
          <w:rPr>
            <w:rStyle w:val="Hyperlink"/>
            <w:rFonts w:ascii="Arial" w:hAnsi="Arial"/>
            <w:snapToGrid/>
            <w:sz w:val="22"/>
            <w:szCs w:val="24"/>
          </w:rPr>
          <w:t>https://www.ekhuft.nhs.uk/book-a-service-online/blood-tests/</w:t>
        </w:r>
      </w:hyperlink>
    </w:p>
    <w:p w:rsidR="0041039A" w:rsidRPr="0041039A" w:rsidRDefault="0041039A" w:rsidP="0041039A">
      <w:pPr>
        <w:widowControl/>
        <w:rPr>
          <w:rFonts w:ascii="Arial" w:hAnsi="Arial"/>
          <w:snapToGrid/>
          <w:sz w:val="22"/>
          <w:szCs w:val="24"/>
        </w:rPr>
      </w:pPr>
    </w:p>
    <w:p w:rsidR="0041039A" w:rsidRPr="0041039A" w:rsidRDefault="0041039A" w:rsidP="0041039A">
      <w:pPr>
        <w:widowControl/>
        <w:rPr>
          <w:rFonts w:ascii="Arial" w:hAnsi="Arial"/>
          <w:snapToGrid/>
          <w:sz w:val="22"/>
          <w:szCs w:val="24"/>
        </w:rPr>
      </w:pPr>
    </w:p>
    <w:p w:rsidR="0041039A" w:rsidRPr="00D8441A" w:rsidRDefault="0041039A" w:rsidP="00365C54">
      <w:pPr>
        <w:keepNext/>
        <w:numPr>
          <w:ilvl w:val="0"/>
          <w:numId w:val="44"/>
        </w:numPr>
        <w:spacing w:before="240" w:after="60"/>
        <w:outlineLvl w:val="0"/>
        <w:rPr>
          <w:rFonts w:ascii="Arial" w:hAnsi="Arial"/>
          <w:snapToGrid/>
          <w:sz w:val="22"/>
          <w:szCs w:val="24"/>
        </w:rPr>
      </w:pPr>
      <w:r w:rsidRPr="0041039A">
        <w:rPr>
          <w:rFonts w:ascii="Arial" w:hAnsi="Arial"/>
          <w:b/>
          <w:snapToGrid/>
          <w:kern w:val="28"/>
          <w:sz w:val="28"/>
        </w:rPr>
        <w:t>CONTACT NUMBERS AND KEY PERSONNEL</w:t>
      </w:r>
    </w:p>
    <w:p w:rsidR="0041039A" w:rsidRPr="0041039A" w:rsidRDefault="0041039A" w:rsidP="00365C54">
      <w:pPr>
        <w:widowControl/>
        <w:spacing w:line="360" w:lineRule="auto"/>
        <w:contextualSpacing/>
        <w:jc w:val="both"/>
        <w:rPr>
          <w:rFonts w:ascii="Arial" w:hAnsi="Arial"/>
          <w:snapToGrid/>
          <w:sz w:val="22"/>
          <w:szCs w:val="24"/>
        </w:rPr>
      </w:pPr>
      <w:r w:rsidRPr="0041039A">
        <w:rPr>
          <w:rFonts w:ascii="Arial" w:hAnsi="Arial"/>
          <w:snapToGrid/>
          <w:sz w:val="22"/>
          <w:szCs w:val="24"/>
        </w:rPr>
        <w:t>The main hospital switchboard number is: 01227 766877</w:t>
      </w:r>
    </w:p>
    <w:p w:rsidR="0045237D" w:rsidRDefault="0045237D" w:rsidP="00365C54">
      <w:pPr>
        <w:widowControl/>
        <w:spacing w:line="360" w:lineRule="auto"/>
        <w:contextualSpacing/>
        <w:jc w:val="both"/>
        <w:rPr>
          <w:rFonts w:ascii="Arial" w:hAnsi="Arial"/>
          <w:snapToGrid/>
          <w:sz w:val="22"/>
          <w:szCs w:val="24"/>
        </w:rPr>
      </w:pPr>
    </w:p>
    <w:p w:rsidR="0041039A" w:rsidRPr="0041039A" w:rsidRDefault="0041039A" w:rsidP="00365C54">
      <w:pPr>
        <w:widowControl/>
        <w:spacing w:line="360" w:lineRule="auto"/>
        <w:contextualSpacing/>
        <w:jc w:val="both"/>
        <w:rPr>
          <w:rFonts w:ascii="Arial" w:hAnsi="Arial"/>
          <w:snapToGrid/>
          <w:sz w:val="22"/>
          <w:szCs w:val="24"/>
        </w:rPr>
      </w:pPr>
      <w:r w:rsidRPr="0041039A">
        <w:rPr>
          <w:rFonts w:ascii="Arial" w:hAnsi="Arial"/>
          <w:snapToGrid/>
          <w:sz w:val="22"/>
          <w:szCs w:val="24"/>
        </w:rPr>
        <w:t>If calling from outside the hospital, dial the main switchboard number and then once prompted add the appropriate extension number as below.</w:t>
      </w:r>
    </w:p>
    <w:p w:rsidR="0041039A" w:rsidRPr="0041039A" w:rsidRDefault="0041039A" w:rsidP="00365C54">
      <w:pPr>
        <w:widowControl/>
        <w:spacing w:line="360" w:lineRule="auto"/>
        <w:contextualSpacing/>
        <w:jc w:val="both"/>
        <w:rPr>
          <w:rFonts w:ascii="Arial" w:hAnsi="Arial"/>
          <w:snapToGrid/>
          <w:sz w:val="22"/>
          <w:szCs w:val="24"/>
        </w:rPr>
      </w:pPr>
    </w:p>
    <w:p w:rsidR="0041039A" w:rsidRPr="0041039A" w:rsidRDefault="0041039A" w:rsidP="00365C54">
      <w:pPr>
        <w:autoSpaceDE w:val="0"/>
        <w:autoSpaceDN w:val="0"/>
        <w:adjustRightInd w:val="0"/>
        <w:spacing w:line="360" w:lineRule="auto"/>
        <w:contextualSpacing/>
        <w:jc w:val="both"/>
        <w:rPr>
          <w:rFonts w:ascii="Arial" w:hAnsi="Arial"/>
          <w:snapToGrid/>
          <w:sz w:val="22"/>
          <w:szCs w:val="24"/>
        </w:rPr>
      </w:pPr>
      <w:r w:rsidRPr="0041039A">
        <w:rPr>
          <w:rFonts w:ascii="Arial" w:hAnsi="Arial"/>
          <w:snapToGrid/>
          <w:sz w:val="22"/>
          <w:szCs w:val="24"/>
        </w:rPr>
        <w:t>If calling from within the hospital then dial the extension number directly.</w:t>
      </w:r>
      <w:r w:rsidR="00862E52">
        <w:rPr>
          <w:rFonts w:ascii="Arial" w:hAnsi="Arial"/>
          <w:snapToGrid/>
          <w:sz w:val="22"/>
          <w:szCs w:val="24"/>
        </w:rPr>
        <w:t xml:space="preserve"> However, if calling out of hours or on weekends, please contact the laboratory via bleep:  </w:t>
      </w:r>
      <w:r w:rsidR="00862E52">
        <w:rPr>
          <w:rFonts w:ascii="Arial" w:hAnsi="Arial" w:cs="Arial"/>
          <w:b/>
          <w:bCs/>
          <w:snapToGrid/>
          <w:color w:val="000000"/>
          <w:sz w:val="22"/>
          <w:szCs w:val="22"/>
          <w:lang w:eastAsia="en-GB"/>
        </w:rPr>
        <w:t>WHH (8647) K&amp;CH (7022) QEQMH (6131</w:t>
      </w:r>
      <w:r w:rsidR="00862E52" w:rsidRPr="0041039A">
        <w:rPr>
          <w:rFonts w:ascii="Arial" w:hAnsi="Arial" w:cs="Arial"/>
          <w:b/>
          <w:bCs/>
          <w:snapToGrid/>
          <w:color w:val="000000"/>
          <w:sz w:val="22"/>
          <w:szCs w:val="22"/>
          <w:lang w:eastAsia="en-GB"/>
        </w:rPr>
        <w:t>)</w:t>
      </w:r>
    </w:p>
    <w:p w:rsidR="0041039A" w:rsidRPr="0041039A" w:rsidRDefault="0041039A" w:rsidP="00365C54">
      <w:pPr>
        <w:widowControl/>
        <w:spacing w:line="360" w:lineRule="auto"/>
        <w:contextualSpacing/>
        <w:jc w:val="both"/>
        <w:rPr>
          <w:rFonts w:ascii="Arial" w:hAnsi="Arial"/>
          <w:snapToGrid/>
          <w:sz w:val="22"/>
          <w:szCs w:val="22"/>
        </w:rPr>
      </w:pPr>
      <w:r w:rsidRPr="0041039A">
        <w:rPr>
          <w:rFonts w:ascii="Arial" w:hAnsi="Arial"/>
          <w:snapToGrid/>
          <w:sz w:val="22"/>
          <w:szCs w:val="22"/>
        </w:rPr>
        <w:t xml:space="preserve">Alternatively, use the automated answering system on </w:t>
      </w:r>
      <w:r w:rsidRPr="0041039A">
        <w:rPr>
          <w:rFonts w:ascii="Arial" w:hAnsi="Arial" w:cs="Arial"/>
          <w:color w:val="333333"/>
          <w:sz w:val="22"/>
          <w:szCs w:val="22"/>
        </w:rPr>
        <w:t>01233 616060 and select the appropriate option when prompted</w:t>
      </w:r>
    </w:p>
    <w:p w:rsidR="00365C54" w:rsidRPr="0041039A" w:rsidRDefault="00365C54" w:rsidP="00365C54">
      <w:pPr>
        <w:widowControl/>
        <w:spacing w:line="360" w:lineRule="auto"/>
        <w:contextualSpacing/>
        <w:jc w:val="both"/>
        <w:rPr>
          <w:rFonts w:ascii="Arial" w:hAnsi="Arial"/>
          <w:snapToGrid/>
          <w:sz w:val="22"/>
          <w:szCs w:val="24"/>
        </w:rPr>
      </w:pPr>
    </w:p>
    <w:p w:rsidR="0041039A" w:rsidRDefault="0041039A" w:rsidP="00365C54">
      <w:pPr>
        <w:autoSpaceDE w:val="0"/>
        <w:autoSpaceDN w:val="0"/>
        <w:adjustRightInd w:val="0"/>
        <w:spacing w:line="360" w:lineRule="auto"/>
        <w:contextualSpacing/>
        <w:jc w:val="both"/>
        <w:rPr>
          <w:rFonts w:ascii="Arial" w:hAnsi="Arial" w:cs="Arial"/>
          <w:b/>
          <w:bCs/>
          <w:snapToGrid/>
          <w:color w:val="000000"/>
          <w:sz w:val="22"/>
          <w:szCs w:val="22"/>
          <w:lang w:eastAsia="en-GB"/>
        </w:rPr>
      </w:pPr>
      <w:r w:rsidRPr="0041039A">
        <w:rPr>
          <w:rFonts w:ascii="Arial" w:hAnsi="Arial" w:cs="Arial"/>
          <w:b/>
          <w:bCs/>
          <w:snapToGrid/>
          <w:color w:val="000000"/>
          <w:sz w:val="22"/>
          <w:szCs w:val="22"/>
          <w:lang w:eastAsia="en-GB"/>
        </w:rPr>
        <w:t>The following prefixes apply: WHH (723) K&amp;CH (722) QEQMH (725)</w:t>
      </w:r>
    </w:p>
    <w:p w:rsidR="00E61534" w:rsidRDefault="00E61534" w:rsidP="00365C54">
      <w:pPr>
        <w:autoSpaceDE w:val="0"/>
        <w:autoSpaceDN w:val="0"/>
        <w:adjustRightInd w:val="0"/>
        <w:spacing w:line="360" w:lineRule="auto"/>
        <w:contextualSpacing/>
        <w:jc w:val="both"/>
        <w:rPr>
          <w:rFonts w:ascii="Arial" w:hAnsi="Arial" w:cs="Arial"/>
          <w:b/>
          <w:bCs/>
          <w:snapToGrid/>
          <w:color w:val="000000"/>
          <w:sz w:val="22"/>
          <w:szCs w:val="22"/>
          <w:lang w:eastAsia="en-GB"/>
        </w:rPr>
      </w:pPr>
    </w:p>
    <w:p w:rsidR="00E61534" w:rsidRDefault="00E61534" w:rsidP="00365C54">
      <w:pPr>
        <w:autoSpaceDE w:val="0"/>
        <w:autoSpaceDN w:val="0"/>
        <w:adjustRightInd w:val="0"/>
        <w:spacing w:line="360" w:lineRule="auto"/>
        <w:contextualSpacing/>
        <w:jc w:val="both"/>
        <w:rPr>
          <w:rFonts w:ascii="Arial" w:hAnsi="Arial" w:cs="Arial"/>
          <w:b/>
          <w:bCs/>
          <w:snapToGrid/>
          <w:color w:val="000000"/>
          <w:sz w:val="22"/>
          <w:szCs w:val="22"/>
          <w:lang w:eastAsia="en-GB"/>
        </w:rPr>
      </w:pPr>
    </w:p>
    <w:p w:rsidR="00E61534" w:rsidRDefault="00E61534" w:rsidP="00365C54">
      <w:pPr>
        <w:autoSpaceDE w:val="0"/>
        <w:autoSpaceDN w:val="0"/>
        <w:adjustRightInd w:val="0"/>
        <w:spacing w:line="360" w:lineRule="auto"/>
        <w:contextualSpacing/>
        <w:jc w:val="both"/>
        <w:rPr>
          <w:rFonts w:ascii="Arial" w:hAnsi="Arial" w:cs="Arial"/>
          <w:b/>
          <w:bCs/>
          <w:snapToGrid/>
          <w:color w:val="000000"/>
          <w:sz w:val="22"/>
          <w:szCs w:val="22"/>
          <w:lang w:eastAsia="en-GB"/>
        </w:rPr>
      </w:pPr>
    </w:p>
    <w:p w:rsidR="000708E5" w:rsidRPr="0041039A" w:rsidRDefault="000708E5" w:rsidP="00365C54">
      <w:pPr>
        <w:autoSpaceDE w:val="0"/>
        <w:autoSpaceDN w:val="0"/>
        <w:adjustRightInd w:val="0"/>
        <w:spacing w:line="360" w:lineRule="auto"/>
        <w:contextualSpacing/>
        <w:jc w:val="both"/>
        <w:rPr>
          <w:rFonts w:ascii="Arial" w:hAnsi="Arial"/>
          <w:snapToGrid/>
          <w:sz w:val="22"/>
          <w:szCs w:val="22"/>
        </w:rPr>
      </w:pPr>
    </w:p>
    <w:tbl>
      <w:tblPr>
        <w:tblStyle w:val="GridTable1Light-Accent1"/>
        <w:tblW w:w="10456" w:type="dxa"/>
        <w:tblLayout w:type="fixed"/>
        <w:tblLook w:val="06A0" w:firstRow="1" w:lastRow="0" w:firstColumn="1" w:lastColumn="0" w:noHBand="1" w:noVBand="1"/>
        <w:tblDescription w:val="table of contact details "/>
      </w:tblPr>
      <w:tblGrid>
        <w:gridCol w:w="3652"/>
        <w:gridCol w:w="3686"/>
        <w:gridCol w:w="3118"/>
      </w:tblGrid>
      <w:tr w:rsidR="0041039A" w:rsidRPr="0041039A" w:rsidTr="005D53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52" w:type="dxa"/>
            <w:shd w:val="clear" w:color="auto" w:fill="5B9BD5" w:themeFill="accent1"/>
          </w:tcPr>
          <w:p w:rsidR="0041039A" w:rsidRPr="005D53AD" w:rsidRDefault="0041039A" w:rsidP="0041039A">
            <w:pPr>
              <w:widowControl/>
              <w:jc w:val="center"/>
              <w:rPr>
                <w:rFonts w:ascii="Arial" w:hAnsi="Arial"/>
                <w:snapToGrid/>
                <w:sz w:val="22"/>
                <w:szCs w:val="24"/>
              </w:rPr>
            </w:pPr>
            <w:r w:rsidRPr="005D53AD">
              <w:rPr>
                <w:rFonts w:ascii="Arial" w:hAnsi="Arial"/>
                <w:snapToGrid/>
                <w:sz w:val="22"/>
                <w:szCs w:val="24"/>
              </w:rPr>
              <w:t>Contact</w:t>
            </w:r>
          </w:p>
          <w:p w:rsidR="0041039A" w:rsidRPr="005D53AD" w:rsidRDefault="0041039A" w:rsidP="0041039A">
            <w:pPr>
              <w:widowControl/>
              <w:jc w:val="center"/>
              <w:rPr>
                <w:rFonts w:ascii="Arial" w:hAnsi="Arial"/>
                <w:snapToGrid/>
                <w:sz w:val="22"/>
                <w:szCs w:val="24"/>
              </w:rPr>
            </w:pPr>
          </w:p>
        </w:tc>
        <w:tc>
          <w:tcPr>
            <w:tcW w:w="3686" w:type="dxa"/>
            <w:shd w:val="clear" w:color="auto" w:fill="5B9BD5" w:themeFill="accent1"/>
          </w:tcPr>
          <w:p w:rsidR="0041039A" w:rsidRPr="005D53AD" w:rsidRDefault="0041039A" w:rsidP="0041039A">
            <w:pPr>
              <w:widowControl/>
              <w:jc w:val="center"/>
              <w:cnfStyle w:val="100000000000" w:firstRow="1" w:lastRow="0" w:firstColumn="0" w:lastColumn="0" w:oddVBand="0" w:evenVBand="0" w:oddHBand="0" w:evenHBand="0" w:firstRowFirstColumn="0" w:firstRowLastColumn="0" w:lastRowFirstColumn="0" w:lastRowLastColumn="0"/>
              <w:rPr>
                <w:rFonts w:ascii="Arial" w:hAnsi="Arial"/>
                <w:snapToGrid/>
                <w:sz w:val="22"/>
                <w:szCs w:val="24"/>
              </w:rPr>
            </w:pPr>
            <w:r w:rsidRPr="005D53AD">
              <w:rPr>
                <w:rFonts w:ascii="Arial" w:hAnsi="Arial"/>
                <w:snapToGrid/>
                <w:sz w:val="22"/>
                <w:szCs w:val="24"/>
              </w:rPr>
              <w:t>Position</w:t>
            </w:r>
          </w:p>
        </w:tc>
        <w:tc>
          <w:tcPr>
            <w:tcW w:w="3118" w:type="dxa"/>
            <w:shd w:val="clear" w:color="auto" w:fill="5B9BD5" w:themeFill="accent1"/>
          </w:tcPr>
          <w:p w:rsidR="0041039A" w:rsidRPr="005D53AD" w:rsidRDefault="0041039A" w:rsidP="0041039A">
            <w:pPr>
              <w:widowControl/>
              <w:jc w:val="center"/>
              <w:cnfStyle w:val="100000000000" w:firstRow="1" w:lastRow="0" w:firstColumn="0" w:lastColumn="0" w:oddVBand="0" w:evenVBand="0" w:oddHBand="0" w:evenHBand="0" w:firstRowFirstColumn="0" w:firstRowLastColumn="0" w:lastRowFirstColumn="0" w:lastRowLastColumn="0"/>
              <w:rPr>
                <w:rFonts w:ascii="Arial" w:hAnsi="Arial"/>
                <w:snapToGrid/>
                <w:sz w:val="22"/>
                <w:szCs w:val="24"/>
              </w:rPr>
            </w:pPr>
            <w:r w:rsidRPr="005D53AD">
              <w:rPr>
                <w:rFonts w:ascii="Arial" w:hAnsi="Arial"/>
                <w:snapToGrid/>
                <w:sz w:val="22"/>
                <w:szCs w:val="24"/>
              </w:rPr>
              <w:t>Extension Number</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41039A" w:rsidP="0041039A">
            <w:pPr>
              <w:widowControl/>
              <w:rPr>
                <w:rFonts w:ascii="Arial" w:hAnsi="Arial"/>
                <w:snapToGrid/>
                <w:sz w:val="22"/>
                <w:szCs w:val="24"/>
              </w:rPr>
            </w:pPr>
            <w:r w:rsidRPr="0041039A">
              <w:rPr>
                <w:rFonts w:ascii="Arial" w:hAnsi="Arial"/>
                <w:snapToGrid/>
                <w:sz w:val="22"/>
                <w:szCs w:val="24"/>
              </w:rPr>
              <w:t>WHH</w:t>
            </w:r>
          </w:p>
          <w:p w:rsidR="0041039A" w:rsidRPr="0041039A" w:rsidRDefault="0041039A" w:rsidP="0041039A">
            <w:pPr>
              <w:widowControl/>
              <w:rPr>
                <w:rFonts w:ascii="Arial" w:hAnsi="Arial"/>
                <w:snapToGrid/>
                <w:sz w:val="22"/>
                <w:szCs w:val="24"/>
              </w:rPr>
            </w:pPr>
          </w:p>
        </w:tc>
        <w:tc>
          <w:tcPr>
            <w:tcW w:w="3686" w:type="dxa"/>
          </w:tcPr>
          <w:p w:rsidR="0041039A" w:rsidRPr="0041039A" w:rsidRDefault="0041039A"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Main Laboratory</w:t>
            </w:r>
          </w:p>
          <w:p w:rsidR="0041039A" w:rsidRPr="0041039A" w:rsidRDefault="0041039A"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p>
          <w:p w:rsidR="0041039A" w:rsidRPr="0041039A" w:rsidRDefault="0041039A"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Results (please try computer terminals first)</w:t>
            </w: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723 8056</w:t>
            </w:r>
          </w:p>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p>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723 6060</w:t>
            </w:r>
          </w:p>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41039A" w:rsidP="0041039A">
            <w:pPr>
              <w:widowControl/>
              <w:rPr>
                <w:rFonts w:ascii="Arial" w:hAnsi="Arial"/>
                <w:snapToGrid/>
                <w:sz w:val="22"/>
                <w:szCs w:val="24"/>
              </w:rPr>
            </w:pPr>
            <w:r w:rsidRPr="0041039A">
              <w:rPr>
                <w:rFonts w:ascii="Arial" w:hAnsi="Arial"/>
                <w:snapToGrid/>
                <w:sz w:val="22"/>
                <w:szCs w:val="24"/>
              </w:rPr>
              <w:t>K&amp;CH</w:t>
            </w:r>
          </w:p>
          <w:p w:rsidR="0041039A" w:rsidRPr="0041039A" w:rsidRDefault="0041039A" w:rsidP="0041039A">
            <w:pPr>
              <w:widowControl/>
              <w:rPr>
                <w:rFonts w:ascii="Arial" w:hAnsi="Arial"/>
                <w:snapToGrid/>
                <w:sz w:val="22"/>
                <w:szCs w:val="24"/>
              </w:rPr>
            </w:pPr>
          </w:p>
        </w:tc>
        <w:tc>
          <w:tcPr>
            <w:tcW w:w="3686" w:type="dxa"/>
          </w:tcPr>
          <w:p w:rsidR="0041039A" w:rsidRPr="0041039A" w:rsidRDefault="0041039A"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Main Laboratory</w:t>
            </w:r>
          </w:p>
          <w:p w:rsidR="0041039A" w:rsidRPr="0041039A" w:rsidRDefault="0041039A"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p>
          <w:p w:rsidR="0041039A" w:rsidRPr="0041039A" w:rsidRDefault="0041039A"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Results (please try computer terminals first)</w:t>
            </w: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722 3174</w:t>
            </w:r>
          </w:p>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p>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723 6060</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41039A" w:rsidP="0041039A">
            <w:pPr>
              <w:widowControl/>
              <w:rPr>
                <w:rFonts w:ascii="Arial" w:hAnsi="Arial"/>
                <w:snapToGrid/>
                <w:sz w:val="22"/>
                <w:szCs w:val="24"/>
              </w:rPr>
            </w:pPr>
            <w:r w:rsidRPr="0041039A">
              <w:rPr>
                <w:rFonts w:ascii="Arial" w:hAnsi="Arial"/>
                <w:snapToGrid/>
                <w:sz w:val="22"/>
                <w:szCs w:val="24"/>
              </w:rPr>
              <w:t>QEQMH</w:t>
            </w:r>
          </w:p>
          <w:p w:rsidR="0041039A" w:rsidRPr="0041039A" w:rsidRDefault="0041039A" w:rsidP="0041039A">
            <w:pPr>
              <w:widowControl/>
              <w:rPr>
                <w:rFonts w:ascii="Arial" w:hAnsi="Arial"/>
                <w:snapToGrid/>
                <w:sz w:val="22"/>
                <w:szCs w:val="24"/>
              </w:rPr>
            </w:pPr>
          </w:p>
        </w:tc>
        <w:tc>
          <w:tcPr>
            <w:tcW w:w="3686" w:type="dxa"/>
          </w:tcPr>
          <w:p w:rsidR="0041039A" w:rsidRPr="0041039A" w:rsidRDefault="0041039A"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Main Laboratory</w:t>
            </w:r>
          </w:p>
          <w:p w:rsidR="0041039A" w:rsidRPr="0041039A" w:rsidRDefault="0041039A"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p>
          <w:p w:rsidR="0041039A" w:rsidRPr="0041039A" w:rsidRDefault="0041039A"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Results (please try computer terminals first)</w:t>
            </w: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725 4428</w:t>
            </w:r>
          </w:p>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p>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723 6060</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41039A" w:rsidP="0041039A">
            <w:pPr>
              <w:widowControl/>
              <w:rPr>
                <w:rFonts w:ascii="Arial" w:hAnsi="Arial"/>
                <w:snapToGrid/>
                <w:sz w:val="22"/>
                <w:szCs w:val="24"/>
              </w:rPr>
            </w:pPr>
            <w:r w:rsidRPr="0041039A">
              <w:rPr>
                <w:rFonts w:ascii="Arial" w:hAnsi="Arial"/>
                <w:snapToGrid/>
                <w:sz w:val="22"/>
                <w:szCs w:val="24"/>
              </w:rPr>
              <w:t>Duty Biochemist (clinical enquires)</w:t>
            </w:r>
          </w:p>
        </w:tc>
        <w:tc>
          <w:tcPr>
            <w:tcW w:w="3686" w:type="dxa"/>
          </w:tcPr>
          <w:p w:rsidR="0041039A" w:rsidRPr="0041039A" w:rsidRDefault="00674CB2"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hyperlink r:id="rId14" w:history="1">
              <w:r w:rsidR="0041039A" w:rsidRPr="0041039A">
                <w:rPr>
                  <w:rFonts w:ascii="Arial" w:hAnsi="Arial"/>
                  <w:color w:val="0000FF"/>
                  <w:sz w:val="22"/>
                  <w:szCs w:val="24"/>
                  <w:u w:val="single"/>
                </w:rPr>
                <w:t>ekhuft.biochemistryekhuft@nhs.net</w:t>
              </w:r>
            </w:hyperlink>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723 6287</w:t>
            </w:r>
          </w:p>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01233 616287 (direct line)</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41039A" w:rsidP="0041039A">
            <w:pPr>
              <w:widowControl/>
              <w:rPr>
                <w:rFonts w:ascii="Arial" w:hAnsi="Arial"/>
                <w:snapToGrid/>
                <w:sz w:val="22"/>
                <w:szCs w:val="24"/>
              </w:rPr>
            </w:pPr>
            <w:r w:rsidRPr="0041039A">
              <w:rPr>
                <w:rFonts w:ascii="Arial" w:hAnsi="Arial"/>
                <w:snapToGrid/>
                <w:sz w:val="22"/>
                <w:szCs w:val="24"/>
              </w:rPr>
              <w:t>WHH</w:t>
            </w:r>
          </w:p>
        </w:tc>
        <w:tc>
          <w:tcPr>
            <w:tcW w:w="3686" w:type="dxa"/>
          </w:tcPr>
          <w:p w:rsidR="0041039A" w:rsidRPr="0041039A" w:rsidRDefault="0041039A"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Main Laboratory</w:t>
            </w: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723 6716</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41039A" w:rsidP="0041039A">
            <w:pPr>
              <w:widowControl/>
              <w:rPr>
                <w:rFonts w:ascii="Arial" w:hAnsi="Arial"/>
                <w:snapToGrid/>
                <w:sz w:val="22"/>
                <w:szCs w:val="24"/>
              </w:rPr>
            </w:pPr>
            <w:r w:rsidRPr="0041039A">
              <w:rPr>
                <w:rFonts w:ascii="Arial" w:hAnsi="Arial"/>
                <w:snapToGrid/>
                <w:sz w:val="22"/>
                <w:szCs w:val="24"/>
              </w:rPr>
              <w:t>Dr Sally Stock</w:t>
            </w:r>
          </w:p>
        </w:tc>
        <w:tc>
          <w:tcPr>
            <w:tcW w:w="3686" w:type="dxa"/>
          </w:tcPr>
          <w:p w:rsidR="0041039A" w:rsidRPr="0041039A"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3904C1">
              <w:rPr>
                <w:rFonts w:ascii="Arial" w:hAnsi="Arial"/>
                <w:snapToGrid/>
                <w:sz w:val="22"/>
                <w:szCs w:val="24"/>
              </w:rPr>
              <w:t>Co</w:t>
            </w:r>
            <w:r w:rsidR="00703AF0" w:rsidRPr="003904C1">
              <w:rPr>
                <w:rFonts w:ascii="Arial" w:hAnsi="Arial"/>
                <w:snapToGrid/>
                <w:sz w:val="22"/>
                <w:szCs w:val="24"/>
              </w:rPr>
              <w:t xml:space="preserve">nsultant Clinical Scientist, </w:t>
            </w:r>
            <w:r w:rsidRPr="003904C1">
              <w:rPr>
                <w:rFonts w:ascii="Arial" w:hAnsi="Arial"/>
                <w:snapToGrid/>
                <w:sz w:val="22"/>
                <w:szCs w:val="24"/>
              </w:rPr>
              <w:t>Head of Service</w:t>
            </w:r>
            <w:r w:rsidR="00703AF0" w:rsidRPr="003904C1">
              <w:rPr>
                <w:rFonts w:ascii="Arial" w:hAnsi="Arial"/>
                <w:snapToGrid/>
                <w:sz w:val="22"/>
                <w:szCs w:val="24"/>
              </w:rPr>
              <w:t xml:space="preserve"> and </w:t>
            </w:r>
            <w:r w:rsidR="00703AF0" w:rsidRPr="004A7E25">
              <w:rPr>
                <w:rFonts w:ascii="Arial" w:hAnsi="Arial"/>
                <w:snapToGrid/>
                <w:sz w:val="22"/>
                <w:szCs w:val="24"/>
              </w:rPr>
              <w:t>Clinical Director of Pathology</w:t>
            </w: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723 6025</w:t>
            </w:r>
          </w:p>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01233 616025 (direct)</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41039A" w:rsidP="0041039A">
            <w:pPr>
              <w:widowControl/>
              <w:rPr>
                <w:rFonts w:ascii="Arial" w:hAnsi="Arial"/>
                <w:snapToGrid/>
                <w:sz w:val="22"/>
                <w:szCs w:val="24"/>
              </w:rPr>
            </w:pPr>
            <w:r w:rsidRPr="0041039A">
              <w:rPr>
                <w:rFonts w:ascii="Arial" w:hAnsi="Arial"/>
                <w:snapToGrid/>
                <w:sz w:val="22"/>
                <w:szCs w:val="24"/>
              </w:rPr>
              <w:t>Dr Edmund Lamb</w:t>
            </w:r>
          </w:p>
        </w:tc>
        <w:tc>
          <w:tcPr>
            <w:tcW w:w="3686" w:type="dxa"/>
          </w:tcPr>
          <w:p w:rsidR="0041039A" w:rsidRPr="0041039A"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C</w:t>
            </w:r>
            <w:r w:rsidR="00703AF0">
              <w:rPr>
                <w:rFonts w:ascii="Arial" w:hAnsi="Arial"/>
                <w:snapToGrid/>
                <w:sz w:val="22"/>
                <w:szCs w:val="24"/>
              </w:rPr>
              <w:t>onsultant Clinical Scientist</w:t>
            </w: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722 4112</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41039A" w:rsidP="0041039A">
            <w:pPr>
              <w:widowControl/>
              <w:rPr>
                <w:rFonts w:ascii="Arial" w:hAnsi="Arial"/>
                <w:snapToGrid/>
                <w:sz w:val="22"/>
                <w:szCs w:val="24"/>
              </w:rPr>
            </w:pPr>
            <w:r w:rsidRPr="0041039A">
              <w:rPr>
                <w:rFonts w:ascii="Arial" w:hAnsi="Arial"/>
                <w:snapToGrid/>
                <w:sz w:val="22"/>
                <w:szCs w:val="24"/>
              </w:rPr>
              <w:t xml:space="preserve">Dr </w:t>
            </w:r>
            <w:r w:rsidR="003904C1">
              <w:rPr>
                <w:rFonts w:ascii="Arial" w:hAnsi="Arial"/>
                <w:snapToGrid/>
                <w:sz w:val="22"/>
                <w:szCs w:val="24"/>
              </w:rPr>
              <w:t>Leman Mutlu</w:t>
            </w:r>
          </w:p>
        </w:tc>
        <w:tc>
          <w:tcPr>
            <w:tcW w:w="3686" w:type="dxa"/>
          </w:tcPr>
          <w:p w:rsidR="0041039A" w:rsidRPr="0041039A"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 xml:space="preserve">Consultant Clinical </w:t>
            </w:r>
            <w:r w:rsidR="00C73390">
              <w:rPr>
                <w:rFonts w:ascii="Arial" w:hAnsi="Arial"/>
                <w:snapToGrid/>
                <w:sz w:val="22"/>
                <w:szCs w:val="24"/>
              </w:rPr>
              <w:t>Immunologist</w:t>
            </w:r>
            <w:r w:rsidR="003904C1">
              <w:rPr>
                <w:rFonts w:ascii="Arial" w:hAnsi="Arial"/>
                <w:snapToGrid/>
                <w:sz w:val="22"/>
                <w:szCs w:val="24"/>
              </w:rPr>
              <w:t xml:space="preserve"> and Allergist</w:t>
            </w:r>
          </w:p>
          <w:p w:rsidR="0041039A" w:rsidRPr="0041039A"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723 6716</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41039A" w:rsidP="0041039A">
            <w:pPr>
              <w:widowControl/>
              <w:rPr>
                <w:rFonts w:ascii="Arial" w:hAnsi="Arial"/>
                <w:snapToGrid/>
                <w:sz w:val="22"/>
                <w:szCs w:val="24"/>
              </w:rPr>
            </w:pPr>
            <w:r w:rsidRPr="0041039A">
              <w:rPr>
                <w:rFonts w:ascii="Arial" w:hAnsi="Arial"/>
                <w:snapToGrid/>
                <w:sz w:val="22"/>
                <w:szCs w:val="24"/>
              </w:rPr>
              <w:t>Miss Elizabeth Hall</w:t>
            </w:r>
          </w:p>
        </w:tc>
        <w:tc>
          <w:tcPr>
            <w:tcW w:w="3686" w:type="dxa"/>
          </w:tcPr>
          <w:p w:rsidR="0041039A" w:rsidRPr="0041039A"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Principal Clinical Scientist</w:t>
            </w:r>
          </w:p>
          <w:p w:rsidR="0041039A" w:rsidRPr="0041039A"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722 2868</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41039A" w:rsidP="0041039A">
            <w:pPr>
              <w:widowControl/>
              <w:rPr>
                <w:rFonts w:ascii="Arial" w:hAnsi="Arial"/>
                <w:snapToGrid/>
                <w:sz w:val="22"/>
                <w:szCs w:val="24"/>
              </w:rPr>
            </w:pPr>
            <w:r w:rsidRPr="0041039A">
              <w:rPr>
                <w:rFonts w:ascii="Arial" w:hAnsi="Arial"/>
                <w:snapToGrid/>
                <w:sz w:val="22"/>
                <w:szCs w:val="24"/>
              </w:rPr>
              <w:t>Dr Helen Holt</w:t>
            </w:r>
          </w:p>
        </w:tc>
        <w:tc>
          <w:tcPr>
            <w:tcW w:w="3686" w:type="dxa"/>
          </w:tcPr>
          <w:p w:rsidR="0041039A" w:rsidRPr="0041039A"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 xml:space="preserve">Principal Clinical Scientist </w:t>
            </w:r>
          </w:p>
          <w:p w:rsidR="0041039A" w:rsidRPr="0041039A"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and Quality Lead</w:t>
            </w: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723 6288</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41039A" w:rsidP="0041039A">
            <w:pPr>
              <w:widowControl/>
              <w:rPr>
                <w:rFonts w:ascii="Arial" w:hAnsi="Arial"/>
                <w:snapToGrid/>
                <w:sz w:val="22"/>
                <w:szCs w:val="24"/>
              </w:rPr>
            </w:pPr>
            <w:r w:rsidRPr="0041039A">
              <w:rPr>
                <w:rFonts w:ascii="Arial" w:hAnsi="Arial"/>
                <w:snapToGrid/>
                <w:sz w:val="22"/>
                <w:szCs w:val="24"/>
              </w:rPr>
              <w:t>Dr Danni Fan</w:t>
            </w:r>
          </w:p>
        </w:tc>
        <w:tc>
          <w:tcPr>
            <w:tcW w:w="3686" w:type="dxa"/>
          </w:tcPr>
          <w:p w:rsidR="0041039A" w:rsidRPr="0041039A"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Principal Clinical Scientist</w:t>
            </w:r>
          </w:p>
          <w:p w:rsidR="0041039A" w:rsidRPr="0041039A"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723 6165</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41039A" w:rsidP="0041039A">
            <w:pPr>
              <w:widowControl/>
              <w:rPr>
                <w:rFonts w:ascii="Arial" w:hAnsi="Arial"/>
                <w:snapToGrid/>
                <w:sz w:val="22"/>
                <w:szCs w:val="24"/>
              </w:rPr>
            </w:pPr>
            <w:r w:rsidRPr="0041039A">
              <w:rPr>
                <w:rFonts w:ascii="Arial" w:hAnsi="Arial"/>
                <w:snapToGrid/>
                <w:sz w:val="22"/>
                <w:szCs w:val="24"/>
              </w:rPr>
              <w:t>Mrs Gifty George</w:t>
            </w:r>
          </w:p>
        </w:tc>
        <w:tc>
          <w:tcPr>
            <w:tcW w:w="3686" w:type="dxa"/>
          </w:tcPr>
          <w:p w:rsidR="0041039A" w:rsidRPr="0041039A"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Senior Clinical Scientist</w:t>
            </w:r>
          </w:p>
          <w:p w:rsidR="0041039A" w:rsidRPr="0041039A"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723 6165</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C73390" w:rsidP="0041039A">
            <w:pPr>
              <w:widowControl/>
              <w:rPr>
                <w:rFonts w:ascii="Arial" w:hAnsi="Arial"/>
                <w:snapToGrid/>
                <w:sz w:val="22"/>
                <w:szCs w:val="24"/>
              </w:rPr>
            </w:pPr>
            <w:r>
              <w:rPr>
                <w:rFonts w:ascii="Arial" w:hAnsi="Arial"/>
                <w:snapToGrid/>
                <w:sz w:val="22"/>
                <w:szCs w:val="24"/>
              </w:rPr>
              <w:t>Mr Lee Cannon</w:t>
            </w:r>
          </w:p>
        </w:tc>
        <w:tc>
          <w:tcPr>
            <w:tcW w:w="3686" w:type="dxa"/>
          </w:tcPr>
          <w:p w:rsidR="0041039A" w:rsidRPr="0041039A" w:rsidRDefault="00A67F3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Pr>
                <w:rFonts w:ascii="Arial" w:hAnsi="Arial"/>
                <w:snapToGrid/>
                <w:sz w:val="22"/>
                <w:szCs w:val="24"/>
              </w:rPr>
              <w:t>Pre-Registration</w:t>
            </w:r>
            <w:r w:rsidR="00C73390" w:rsidRPr="0041039A">
              <w:rPr>
                <w:rFonts w:ascii="Arial" w:hAnsi="Arial"/>
                <w:snapToGrid/>
                <w:sz w:val="22"/>
                <w:szCs w:val="24"/>
              </w:rPr>
              <w:t xml:space="preserve"> </w:t>
            </w:r>
            <w:r w:rsidR="0041039A" w:rsidRPr="0041039A">
              <w:rPr>
                <w:rFonts w:ascii="Arial" w:hAnsi="Arial"/>
                <w:snapToGrid/>
                <w:sz w:val="22"/>
                <w:szCs w:val="24"/>
              </w:rPr>
              <w:t>Clinical Scientist</w:t>
            </w:r>
          </w:p>
          <w:p w:rsidR="0041039A" w:rsidRPr="0041039A"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723 6165</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41039A" w:rsidP="0041039A">
            <w:pPr>
              <w:widowControl/>
              <w:rPr>
                <w:rFonts w:ascii="Arial" w:hAnsi="Arial"/>
                <w:snapToGrid/>
                <w:sz w:val="22"/>
                <w:szCs w:val="24"/>
              </w:rPr>
            </w:pPr>
            <w:r w:rsidRPr="0041039A">
              <w:rPr>
                <w:rFonts w:ascii="Arial" w:hAnsi="Arial"/>
                <w:snapToGrid/>
                <w:sz w:val="22"/>
                <w:szCs w:val="24"/>
              </w:rPr>
              <w:t>Phil Bates</w:t>
            </w:r>
          </w:p>
        </w:tc>
        <w:tc>
          <w:tcPr>
            <w:tcW w:w="3686" w:type="dxa"/>
          </w:tcPr>
          <w:p w:rsidR="0041039A" w:rsidRPr="0041039A"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Head Biomedical Scientist</w:t>
            </w:r>
          </w:p>
          <w:p w:rsidR="0041039A" w:rsidRPr="0041039A"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722 4368</w:t>
            </w:r>
          </w:p>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01227 864 368 (direct line)</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C73390" w:rsidP="0041039A">
            <w:pPr>
              <w:widowControl/>
              <w:rPr>
                <w:rFonts w:ascii="Arial" w:hAnsi="Arial"/>
                <w:snapToGrid/>
                <w:sz w:val="22"/>
                <w:szCs w:val="24"/>
              </w:rPr>
            </w:pPr>
            <w:r>
              <w:rPr>
                <w:rFonts w:ascii="Arial" w:hAnsi="Arial"/>
                <w:snapToGrid/>
                <w:sz w:val="22"/>
                <w:szCs w:val="24"/>
              </w:rPr>
              <w:t>James Evans</w:t>
            </w:r>
          </w:p>
        </w:tc>
        <w:tc>
          <w:tcPr>
            <w:tcW w:w="3686" w:type="dxa"/>
          </w:tcPr>
          <w:p w:rsidR="00703AF0"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 xml:space="preserve">Chief Biomedical Scientist </w:t>
            </w:r>
          </w:p>
          <w:p w:rsidR="0041039A" w:rsidRPr="0041039A" w:rsidRDefault="0041039A" w:rsidP="00703AF0">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(K&amp;CH and QEQMH)</w:t>
            </w: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722 5064 (K&amp;CH)</w:t>
            </w:r>
          </w:p>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725 3630 (QEQMH)</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41039A" w:rsidP="0041039A">
            <w:pPr>
              <w:widowControl/>
              <w:rPr>
                <w:rFonts w:ascii="Arial" w:hAnsi="Arial"/>
                <w:snapToGrid/>
                <w:sz w:val="22"/>
                <w:szCs w:val="24"/>
              </w:rPr>
            </w:pPr>
            <w:r w:rsidRPr="0041039A">
              <w:rPr>
                <w:rFonts w:ascii="Arial" w:hAnsi="Arial"/>
                <w:snapToGrid/>
                <w:sz w:val="22"/>
                <w:szCs w:val="24"/>
              </w:rPr>
              <w:t>Tracy Clawson</w:t>
            </w:r>
          </w:p>
        </w:tc>
        <w:tc>
          <w:tcPr>
            <w:tcW w:w="3686" w:type="dxa"/>
          </w:tcPr>
          <w:p w:rsidR="0041039A" w:rsidRPr="0041039A" w:rsidRDefault="0041039A" w:rsidP="00365C54">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Chief Biomedical Scientist (WHH)</w:t>
            </w: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723 6130</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41039A" w:rsidP="0041039A">
            <w:pPr>
              <w:widowControl/>
              <w:rPr>
                <w:rFonts w:ascii="Arial" w:hAnsi="Arial"/>
                <w:snapToGrid/>
                <w:sz w:val="22"/>
                <w:szCs w:val="24"/>
              </w:rPr>
            </w:pPr>
            <w:r w:rsidRPr="0041039A">
              <w:rPr>
                <w:rFonts w:ascii="Arial" w:hAnsi="Arial"/>
                <w:snapToGrid/>
                <w:sz w:val="22"/>
                <w:szCs w:val="24"/>
              </w:rPr>
              <w:t>Lorna Miller</w:t>
            </w:r>
          </w:p>
        </w:tc>
        <w:tc>
          <w:tcPr>
            <w:tcW w:w="3686" w:type="dxa"/>
          </w:tcPr>
          <w:p w:rsidR="0041039A" w:rsidRPr="0041039A" w:rsidRDefault="0041039A" w:rsidP="00365C54">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Chief Biomedical Scientist and Clinical Scientist (Immunology)</w:t>
            </w: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723 6716</w:t>
            </w:r>
          </w:p>
        </w:tc>
      </w:tr>
      <w:tr w:rsidR="0041039A" w:rsidRPr="0041039A" w:rsidTr="000708E5">
        <w:trPr>
          <w:trHeight w:val="410"/>
        </w:trPr>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C73390" w:rsidP="0041039A">
            <w:pPr>
              <w:widowControl/>
              <w:rPr>
                <w:rFonts w:ascii="Arial" w:hAnsi="Arial"/>
                <w:snapToGrid/>
                <w:sz w:val="22"/>
                <w:szCs w:val="24"/>
              </w:rPr>
            </w:pPr>
            <w:r>
              <w:rPr>
                <w:rFonts w:ascii="Arial" w:hAnsi="Arial"/>
                <w:snapToGrid/>
                <w:sz w:val="22"/>
                <w:szCs w:val="24"/>
              </w:rPr>
              <w:t>Nicola Fletcher</w:t>
            </w:r>
          </w:p>
        </w:tc>
        <w:tc>
          <w:tcPr>
            <w:tcW w:w="3686" w:type="dxa"/>
          </w:tcPr>
          <w:p w:rsidR="0041039A" w:rsidRPr="0041039A" w:rsidRDefault="0041039A" w:rsidP="00365C54">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Specimen Reception Manager WHH</w:t>
            </w: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723 6130</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41039A" w:rsidP="0041039A">
            <w:pPr>
              <w:widowControl/>
              <w:rPr>
                <w:rFonts w:ascii="Arial" w:hAnsi="Arial"/>
                <w:snapToGrid/>
                <w:sz w:val="22"/>
                <w:szCs w:val="24"/>
              </w:rPr>
            </w:pPr>
            <w:r w:rsidRPr="0041039A">
              <w:rPr>
                <w:rFonts w:ascii="Arial" w:hAnsi="Arial"/>
                <w:snapToGrid/>
                <w:sz w:val="22"/>
                <w:szCs w:val="24"/>
              </w:rPr>
              <w:t>Marcus Coales</w:t>
            </w:r>
          </w:p>
          <w:p w:rsidR="0041039A" w:rsidRPr="0041039A" w:rsidRDefault="0041039A" w:rsidP="0041039A">
            <w:pPr>
              <w:widowControl/>
              <w:rPr>
                <w:rFonts w:ascii="Arial" w:hAnsi="Arial"/>
                <w:snapToGrid/>
                <w:sz w:val="22"/>
                <w:szCs w:val="24"/>
              </w:rPr>
            </w:pPr>
          </w:p>
        </w:tc>
        <w:tc>
          <w:tcPr>
            <w:tcW w:w="3686" w:type="dxa"/>
          </w:tcPr>
          <w:p w:rsidR="0041039A" w:rsidRPr="0041039A" w:rsidRDefault="0041039A"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 xml:space="preserve">General Manager </w:t>
            </w: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723 8400</w:t>
            </w:r>
          </w:p>
        </w:tc>
      </w:tr>
      <w:tr w:rsidR="004A7E25"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A7E25" w:rsidRPr="0041039A" w:rsidRDefault="004A7E25" w:rsidP="0041039A">
            <w:pPr>
              <w:widowControl/>
              <w:rPr>
                <w:rFonts w:ascii="Arial" w:hAnsi="Arial"/>
                <w:snapToGrid/>
                <w:sz w:val="22"/>
                <w:szCs w:val="24"/>
              </w:rPr>
            </w:pPr>
            <w:r>
              <w:rPr>
                <w:rFonts w:ascii="Arial" w:hAnsi="Arial"/>
                <w:snapToGrid/>
                <w:sz w:val="22"/>
                <w:szCs w:val="24"/>
              </w:rPr>
              <w:t>Patrick Ruffle</w:t>
            </w:r>
          </w:p>
        </w:tc>
        <w:tc>
          <w:tcPr>
            <w:tcW w:w="3686" w:type="dxa"/>
          </w:tcPr>
          <w:p w:rsidR="004A7E25" w:rsidRPr="0041039A" w:rsidRDefault="004A7E25"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A7E25">
              <w:rPr>
                <w:rFonts w:ascii="Arial" w:hAnsi="Arial"/>
                <w:snapToGrid/>
                <w:sz w:val="22"/>
                <w:szCs w:val="24"/>
              </w:rPr>
              <w:t>Deputy General Manager Pathology</w:t>
            </w:r>
          </w:p>
        </w:tc>
        <w:tc>
          <w:tcPr>
            <w:tcW w:w="3118" w:type="dxa"/>
          </w:tcPr>
          <w:p w:rsidR="004A7E25" w:rsidRPr="0041039A" w:rsidRDefault="004A7E25"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Pr>
                <w:rFonts w:ascii="Arial" w:hAnsi="Arial"/>
                <w:b/>
                <w:snapToGrid/>
                <w:sz w:val="22"/>
                <w:szCs w:val="24"/>
              </w:rPr>
              <w:t>723 8066</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C73390" w:rsidP="0041039A">
            <w:pPr>
              <w:widowControl/>
              <w:rPr>
                <w:rFonts w:ascii="Arial" w:hAnsi="Arial"/>
                <w:snapToGrid/>
                <w:sz w:val="22"/>
                <w:szCs w:val="24"/>
              </w:rPr>
            </w:pPr>
            <w:r>
              <w:rPr>
                <w:rFonts w:ascii="Arial" w:hAnsi="Arial"/>
                <w:snapToGrid/>
                <w:sz w:val="22"/>
                <w:szCs w:val="24"/>
              </w:rPr>
              <w:t>Naomi Rogers</w:t>
            </w:r>
          </w:p>
        </w:tc>
        <w:tc>
          <w:tcPr>
            <w:tcW w:w="3686" w:type="dxa"/>
          </w:tcPr>
          <w:p w:rsidR="0041039A" w:rsidRPr="0041039A" w:rsidRDefault="0041039A"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Head of Quality, Governance and Risk Management</w:t>
            </w: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723 4204</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A37752" w:rsidP="0041039A">
            <w:pPr>
              <w:rPr>
                <w:rFonts w:ascii="Arial" w:hAnsi="Arial" w:cs="Arial"/>
                <w:snapToGrid/>
                <w:sz w:val="22"/>
                <w:szCs w:val="22"/>
              </w:rPr>
            </w:pPr>
            <w:r>
              <w:rPr>
                <w:rFonts w:ascii="Arial" w:hAnsi="Arial" w:cs="Arial"/>
                <w:sz w:val="22"/>
                <w:szCs w:val="22"/>
              </w:rPr>
              <w:t xml:space="preserve">Stephen Besford </w:t>
            </w:r>
          </w:p>
          <w:p w:rsidR="0041039A" w:rsidRPr="0041039A" w:rsidRDefault="0041039A" w:rsidP="0041039A">
            <w:pPr>
              <w:widowControl/>
              <w:rPr>
                <w:rFonts w:ascii="Arial" w:hAnsi="Arial"/>
                <w:snapToGrid/>
                <w:sz w:val="22"/>
                <w:szCs w:val="24"/>
              </w:rPr>
            </w:pPr>
          </w:p>
        </w:tc>
        <w:tc>
          <w:tcPr>
            <w:tcW w:w="3686" w:type="dxa"/>
          </w:tcPr>
          <w:p w:rsidR="0041039A" w:rsidRPr="0041039A" w:rsidRDefault="0041039A"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Operations Manager</w:t>
            </w:r>
          </w:p>
          <w:p w:rsidR="0041039A" w:rsidRPr="0041039A" w:rsidRDefault="0041039A"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723 6133</w:t>
            </w:r>
          </w:p>
        </w:tc>
      </w:tr>
      <w:tr w:rsidR="0041039A" w:rsidRPr="0041039A" w:rsidTr="000708E5">
        <w:tc>
          <w:tcPr>
            <w:cnfStyle w:val="001000000000" w:firstRow="0" w:lastRow="0" w:firstColumn="1" w:lastColumn="0" w:oddVBand="0" w:evenVBand="0" w:oddHBand="0" w:evenHBand="0" w:firstRowFirstColumn="0" w:firstRowLastColumn="0" w:lastRowFirstColumn="0" w:lastRowLastColumn="0"/>
            <w:tcW w:w="3652" w:type="dxa"/>
          </w:tcPr>
          <w:p w:rsidR="0041039A" w:rsidRPr="0041039A" w:rsidRDefault="00C73390" w:rsidP="0041039A">
            <w:pPr>
              <w:widowControl/>
              <w:rPr>
                <w:rFonts w:ascii="Arial" w:hAnsi="Arial"/>
                <w:snapToGrid/>
                <w:sz w:val="22"/>
                <w:szCs w:val="24"/>
              </w:rPr>
            </w:pPr>
            <w:r>
              <w:rPr>
                <w:rFonts w:ascii="Arial" w:hAnsi="Arial"/>
                <w:snapToGrid/>
                <w:sz w:val="22"/>
                <w:szCs w:val="24"/>
              </w:rPr>
              <w:t>Joan Butler</w:t>
            </w:r>
          </w:p>
        </w:tc>
        <w:tc>
          <w:tcPr>
            <w:tcW w:w="3686" w:type="dxa"/>
          </w:tcPr>
          <w:p w:rsidR="0041039A" w:rsidRPr="0041039A" w:rsidRDefault="0041039A"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r w:rsidRPr="0041039A">
              <w:rPr>
                <w:rFonts w:ascii="Arial" w:hAnsi="Arial"/>
                <w:snapToGrid/>
                <w:sz w:val="22"/>
                <w:szCs w:val="24"/>
              </w:rPr>
              <w:t>POCT Co-ordinator</w:t>
            </w:r>
          </w:p>
          <w:p w:rsidR="0041039A" w:rsidRPr="0041039A" w:rsidRDefault="0041039A" w:rsidP="0041039A">
            <w:pPr>
              <w:widowControl/>
              <w:cnfStyle w:val="000000000000" w:firstRow="0" w:lastRow="0" w:firstColumn="0" w:lastColumn="0" w:oddVBand="0" w:evenVBand="0" w:oddHBand="0" w:evenHBand="0" w:firstRowFirstColumn="0" w:firstRowLastColumn="0" w:lastRowFirstColumn="0" w:lastRowLastColumn="0"/>
              <w:rPr>
                <w:rFonts w:ascii="Arial" w:hAnsi="Arial"/>
                <w:snapToGrid/>
                <w:sz w:val="22"/>
                <w:szCs w:val="24"/>
              </w:rPr>
            </w:pPr>
          </w:p>
        </w:tc>
        <w:tc>
          <w:tcPr>
            <w:tcW w:w="3118" w:type="dxa"/>
          </w:tcPr>
          <w:p w:rsidR="0041039A" w:rsidRPr="0041039A" w:rsidRDefault="0041039A" w:rsidP="0041039A">
            <w:pPr>
              <w:widowControl/>
              <w:jc w:val="center"/>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4"/>
              </w:rPr>
            </w:pPr>
            <w:r w:rsidRPr="0041039A">
              <w:rPr>
                <w:rFonts w:ascii="Arial" w:hAnsi="Arial"/>
                <w:b/>
                <w:snapToGrid/>
                <w:sz w:val="22"/>
                <w:szCs w:val="24"/>
              </w:rPr>
              <w:t>722 4368</w:t>
            </w:r>
          </w:p>
        </w:tc>
      </w:tr>
    </w:tbl>
    <w:p w:rsidR="0041039A" w:rsidRPr="0041039A" w:rsidRDefault="0041039A" w:rsidP="0041039A"/>
    <w:p w:rsidR="0041039A" w:rsidRPr="0041039A" w:rsidRDefault="0041039A" w:rsidP="0041039A">
      <w:pPr>
        <w:keepNext/>
        <w:numPr>
          <w:ilvl w:val="0"/>
          <w:numId w:val="44"/>
        </w:numPr>
        <w:spacing w:before="240" w:after="60"/>
        <w:outlineLvl w:val="0"/>
        <w:rPr>
          <w:rFonts w:ascii="Arial" w:hAnsi="Arial"/>
          <w:b/>
          <w:snapToGrid/>
          <w:color w:val="000000"/>
          <w:kern w:val="28"/>
          <w:sz w:val="28"/>
        </w:rPr>
      </w:pPr>
      <w:r w:rsidRPr="0041039A">
        <w:rPr>
          <w:rFonts w:ascii="Arial" w:hAnsi="Arial"/>
          <w:b/>
          <w:snapToGrid/>
          <w:kern w:val="28"/>
          <w:sz w:val="28"/>
        </w:rPr>
        <w:t xml:space="preserve">CLINICAL INFORMATION </w:t>
      </w:r>
    </w:p>
    <w:p w:rsidR="0041039A" w:rsidRPr="0041039A" w:rsidRDefault="0041039A" w:rsidP="00365C54">
      <w:pPr>
        <w:widowControl/>
        <w:spacing w:line="360" w:lineRule="auto"/>
        <w:contextualSpacing/>
        <w:jc w:val="both"/>
        <w:rPr>
          <w:rFonts w:ascii="Arial" w:hAnsi="Arial"/>
          <w:snapToGrid/>
          <w:sz w:val="22"/>
          <w:szCs w:val="24"/>
        </w:rPr>
      </w:pPr>
      <w:r w:rsidRPr="0041039A">
        <w:rPr>
          <w:rFonts w:ascii="Arial" w:hAnsi="Arial"/>
          <w:snapToGrid/>
          <w:sz w:val="22"/>
          <w:szCs w:val="24"/>
        </w:rPr>
        <w:t>It is particularly helpful to us to receive as much clinical information as possible alongside the laboratory test request(s) as this ensures that the appropriate diagnostic tests are performed on your behalf. Some laboratory tests are vetted prior to being processed and will only be processed if supported by relevant clinical information.</w:t>
      </w:r>
    </w:p>
    <w:p w:rsidR="0041039A" w:rsidRPr="0041039A" w:rsidRDefault="0041039A" w:rsidP="0041039A">
      <w:pPr>
        <w:keepNext/>
        <w:numPr>
          <w:ilvl w:val="0"/>
          <w:numId w:val="44"/>
        </w:numPr>
        <w:spacing w:before="240" w:after="60"/>
        <w:outlineLvl w:val="0"/>
        <w:rPr>
          <w:rFonts w:ascii="Arial" w:hAnsi="Arial"/>
          <w:b/>
          <w:snapToGrid/>
          <w:kern w:val="28"/>
          <w:sz w:val="28"/>
        </w:rPr>
      </w:pPr>
      <w:r w:rsidRPr="0041039A">
        <w:rPr>
          <w:rFonts w:ascii="Arial" w:hAnsi="Arial"/>
          <w:b/>
          <w:snapToGrid/>
          <w:kern w:val="28"/>
          <w:sz w:val="28"/>
        </w:rPr>
        <w:t>CLINICAL ADVICE AND INTERPRETATION</w:t>
      </w:r>
    </w:p>
    <w:p w:rsidR="0041039A" w:rsidRDefault="0041039A" w:rsidP="00365C54">
      <w:pPr>
        <w:widowControl/>
        <w:spacing w:line="360" w:lineRule="auto"/>
        <w:contextualSpacing/>
        <w:jc w:val="both"/>
        <w:rPr>
          <w:rFonts w:ascii="Arial" w:hAnsi="Arial"/>
          <w:snapToGrid/>
          <w:sz w:val="22"/>
          <w:szCs w:val="24"/>
        </w:rPr>
      </w:pPr>
      <w:r w:rsidRPr="0041039A">
        <w:rPr>
          <w:rFonts w:ascii="Arial" w:hAnsi="Arial"/>
          <w:snapToGrid/>
          <w:sz w:val="22"/>
          <w:szCs w:val="24"/>
        </w:rPr>
        <w:t xml:space="preserve">Clinical advice and interpretation is available from the duty biochemist, on extension 723 6287 or 01233 616287. They can also be contacted by email </w:t>
      </w:r>
      <w:hyperlink r:id="rId15" w:history="1">
        <w:r w:rsidRPr="0041039A">
          <w:rPr>
            <w:rFonts w:ascii="Arial" w:hAnsi="Arial"/>
            <w:color w:val="0000FF"/>
            <w:sz w:val="22"/>
            <w:szCs w:val="24"/>
            <w:u w:val="single"/>
          </w:rPr>
          <w:t>ekhuft.biochemistryekhuft@nhs.net</w:t>
        </w:r>
      </w:hyperlink>
    </w:p>
    <w:p w:rsidR="00FB5E8C" w:rsidRDefault="00FB5E8C" w:rsidP="00365C54">
      <w:pPr>
        <w:widowControl/>
        <w:spacing w:line="360" w:lineRule="auto"/>
        <w:contextualSpacing/>
        <w:jc w:val="both"/>
        <w:rPr>
          <w:rFonts w:ascii="Arial" w:hAnsi="Arial"/>
          <w:snapToGrid/>
          <w:sz w:val="22"/>
          <w:szCs w:val="24"/>
        </w:rPr>
      </w:pPr>
    </w:p>
    <w:p w:rsidR="00FB5E8C" w:rsidRPr="0041039A" w:rsidRDefault="00FB5E8C" w:rsidP="00365C54">
      <w:pPr>
        <w:widowControl/>
        <w:spacing w:line="360" w:lineRule="auto"/>
        <w:contextualSpacing/>
        <w:jc w:val="both"/>
        <w:rPr>
          <w:rFonts w:ascii="Arial" w:hAnsi="Arial"/>
          <w:snapToGrid/>
          <w:sz w:val="22"/>
          <w:szCs w:val="24"/>
        </w:rPr>
      </w:pPr>
      <w:r>
        <w:rPr>
          <w:rFonts w:ascii="Arial" w:hAnsi="Arial"/>
          <w:snapToGrid/>
          <w:sz w:val="22"/>
          <w:szCs w:val="24"/>
        </w:rPr>
        <w:t>For c</w:t>
      </w:r>
      <w:r w:rsidRPr="00FB5E8C">
        <w:rPr>
          <w:rFonts w:ascii="Arial" w:hAnsi="Arial"/>
          <w:snapToGrid/>
          <w:sz w:val="22"/>
          <w:szCs w:val="24"/>
        </w:rPr>
        <w:t>linical advice and interpretation</w:t>
      </w:r>
      <w:r>
        <w:rPr>
          <w:rFonts w:ascii="Arial" w:hAnsi="Arial"/>
          <w:snapToGrid/>
          <w:sz w:val="22"/>
          <w:szCs w:val="24"/>
        </w:rPr>
        <w:t xml:space="preserve"> regarding immunology tests, contact 723 6713 or 01233 616716. However, they can only be contacted Mon – Fri 9:00 am to 5:30 pm. </w:t>
      </w:r>
    </w:p>
    <w:p w:rsidR="0041039A" w:rsidRPr="0041039A" w:rsidRDefault="0041039A" w:rsidP="00365C54">
      <w:pPr>
        <w:widowControl/>
        <w:spacing w:line="360" w:lineRule="auto"/>
        <w:contextualSpacing/>
        <w:jc w:val="both"/>
        <w:rPr>
          <w:rFonts w:ascii="Arial" w:hAnsi="Arial"/>
          <w:snapToGrid/>
          <w:sz w:val="22"/>
          <w:szCs w:val="24"/>
        </w:rPr>
      </w:pPr>
    </w:p>
    <w:p w:rsidR="0041039A" w:rsidRPr="0041039A" w:rsidRDefault="0041039A" w:rsidP="00365C54">
      <w:pPr>
        <w:widowControl/>
        <w:spacing w:line="360" w:lineRule="auto"/>
        <w:contextualSpacing/>
        <w:jc w:val="both"/>
        <w:rPr>
          <w:rFonts w:ascii="Arial" w:hAnsi="Arial"/>
          <w:snapToGrid/>
          <w:sz w:val="22"/>
          <w:szCs w:val="24"/>
        </w:rPr>
      </w:pPr>
      <w:r w:rsidRPr="0041039A">
        <w:rPr>
          <w:rFonts w:ascii="Arial" w:hAnsi="Arial"/>
          <w:snapToGrid/>
          <w:sz w:val="22"/>
          <w:szCs w:val="24"/>
        </w:rPr>
        <w:t>Interpretative comments are added to some test results by a HCPC registered clinical scientist.</w:t>
      </w:r>
    </w:p>
    <w:p w:rsidR="0041039A" w:rsidRPr="0041039A" w:rsidRDefault="0041039A" w:rsidP="00365C54">
      <w:pPr>
        <w:widowControl/>
        <w:spacing w:line="360" w:lineRule="auto"/>
        <w:contextualSpacing/>
        <w:jc w:val="both"/>
        <w:rPr>
          <w:rFonts w:ascii="Arial" w:hAnsi="Arial"/>
          <w:snapToGrid/>
          <w:sz w:val="22"/>
          <w:szCs w:val="24"/>
        </w:rPr>
      </w:pPr>
      <w:r w:rsidRPr="0041039A">
        <w:rPr>
          <w:rFonts w:ascii="Arial" w:hAnsi="Arial"/>
          <w:snapToGrid/>
          <w:sz w:val="22"/>
          <w:szCs w:val="24"/>
        </w:rPr>
        <w:t>Out of hours clinical advice is available by contacting the on call duty biochemist via switchboard.</w:t>
      </w:r>
    </w:p>
    <w:p w:rsidR="00365C54" w:rsidRPr="0041039A" w:rsidRDefault="00365C54" w:rsidP="0041039A">
      <w:pPr>
        <w:widowControl/>
        <w:rPr>
          <w:rFonts w:ascii="Arial" w:hAnsi="Arial"/>
          <w:snapToGrid/>
          <w:sz w:val="22"/>
          <w:szCs w:val="24"/>
        </w:rPr>
      </w:pPr>
    </w:p>
    <w:p w:rsidR="0041039A" w:rsidRPr="0041039A" w:rsidRDefault="0041039A" w:rsidP="0041039A">
      <w:pPr>
        <w:keepNext/>
        <w:numPr>
          <w:ilvl w:val="0"/>
          <w:numId w:val="44"/>
        </w:numPr>
        <w:spacing w:before="240" w:after="60"/>
        <w:outlineLvl w:val="0"/>
        <w:rPr>
          <w:rFonts w:ascii="Arial" w:hAnsi="Arial"/>
          <w:b/>
          <w:snapToGrid/>
          <w:kern w:val="28"/>
          <w:sz w:val="28"/>
        </w:rPr>
      </w:pPr>
      <w:bookmarkStart w:id="20" w:name="_Toc330067462"/>
      <w:bookmarkStart w:id="21" w:name="_Toc330121117"/>
      <w:bookmarkStart w:id="22" w:name="_Toc330122729"/>
      <w:bookmarkStart w:id="23" w:name="_Toc330132600"/>
      <w:bookmarkStart w:id="24" w:name="_Toc330132926"/>
      <w:bookmarkEnd w:id="20"/>
      <w:bookmarkEnd w:id="21"/>
      <w:bookmarkEnd w:id="22"/>
      <w:bookmarkEnd w:id="23"/>
      <w:bookmarkEnd w:id="24"/>
      <w:r w:rsidRPr="0041039A">
        <w:rPr>
          <w:rFonts w:ascii="Arial" w:hAnsi="Arial"/>
          <w:b/>
          <w:snapToGrid/>
          <w:kern w:val="28"/>
          <w:sz w:val="28"/>
        </w:rPr>
        <w:t>SPECIMEN AND REQUEST FORM LABELLING</w:t>
      </w:r>
    </w:p>
    <w:p w:rsidR="0041039A" w:rsidRPr="0041039A" w:rsidRDefault="0041039A" w:rsidP="0041039A">
      <w:pPr>
        <w:rPr>
          <w:rFonts w:ascii="Arial" w:hAnsi="Arial" w:cs="Arial"/>
          <w:sz w:val="22"/>
          <w:szCs w:val="22"/>
        </w:rPr>
      </w:pPr>
    </w:p>
    <w:p w:rsidR="0041039A" w:rsidRPr="0041039A" w:rsidRDefault="0041039A" w:rsidP="00365C54">
      <w:pPr>
        <w:numPr>
          <w:ilvl w:val="0"/>
          <w:numId w:val="67"/>
        </w:numPr>
        <w:spacing w:line="360" w:lineRule="auto"/>
        <w:contextualSpacing/>
        <w:jc w:val="both"/>
        <w:rPr>
          <w:rFonts w:ascii="Arial" w:hAnsi="Arial" w:cs="Arial"/>
          <w:sz w:val="22"/>
          <w:szCs w:val="22"/>
        </w:rPr>
      </w:pPr>
      <w:r w:rsidRPr="0041039A">
        <w:rPr>
          <w:rFonts w:ascii="Arial" w:hAnsi="Arial" w:cs="Arial"/>
          <w:sz w:val="22"/>
          <w:szCs w:val="22"/>
        </w:rPr>
        <w:t>Requests made in primary care must be made via DartOCM</w:t>
      </w:r>
    </w:p>
    <w:p w:rsidR="0041039A" w:rsidRPr="0041039A" w:rsidRDefault="0041039A" w:rsidP="00365C54">
      <w:pPr>
        <w:numPr>
          <w:ilvl w:val="0"/>
          <w:numId w:val="67"/>
        </w:numPr>
        <w:spacing w:line="360" w:lineRule="auto"/>
        <w:contextualSpacing/>
        <w:jc w:val="both"/>
        <w:rPr>
          <w:rFonts w:ascii="Arial" w:hAnsi="Arial" w:cs="Arial"/>
          <w:sz w:val="22"/>
          <w:szCs w:val="22"/>
        </w:rPr>
      </w:pPr>
      <w:r w:rsidRPr="0041039A">
        <w:rPr>
          <w:rFonts w:ascii="Arial" w:hAnsi="Arial" w:cs="Arial"/>
          <w:sz w:val="22"/>
          <w:szCs w:val="22"/>
        </w:rPr>
        <w:t>Requests made in secondary care must be made via Sunrise.</w:t>
      </w:r>
    </w:p>
    <w:p w:rsidR="0041039A" w:rsidRPr="0041039A" w:rsidRDefault="0041039A" w:rsidP="00365C54">
      <w:pPr>
        <w:spacing w:line="360" w:lineRule="auto"/>
        <w:contextualSpacing/>
        <w:jc w:val="both"/>
        <w:rPr>
          <w:rFonts w:ascii="Arial" w:hAnsi="Arial" w:cs="Arial"/>
          <w:b/>
        </w:rPr>
      </w:pPr>
    </w:p>
    <w:p w:rsidR="0041039A" w:rsidRPr="0041039A" w:rsidRDefault="0041039A" w:rsidP="00365C54">
      <w:pPr>
        <w:spacing w:line="360" w:lineRule="auto"/>
        <w:contextualSpacing/>
        <w:jc w:val="both"/>
      </w:pPr>
      <w:r w:rsidRPr="0041039A">
        <w:rPr>
          <w:rFonts w:ascii="Arial" w:hAnsi="Arial" w:cs="Arial"/>
          <w:b/>
        </w:rPr>
        <w:t>How to apply sunrise/Dart printed labels to specimen containers</w:t>
      </w:r>
    </w:p>
    <w:p w:rsidR="0041039A" w:rsidRPr="0041039A" w:rsidRDefault="0041039A" w:rsidP="00365C54">
      <w:pPr>
        <w:spacing w:line="360" w:lineRule="auto"/>
        <w:contextualSpacing/>
        <w:jc w:val="both"/>
        <w:rPr>
          <w:rFonts w:ascii="Arial" w:hAnsi="Arial" w:cs="Arial"/>
          <w:sz w:val="22"/>
          <w:szCs w:val="22"/>
        </w:rPr>
      </w:pPr>
      <w:r w:rsidRPr="0041039A">
        <w:rPr>
          <w:rFonts w:ascii="Arial" w:hAnsi="Arial" w:cs="Arial"/>
          <w:sz w:val="22"/>
          <w:szCs w:val="22"/>
        </w:rPr>
        <w:t>As with all phlebotomy/sample collection processes it is essential that correct positive patient ID is performed and that all samples are labelled with the correct patient information.</w:t>
      </w:r>
    </w:p>
    <w:p w:rsidR="0041039A" w:rsidRPr="0041039A" w:rsidRDefault="0041039A" w:rsidP="00365C54">
      <w:pPr>
        <w:spacing w:line="360" w:lineRule="auto"/>
        <w:contextualSpacing/>
        <w:jc w:val="both"/>
        <w:rPr>
          <w:rFonts w:ascii="Arial" w:hAnsi="Arial" w:cs="Arial"/>
          <w:sz w:val="22"/>
          <w:szCs w:val="22"/>
        </w:rPr>
      </w:pPr>
    </w:p>
    <w:p w:rsidR="000A6177" w:rsidRPr="0041039A" w:rsidRDefault="0041039A" w:rsidP="00365C54">
      <w:pPr>
        <w:spacing w:line="360" w:lineRule="auto"/>
        <w:contextualSpacing/>
        <w:jc w:val="both"/>
      </w:pPr>
      <w:r w:rsidRPr="0041039A">
        <w:rPr>
          <w:rFonts w:ascii="Arial" w:hAnsi="Arial" w:cs="Arial"/>
          <w:sz w:val="22"/>
          <w:szCs w:val="22"/>
        </w:rPr>
        <w:t>When placing printed sample labels on the containers, it is essential they are placed in the correct position and orientation and on the correct sample for the tests required. If the labels are not applied correctly, the analysers are not able to read the barcodes. This may cause delay in issuing results.</w:t>
      </w:r>
    </w:p>
    <w:p w:rsidR="0041039A" w:rsidRPr="0041039A" w:rsidRDefault="0041039A" w:rsidP="00365C54">
      <w:pPr>
        <w:spacing w:line="360" w:lineRule="auto"/>
        <w:contextualSpacing/>
        <w:jc w:val="both"/>
        <w:rPr>
          <w:sz w:val="22"/>
          <w:szCs w:val="22"/>
        </w:rPr>
      </w:pPr>
      <w:r w:rsidRPr="0041039A">
        <w:rPr>
          <w:rFonts w:ascii="Arial" w:hAnsi="Arial" w:cs="Arial"/>
          <w:b/>
          <w:szCs w:val="22"/>
        </w:rPr>
        <w:t>Example of a correctly labelled sample</w:t>
      </w:r>
    </w:p>
    <w:p w:rsidR="0041039A" w:rsidRPr="00D8441A" w:rsidRDefault="0041039A" w:rsidP="00365C54">
      <w:pPr>
        <w:numPr>
          <w:ilvl w:val="0"/>
          <w:numId w:val="66"/>
        </w:numPr>
        <w:spacing w:line="360" w:lineRule="auto"/>
        <w:contextualSpacing/>
        <w:jc w:val="both"/>
        <w:rPr>
          <w:rFonts w:ascii="Arial" w:hAnsi="Arial" w:cs="Arial"/>
          <w:sz w:val="22"/>
          <w:szCs w:val="22"/>
        </w:rPr>
      </w:pPr>
      <w:r w:rsidRPr="0041039A">
        <w:rPr>
          <w:rFonts w:ascii="Arial" w:hAnsi="Arial" w:cs="Arial"/>
          <w:sz w:val="22"/>
          <w:szCs w:val="22"/>
        </w:rPr>
        <w:t>Note how the label is perfectly centred and straight, clearly printed and aligned on the tube with the coloured lid on the left.</w:t>
      </w:r>
    </w:p>
    <w:p w:rsidR="0041039A" w:rsidRDefault="00AF465B" w:rsidP="00365C54">
      <w:pPr>
        <w:spacing w:line="360" w:lineRule="auto"/>
        <w:contextualSpacing/>
        <w:jc w:val="both"/>
        <w:rPr>
          <w:noProof/>
          <w:lang w:eastAsia="en-GB"/>
        </w:rPr>
      </w:pPr>
      <w:r w:rsidRPr="0041039A">
        <w:rPr>
          <w:noProof/>
          <w:lang w:eastAsia="en-GB"/>
        </w:rPr>
        <w:drawing>
          <wp:inline distT="0" distB="0" distL="0" distR="0">
            <wp:extent cx="1727835" cy="575945"/>
            <wp:effectExtent l="0" t="0" r="5715" b="0"/>
            <wp:docPr id="68" name="Picture 7" descr="Image shows sample label corectly applied" title="Sampl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t="14230" b="11115"/>
                    <a:stretch>
                      <a:fillRect/>
                    </a:stretch>
                  </pic:blipFill>
                  <pic:spPr bwMode="auto">
                    <a:xfrm>
                      <a:off x="0" y="0"/>
                      <a:ext cx="1727835" cy="575945"/>
                    </a:xfrm>
                    <a:prstGeom prst="rect">
                      <a:avLst/>
                    </a:prstGeom>
                    <a:noFill/>
                    <a:ln>
                      <a:noFill/>
                    </a:ln>
                  </pic:spPr>
                </pic:pic>
              </a:graphicData>
            </a:graphic>
          </wp:inline>
        </w:drawing>
      </w:r>
      <w:r w:rsidR="001E5126">
        <w:rPr>
          <w:noProof/>
          <w:lang w:eastAsia="en-GB"/>
        </w:rPr>
        <w:t xml:space="preserve"> </w:t>
      </w:r>
    </w:p>
    <w:p w:rsidR="00E61534" w:rsidRDefault="00E61534" w:rsidP="00365C54">
      <w:pPr>
        <w:spacing w:line="360" w:lineRule="auto"/>
        <w:contextualSpacing/>
        <w:jc w:val="both"/>
        <w:rPr>
          <w:noProof/>
          <w:lang w:eastAsia="en-GB"/>
        </w:rPr>
      </w:pPr>
    </w:p>
    <w:p w:rsidR="00E61534" w:rsidRPr="0041039A" w:rsidRDefault="00E61534" w:rsidP="00365C54">
      <w:pPr>
        <w:spacing w:line="360" w:lineRule="auto"/>
        <w:contextualSpacing/>
        <w:jc w:val="both"/>
      </w:pPr>
    </w:p>
    <w:p w:rsidR="0041039A" w:rsidRPr="0041039A" w:rsidRDefault="0041039A" w:rsidP="00365C54">
      <w:pPr>
        <w:widowControl/>
        <w:spacing w:line="360" w:lineRule="auto"/>
        <w:contextualSpacing/>
        <w:jc w:val="both"/>
      </w:pPr>
    </w:p>
    <w:p w:rsidR="0041039A" w:rsidRPr="0041039A" w:rsidRDefault="0041039A" w:rsidP="00365C54">
      <w:pPr>
        <w:widowControl/>
        <w:spacing w:line="360" w:lineRule="auto"/>
        <w:contextualSpacing/>
        <w:jc w:val="both"/>
        <w:rPr>
          <w:rFonts w:ascii="Arial" w:hAnsi="Arial" w:cs="Arial"/>
          <w:b/>
          <w:snapToGrid/>
          <w:szCs w:val="22"/>
        </w:rPr>
      </w:pPr>
      <w:r w:rsidRPr="0041039A">
        <w:rPr>
          <w:rFonts w:ascii="Arial" w:hAnsi="Arial" w:cs="Arial"/>
          <w:b/>
          <w:snapToGrid/>
          <w:szCs w:val="22"/>
        </w:rPr>
        <w:t>Examples of incorrectly labelled samples</w:t>
      </w:r>
    </w:p>
    <w:p w:rsidR="0041039A" w:rsidRPr="0041039A" w:rsidRDefault="0041039A" w:rsidP="00365C54">
      <w:pPr>
        <w:widowControl/>
        <w:numPr>
          <w:ilvl w:val="0"/>
          <w:numId w:val="66"/>
        </w:numPr>
        <w:spacing w:line="360" w:lineRule="auto"/>
        <w:contextualSpacing/>
        <w:jc w:val="both"/>
        <w:rPr>
          <w:rFonts w:ascii="Arial" w:hAnsi="Arial"/>
          <w:snapToGrid/>
          <w:sz w:val="22"/>
          <w:szCs w:val="22"/>
        </w:rPr>
      </w:pPr>
      <w:r w:rsidRPr="0041039A">
        <w:rPr>
          <w:rFonts w:ascii="Arial" w:hAnsi="Arial"/>
          <w:snapToGrid/>
          <w:sz w:val="22"/>
          <w:szCs w:val="22"/>
        </w:rPr>
        <w:t>This label has been wrapped around the tube sideways. The analysers are unable to see/read the entire barcode.</w:t>
      </w:r>
    </w:p>
    <w:p w:rsidR="0041039A" w:rsidRPr="0041039A" w:rsidRDefault="00AF465B" w:rsidP="00365C54">
      <w:pPr>
        <w:widowControl/>
        <w:spacing w:line="360" w:lineRule="auto"/>
        <w:contextualSpacing/>
        <w:jc w:val="both"/>
        <w:rPr>
          <w:rFonts w:ascii="Arial" w:hAnsi="Arial"/>
          <w:snapToGrid/>
          <w:sz w:val="22"/>
          <w:szCs w:val="22"/>
        </w:rPr>
      </w:pPr>
      <w:r w:rsidRPr="0041039A">
        <w:rPr>
          <w:noProof/>
          <w:lang w:eastAsia="en-GB"/>
        </w:rPr>
        <w:drawing>
          <wp:inline distT="0" distB="0" distL="0" distR="0">
            <wp:extent cx="1727200" cy="574040"/>
            <wp:effectExtent l="0" t="0" r="6350" b="0"/>
            <wp:docPr id="69" name="Picture 3" descr="Image shows sample tube with label applied sideways" title="Sampl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t="12540" b="14726"/>
                    <a:stretch>
                      <a:fillRect/>
                    </a:stretch>
                  </pic:blipFill>
                  <pic:spPr bwMode="auto">
                    <a:xfrm>
                      <a:off x="0" y="0"/>
                      <a:ext cx="1727200" cy="574040"/>
                    </a:xfrm>
                    <a:prstGeom prst="rect">
                      <a:avLst/>
                    </a:prstGeom>
                    <a:noFill/>
                    <a:ln>
                      <a:noFill/>
                    </a:ln>
                  </pic:spPr>
                </pic:pic>
              </a:graphicData>
            </a:graphic>
          </wp:inline>
        </w:drawing>
      </w:r>
    </w:p>
    <w:p w:rsidR="0041039A" w:rsidRPr="0041039A" w:rsidRDefault="0041039A" w:rsidP="00365C54">
      <w:pPr>
        <w:widowControl/>
        <w:spacing w:line="360" w:lineRule="auto"/>
        <w:contextualSpacing/>
        <w:jc w:val="both"/>
        <w:rPr>
          <w:rFonts w:ascii="Arial" w:hAnsi="Arial"/>
          <w:snapToGrid/>
          <w:sz w:val="22"/>
          <w:szCs w:val="22"/>
        </w:rPr>
      </w:pPr>
    </w:p>
    <w:p w:rsidR="0041039A" w:rsidRPr="0041039A" w:rsidRDefault="0041039A" w:rsidP="00365C54">
      <w:pPr>
        <w:widowControl/>
        <w:numPr>
          <w:ilvl w:val="0"/>
          <w:numId w:val="66"/>
        </w:numPr>
        <w:spacing w:line="360" w:lineRule="auto"/>
        <w:contextualSpacing/>
        <w:jc w:val="both"/>
        <w:rPr>
          <w:rFonts w:ascii="Arial" w:hAnsi="Arial"/>
          <w:snapToGrid/>
          <w:sz w:val="22"/>
          <w:szCs w:val="22"/>
        </w:rPr>
      </w:pPr>
      <w:r w:rsidRPr="0041039A">
        <w:rPr>
          <w:rFonts w:ascii="Arial" w:hAnsi="Arial"/>
          <w:snapToGrid/>
          <w:sz w:val="22"/>
          <w:szCs w:val="22"/>
        </w:rPr>
        <w:t>Try to ensure the label is placed on the tube as straight as possible. Crooked, crumpled or torn labels will need reprinting.</w:t>
      </w:r>
    </w:p>
    <w:p w:rsidR="0041039A" w:rsidRPr="0041039A" w:rsidRDefault="00AF465B" w:rsidP="00365C54">
      <w:pPr>
        <w:widowControl/>
        <w:spacing w:line="360" w:lineRule="auto"/>
        <w:contextualSpacing/>
        <w:jc w:val="both"/>
        <w:rPr>
          <w:rFonts w:ascii="Arial" w:hAnsi="Arial"/>
          <w:snapToGrid/>
          <w:sz w:val="20"/>
        </w:rPr>
      </w:pPr>
      <w:r w:rsidRPr="0041039A">
        <w:rPr>
          <w:noProof/>
          <w:lang w:eastAsia="en-GB"/>
        </w:rPr>
        <w:drawing>
          <wp:inline distT="0" distB="0" distL="0" distR="0">
            <wp:extent cx="1727200" cy="575310"/>
            <wp:effectExtent l="0" t="0" r="6350" b="0"/>
            <wp:docPr id="74" name="Picture 14" descr="Images shows sample tube with label applied low down and crumpled at the bottom" title="Sampl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t="5119" b="5807"/>
                    <a:stretch>
                      <a:fillRect/>
                    </a:stretch>
                  </pic:blipFill>
                  <pic:spPr bwMode="auto">
                    <a:xfrm>
                      <a:off x="0" y="0"/>
                      <a:ext cx="1727200" cy="575310"/>
                    </a:xfrm>
                    <a:prstGeom prst="rect">
                      <a:avLst/>
                    </a:prstGeom>
                    <a:noFill/>
                    <a:ln>
                      <a:noFill/>
                    </a:ln>
                  </pic:spPr>
                </pic:pic>
              </a:graphicData>
            </a:graphic>
          </wp:inline>
        </w:drawing>
      </w:r>
      <w:r w:rsidRPr="0041039A">
        <w:rPr>
          <w:noProof/>
          <w:lang w:eastAsia="en-GB"/>
        </w:rPr>
        <w:drawing>
          <wp:inline distT="0" distB="0" distL="0" distR="0">
            <wp:extent cx="1727835" cy="575945"/>
            <wp:effectExtent l="0" t="0" r="5715" b="0"/>
            <wp:docPr id="70" name="Picture 5" descr="Image shows sample tube with label applied at an angle." title="Sampl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t="14529" b="14528"/>
                    <a:stretch>
                      <a:fillRect/>
                    </a:stretch>
                  </pic:blipFill>
                  <pic:spPr bwMode="auto">
                    <a:xfrm>
                      <a:off x="0" y="0"/>
                      <a:ext cx="1727835" cy="575945"/>
                    </a:xfrm>
                    <a:prstGeom prst="rect">
                      <a:avLst/>
                    </a:prstGeom>
                    <a:noFill/>
                    <a:ln>
                      <a:noFill/>
                    </a:ln>
                  </pic:spPr>
                </pic:pic>
              </a:graphicData>
            </a:graphic>
          </wp:inline>
        </w:drawing>
      </w:r>
    </w:p>
    <w:p w:rsidR="0041039A" w:rsidRPr="0041039A" w:rsidRDefault="0041039A" w:rsidP="00365C54">
      <w:pPr>
        <w:widowControl/>
        <w:spacing w:line="360" w:lineRule="auto"/>
        <w:contextualSpacing/>
        <w:jc w:val="both"/>
        <w:rPr>
          <w:rFonts w:ascii="Arial" w:hAnsi="Arial"/>
          <w:snapToGrid/>
          <w:sz w:val="22"/>
          <w:szCs w:val="22"/>
        </w:rPr>
      </w:pPr>
    </w:p>
    <w:p w:rsidR="0041039A" w:rsidRPr="0041039A" w:rsidRDefault="0041039A" w:rsidP="00365C54">
      <w:pPr>
        <w:widowControl/>
        <w:numPr>
          <w:ilvl w:val="0"/>
          <w:numId w:val="66"/>
        </w:numPr>
        <w:spacing w:line="360" w:lineRule="auto"/>
        <w:contextualSpacing/>
        <w:jc w:val="both"/>
        <w:rPr>
          <w:rFonts w:ascii="Arial" w:hAnsi="Arial"/>
          <w:snapToGrid/>
          <w:sz w:val="22"/>
          <w:szCs w:val="22"/>
        </w:rPr>
      </w:pPr>
      <w:r w:rsidRPr="0041039A">
        <w:rPr>
          <w:rFonts w:ascii="Arial" w:hAnsi="Arial"/>
          <w:snapToGrid/>
          <w:sz w:val="22"/>
          <w:szCs w:val="22"/>
        </w:rPr>
        <w:t>All Sunrise labels have the correct container information printed on them which relates to the tests requested/collected. The tests were routine blood chemistry tests that should have been put in a yellow (gold) topped tube.</w:t>
      </w:r>
    </w:p>
    <w:p w:rsidR="0041039A" w:rsidRDefault="00AF465B" w:rsidP="00365C54">
      <w:pPr>
        <w:widowControl/>
        <w:spacing w:line="360" w:lineRule="auto"/>
        <w:contextualSpacing/>
        <w:jc w:val="both"/>
        <w:rPr>
          <w:rFonts w:ascii="Arial" w:hAnsi="Arial"/>
          <w:snapToGrid/>
          <w:sz w:val="22"/>
          <w:szCs w:val="22"/>
        </w:rPr>
      </w:pPr>
      <w:r w:rsidRPr="0041039A">
        <w:rPr>
          <w:noProof/>
          <w:lang w:eastAsia="en-GB"/>
        </w:rPr>
        <w:drawing>
          <wp:inline distT="0" distB="0" distL="0" distR="0">
            <wp:extent cx="1727835" cy="575945"/>
            <wp:effectExtent l="0" t="0" r="5715" b="0"/>
            <wp:docPr id="71" name="Picture 10" descr="Image shows sample tube with correctly applied label" title="Sample tu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0" cstate="print">
                      <a:extLst>
                        <a:ext uri="{28A0092B-C50C-407E-A947-70E740481C1C}">
                          <a14:useLocalDpi xmlns:a14="http://schemas.microsoft.com/office/drawing/2010/main" val="0"/>
                        </a:ext>
                      </a:extLst>
                    </a:blip>
                    <a:srcRect t="-2" b="7436"/>
                    <a:stretch>
                      <a:fillRect/>
                    </a:stretch>
                  </pic:blipFill>
                  <pic:spPr bwMode="auto">
                    <a:xfrm>
                      <a:off x="0" y="0"/>
                      <a:ext cx="1727835" cy="575945"/>
                    </a:xfrm>
                    <a:prstGeom prst="rect">
                      <a:avLst/>
                    </a:prstGeom>
                    <a:noFill/>
                    <a:ln>
                      <a:noFill/>
                    </a:ln>
                  </pic:spPr>
                </pic:pic>
              </a:graphicData>
            </a:graphic>
          </wp:inline>
        </w:drawing>
      </w:r>
    </w:p>
    <w:p w:rsidR="000A6177" w:rsidRPr="0041039A" w:rsidRDefault="000A6177" w:rsidP="00365C54">
      <w:pPr>
        <w:widowControl/>
        <w:spacing w:line="360" w:lineRule="auto"/>
        <w:contextualSpacing/>
        <w:jc w:val="both"/>
        <w:rPr>
          <w:rFonts w:ascii="Arial" w:hAnsi="Arial"/>
          <w:snapToGrid/>
          <w:sz w:val="22"/>
          <w:szCs w:val="22"/>
        </w:rPr>
      </w:pPr>
    </w:p>
    <w:p w:rsidR="0041039A" w:rsidRPr="0041039A" w:rsidRDefault="0041039A" w:rsidP="00365C54">
      <w:pPr>
        <w:widowControl/>
        <w:numPr>
          <w:ilvl w:val="0"/>
          <w:numId w:val="66"/>
        </w:numPr>
        <w:spacing w:line="360" w:lineRule="auto"/>
        <w:contextualSpacing/>
        <w:jc w:val="both"/>
        <w:rPr>
          <w:rFonts w:ascii="Arial" w:hAnsi="Arial"/>
          <w:snapToGrid/>
          <w:sz w:val="22"/>
          <w:szCs w:val="22"/>
        </w:rPr>
      </w:pPr>
      <w:r w:rsidRPr="0041039A">
        <w:rPr>
          <w:rFonts w:ascii="Arial" w:hAnsi="Arial"/>
          <w:snapToGrid/>
          <w:sz w:val="22"/>
          <w:szCs w:val="22"/>
        </w:rPr>
        <w:t>All Sunrise labels have the correct container information printed on them which relates to the tests requested/collected. The above tests were CSF tests that should have been put into a plain bottle and not grey topped.</w:t>
      </w:r>
    </w:p>
    <w:p w:rsidR="0041039A" w:rsidRPr="0041039A" w:rsidRDefault="00AF465B" w:rsidP="00365C54">
      <w:pPr>
        <w:widowControl/>
        <w:spacing w:line="360" w:lineRule="auto"/>
        <w:contextualSpacing/>
        <w:jc w:val="both"/>
        <w:rPr>
          <w:rFonts w:ascii="Arial" w:hAnsi="Arial"/>
          <w:snapToGrid/>
          <w:sz w:val="20"/>
        </w:rPr>
      </w:pPr>
      <w:r w:rsidRPr="0041039A">
        <w:rPr>
          <w:noProof/>
          <w:lang w:eastAsia="en-GB"/>
        </w:rPr>
        <w:drawing>
          <wp:inline distT="0" distB="0" distL="0" distR="0">
            <wp:extent cx="1727835" cy="575945"/>
            <wp:effectExtent l="0" t="0" r="5715" b="0"/>
            <wp:docPr id="73" name="Picture 12" descr="Image shows a sample tube where the label has been applied to the wrong tube type." title="Sampl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7835" cy="575945"/>
                    </a:xfrm>
                    <a:prstGeom prst="rect">
                      <a:avLst/>
                    </a:prstGeom>
                    <a:noFill/>
                    <a:ln>
                      <a:noFill/>
                    </a:ln>
                  </pic:spPr>
                </pic:pic>
              </a:graphicData>
            </a:graphic>
          </wp:inline>
        </w:drawing>
      </w:r>
    </w:p>
    <w:p w:rsidR="0041039A" w:rsidRPr="0041039A" w:rsidRDefault="0041039A" w:rsidP="00365C54">
      <w:pPr>
        <w:widowControl/>
        <w:spacing w:line="360" w:lineRule="auto"/>
        <w:contextualSpacing/>
        <w:jc w:val="both"/>
        <w:rPr>
          <w:rFonts w:ascii="Arial" w:hAnsi="Arial"/>
          <w:snapToGrid/>
          <w:sz w:val="22"/>
          <w:szCs w:val="22"/>
        </w:rPr>
      </w:pPr>
    </w:p>
    <w:p w:rsidR="0041039A" w:rsidRPr="00CC0E6C" w:rsidRDefault="0041039A" w:rsidP="00CC0E6C">
      <w:pPr>
        <w:widowControl/>
        <w:numPr>
          <w:ilvl w:val="0"/>
          <w:numId w:val="66"/>
        </w:numPr>
        <w:spacing w:line="360" w:lineRule="auto"/>
        <w:contextualSpacing/>
        <w:jc w:val="both"/>
        <w:rPr>
          <w:rFonts w:ascii="Arial" w:hAnsi="Arial"/>
          <w:snapToGrid/>
          <w:sz w:val="22"/>
          <w:szCs w:val="22"/>
        </w:rPr>
      </w:pPr>
      <w:r w:rsidRPr="0041039A">
        <w:rPr>
          <w:rFonts w:ascii="Arial" w:hAnsi="Arial"/>
          <w:snapToGrid/>
          <w:sz w:val="22"/>
          <w:szCs w:val="22"/>
        </w:rPr>
        <w:t>All labels will fit onto adult blood tubes so there is no need to let them wrap over the bottom of the sample container.</w:t>
      </w:r>
      <w:r w:rsidRPr="0041039A">
        <w:rPr>
          <w:noProof/>
          <w:lang w:eastAsia="en-GB"/>
        </w:rPr>
        <w:t xml:space="preserve"> </w:t>
      </w:r>
    </w:p>
    <w:p w:rsidR="00CC0E6C" w:rsidRDefault="0041039A" w:rsidP="00365C54">
      <w:pPr>
        <w:widowControl/>
        <w:numPr>
          <w:ilvl w:val="0"/>
          <w:numId w:val="66"/>
        </w:numPr>
        <w:spacing w:line="360" w:lineRule="auto"/>
        <w:contextualSpacing/>
        <w:jc w:val="both"/>
        <w:rPr>
          <w:rFonts w:ascii="Arial" w:hAnsi="Arial"/>
          <w:snapToGrid/>
          <w:sz w:val="22"/>
          <w:szCs w:val="22"/>
        </w:rPr>
      </w:pPr>
      <w:r w:rsidRPr="0041039A">
        <w:rPr>
          <w:rFonts w:ascii="Arial" w:hAnsi="Arial"/>
          <w:snapToGrid/>
          <w:sz w:val="22"/>
          <w:szCs w:val="22"/>
        </w:rPr>
        <w:t xml:space="preserve">This is an example of why we are asking for request forms for paediatric samples – our labels are too large for paediatric sample containers. If you require more than 1 tube for tests then either Sunrise will print the correct number of labels or you should reprint labels but please ensure that you reprint the correct </w:t>
      </w:r>
      <w:r w:rsidR="00CC0E6C">
        <w:rPr>
          <w:rFonts w:ascii="Arial" w:hAnsi="Arial"/>
          <w:snapToGrid/>
          <w:sz w:val="22"/>
          <w:szCs w:val="22"/>
        </w:rPr>
        <w:t>labels.</w:t>
      </w:r>
    </w:p>
    <w:p w:rsidR="0041039A" w:rsidRPr="00E61534" w:rsidRDefault="00AF465B" w:rsidP="00E61534">
      <w:pPr>
        <w:widowControl/>
        <w:spacing w:line="360" w:lineRule="auto"/>
        <w:ind w:left="720"/>
        <w:contextualSpacing/>
        <w:jc w:val="both"/>
        <w:rPr>
          <w:rFonts w:ascii="Arial" w:hAnsi="Arial"/>
          <w:snapToGrid/>
          <w:sz w:val="22"/>
          <w:szCs w:val="22"/>
        </w:rPr>
      </w:pPr>
      <w:r w:rsidRPr="0041039A">
        <w:rPr>
          <w:noProof/>
          <w:lang w:eastAsia="en-GB"/>
        </w:rPr>
        <w:drawing>
          <wp:inline distT="0" distB="0" distL="0" distR="0">
            <wp:extent cx="1727200" cy="911860"/>
            <wp:effectExtent l="0" t="0" r="6350" b="2540"/>
            <wp:docPr id="72" name="Picture 16" descr="Image shows 3 paediatric tubes that have a single sticker placed over them. " title="Peadiatric sampl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7200" cy="911860"/>
                    </a:xfrm>
                    <a:prstGeom prst="rect">
                      <a:avLst/>
                    </a:prstGeom>
                    <a:noFill/>
                    <a:ln>
                      <a:noFill/>
                    </a:ln>
                  </pic:spPr>
                </pic:pic>
              </a:graphicData>
            </a:graphic>
          </wp:inline>
        </w:drawing>
      </w:r>
      <w:r w:rsidR="00CC0E6C">
        <w:rPr>
          <w:rFonts w:ascii="Arial" w:hAnsi="Arial"/>
          <w:snapToGrid/>
          <w:sz w:val="22"/>
          <w:szCs w:val="22"/>
        </w:rPr>
        <w:t xml:space="preserve"> </w:t>
      </w:r>
      <w:r w:rsidR="0041039A" w:rsidRPr="0041039A">
        <w:rPr>
          <w:rFonts w:ascii="Arial" w:hAnsi="Arial"/>
          <w:snapToGrid/>
          <w:sz w:val="22"/>
          <w:szCs w:val="22"/>
        </w:rPr>
        <w:br/>
      </w:r>
      <w:r w:rsidR="0041039A" w:rsidRPr="0041039A">
        <w:rPr>
          <w:rFonts w:ascii="Arial" w:hAnsi="Arial"/>
          <w:snapToGrid/>
          <w:sz w:val="22"/>
          <w:szCs w:val="22"/>
        </w:rPr>
        <w:br/>
      </w:r>
    </w:p>
    <w:p w:rsidR="0041039A" w:rsidRPr="0041039A" w:rsidRDefault="0041039A" w:rsidP="00365C54">
      <w:pPr>
        <w:widowControl/>
        <w:spacing w:line="360" w:lineRule="auto"/>
        <w:contextualSpacing/>
        <w:jc w:val="both"/>
        <w:rPr>
          <w:rFonts w:ascii="Arial Bold" w:hAnsi="Arial Bold"/>
          <w:b/>
          <w:caps/>
          <w:snapToGrid/>
          <w:sz w:val="20"/>
        </w:rPr>
      </w:pPr>
      <w:r w:rsidRPr="0041039A">
        <w:rPr>
          <w:rFonts w:ascii="Arial Bold" w:hAnsi="Arial Bold"/>
          <w:b/>
          <w:caps/>
          <w:snapToGrid/>
          <w:sz w:val="22"/>
        </w:rPr>
        <w:t>NOTE: The barcode must be clear and in sharp definition. If the label is smudged, please clean the printer with an alcohol wipe and reprint the label</w:t>
      </w:r>
      <w:r w:rsidRPr="0041039A">
        <w:rPr>
          <w:rFonts w:ascii="Arial Bold" w:hAnsi="Arial Bold"/>
          <w:b/>
          <w:caps/>
          <w:snapToGrid/>
          <w:sz w:val="22"/>
          <w:lang w:eastAsia="en-GB"/>
        </w:rPr>
        <w:t xml:space="preserve">. </w:t>
      </w:r>
    </w:p>
    <w:p w:rsidR="00994950" w:rsidRDefault="00994950" w:rsidP="00365C54">
      <w:pPr>
        <w:widowControl/>
        <w:spacing w:line="360" w:lineRule="auto"/>
        <w:contextualSpacing/>
        <w:jc w:val="both"/>
        <w:rPr>
          <w:rFonts w:ascii="Arial" w:hAnsi="Arial"/>
          <w:snapToGrid/>
          <w:sz w:val="22"/>
        </w:rPr>
      </w:pPr>
    </w:p>
    <w:p w:rsidR="0041039A" w:rsidRPr="0041039A" w:rsidRDefault="00994950" w:rsidP="00365C54">
      <w:pPr>
        <w:widowControl/>
        <w:spacing w:line="360" w:lineRule="auto"/>
        <w:contextualSpacing/>
        <w:jc w:val="both"/>
        <w:rPr>
          <w:rFonts w:ascii="Arial" w:hAnsi="Arial" w:cs="Arial"/>
          <w:snapToGrid/>
          <w:sz w:val="22"/>
          <w:szCs w:val="22"/>
        </w:rPr>
      </w:pPr>
      <w:r>
        <w:rPr>
          <w:rFonts w:ascii="Arial" w:hAnsi="Arial"/>
          <w:snapToGrid/>
          <w:sz w:val="22"/>
        </w:rPr>
        <w:t xml:space="preserve">Please note, </w:t>
      </w:r>
      <w:r>
        <w:rPr>
          <w:rFonts w:ascii="Arial" w:hAnsi="Arial" w:cs="Arial"/>
          <w:snapToGrid/>
          <w:sz w:val="22"/>
          <w:szCs w:val="22"/>
        </w:rPr>
        <w:t>t</w:t>
      </w:r>
      <w:r w:rsidR="0041039A" w:rsidRPr="0041039A">
        <w:rPr>
          <w:rFonts w:ascii="Arial" w:hAnsi="Arial" w:cs="Arial"/>
          <w:snapToGrid/>
          <w:sz w:val="22"/>
          <w:szCs w:val="22"/>
        </w:rPr>
        <w:t xml:space="preserve">he sample collection process in Sunrise </w:t>
      </w:r>
      <w:r w:rsidR="0041039A" w:rsidRPr="0041039A">
        <w:rPr>
          <w:rFonts w:ascii="Arial" w:hAnsi="Arial" w:cs="Arial"/>
          <w:b/>
          <w:snapToGrid/>
          <w:sz w:val="22"/>
          <w:szCs w:val="22"/>
          <w:u w:val="single"/>
        </w:rPr>
        <w:t>must not</w:t>
      </w:r>
      <w:r w:rsidR="0041039A" w:rsidRPr="0041039A">
        <w:rPr>
          <w:rFonts w:ascii="Arial" w:hAnsi="Arial" w:cs="Arial"/>
          <w:snapToGrid/>
          <w:sz w:val="22"/>
          <w:szCs w:val="22"/>
        </w:rPr>
        <w:t xml:space="preserve"> be used for: </w:t>
      </w:r>
    </w:p>
    <w:p w:rsidR="0041039A" w:rsidRPr="00994950" w:rsidRDefault="00994950" w:rsidP="00994950">
      <w:pPr>
        <w:widowControl/>
        <w:numPr>
          <w:ilvl w:val="0"/>
          <w:numId w:val="65"/>
        </w:numPr>
        <w:spacing w:line="360" w:lineRule="auto"/>
        <w:contextualSpacing/>
        <w:jc w:val="both"/>
        <w:rPr>
          <w:rFonts w:ascii="Arial" w:hAnsi="Arial" w:cs="Arial"/>
          <w:snapToGrid/>
          <w:sz w:val="22"/>
          <w:szCs w:val="22"/>
        </w:rPr>
      </w:pPr>
      <w:r w:rsidRPr="00994950">
        <w:rPr>
          <w:rFonts w:ascii="Arial" w:hAnsi="Arial" w:cs="Arial"/>
          <w:snapToGrid/>
          <w:sz w:val="22"/>
          <w:szCs w:val="22"/>
        </w:rPr>
        <w:t xml:space="preserve">Any paediatric requests, when samples are collected into a paediatric tube. The labels on these tubes </w:t>
      </w:r>
      <w:r>
        <w:rPr>
          <w:rFonts w:ascii="Arial" w:hAnsi="Arial" w:cs="Arial"/>
          <w:snapToGrid/>
          <w:sz w:val="22"/>
          <w:szCs w:val="22"/>
        </w:rPr>
        <w:t>must</w:t>
      </w:r>
      <w:r w:rsidRPr="00994950">
        <w:rPr>
          <w:rFonts w:ascii="Arial" w:hAnsi="Arial" w:cs="Arial"/>
          <w:snapToGrid/>
          <w:sz w:val="22"/>
          <w:szCs w:val="22"/>
        </w:rPr>
        <w:t xml:space="preserve"> be handwritten, and sent to the laboratory with the accompanying form that prints out from sunrise. If a sample comes down to the laboratory with a label attached then the laboratory will do everything they can to process the sample, but the sample</w:t>
      </w:r>
      <w:r w:rsidR="00C8797C">
        <w:rPr>
          <w:rFonts w:ascii="Arial" w:hAnsi="Arial" w:cs="Arial"/>
          <w:snapToGrid/>
          <w:sz w:val="22"/>
          <w:szCs w:val="22"/>
        </w:rPr>
        <w:t xml:space="preserve"> labelling</w:t>
      </w:r>
      <w:r w:rsidRPr="00994950">
        <w:rPr>
          <w:rFonts w:ascii="Arial" w:hAnsi="Arial" w:cs="Arial"/>
          <w:snapToGrid/>
          <w:sz w:val="22"/>
          <w:szCs w:val="22"/>
        </w:rPr>
        <w:t xml:space="preserve"> </w:t>
      </w:r>
      <w:r w:rsidRPr="00994950">
        <w:rPr>
          <w:rFonts w:ascii="Arial" w:hAnsi="Arial" w:cs="Arial"/>
          <w:b/>
          <w:snapToGrid/>
          <w:sz w:val="22"/>
          <w:szCs w:val="22"/>
        </w:rPr>
        <w:t>MUST</w:t>
      </w:r>
      <w:r w:rsidRPr="00994950">
        <w:rPr>
          <w:rFonts w:ascii="Arial" w:hAnsi="Arial" w:cs="Arial"/>
          <w:snapToGrid/>
          <w:sz w:val="22"/>
          <w:szCs w:val="22"/>
        </w:rPr>
        <w:t xml:space="preserve"> satisfy the Pathology sample and request form acceptance policy (see policy centre)</w:t>
      </w:r>
      <w:r>
        <w:rPr>
          <w:rFonts w:ascii="Arial" w:hAnsi="Arial" w:cs="Arial"/>
          <w:snapToGrid/>
          <w:sz w:val="22"/>
          <w:szCs w:val="22"/>
        </w:rPr>
        <w:t>.</w:t>
      </w:r>
    </w:p>
    <w:p w:rsidR="0041039A" w:rsidRDefault="0041039A" w:rsidP="00365C54">
      <w:pPr>
        <w:widowControl/>
        <w:numPr>
          <w:ilvl w:val="0"/>
          <w:numId w:val="65"/>
        </w:numPr>
        <w:spacing w:line="360" w:lineRule="auto"/>
        <w:contextualSpacing/>
        <w:jc w:val="both"/>
        <w:rPr>
          <w:rFonts w:ascii="Arial" w:hAnsi="Arial" w:cs="Arial"/>
          <w:snapToGrid/>
          <w:sz w:val="22"/>
          <w:szCs w:val="22"/>
        </w:rPr>
      </w:pPr>
      <w:r w:rsidRPr="0041039A">
        <w:rPr>
          <w:rFonts w:ascii="Arial" w:hAnsi="Arial" w:cs="Arial"/>
          <w:snapToGrid/>
          <w:sz w:val="22"/>
          <w:szCs w:val="22"/>
        </w:rPr>
        <w:t xml:space="preserve">Outpatient clinics; </w:t>
      </w:r>
      <w:r w:rsidRPr="0041039A">
        <w:rPr>
          <w:rFonts w:ascii="Arial" w:hAnsi="Arial" w:cs="Arial"/>
          <w:i/>
          <w:snapToGrid/>
          <w:sz w:val="22"/>
          <w:szCs w:val="22"/>
        </w:rPr>
        <w:t>if</w:t>
      </w:r>
      <w:r w:rsidRPr="0041039A">
        <w:rPr>
          <w:rFonts w:ascii="Arial" w:hAnsi="Arial" w:cs="Arial"/>
          <w:snapToGrid/>
          <w:sz w:val="22"/>
          <w:szCs w:val="22"/>
        </w:rPr>
        <w:t xml:space="preserve"> the patient is leaving to have sample collected at a later date/different location.</w:t>
      </w:r>
    </w:p>
    <w:p w:rsidR="00994950" w:rsidRPr="0041039A" w:rsidRDefault="00994950" w:rsidP="00994950">
      <w:pPr>
        <w:widowControl/>
        <w:spacing w:line="360" w:lineRule="auto"/>
        <w:ind w:left="720"/>
        <w:contextualSpacing/>
        <w:jc w:val="both"/>
        <w:rPr>
          <w:rFonts w:ascii="Arial" w:hAnsi="Arial" w:cs="Arial"/>
          <w:snapToGrid/>
          <w:sz w:val="22"/>
          <w:szCs w:val="22"/>
        </w:rPr>
      </w:pPr>
    </w:p>
    <w:p w:rsidR="0041039A" w:rsidRPr="0041039A" w:rsidRDefault="0041039A" w:rsidP="00365C54">
      <w:pPr>
        <w:widowControl/>
        <w:spacing w:line="360" w:lineRule="auto"/>
        <w:contextualSpacing/>
        <w:jc w:val="both"/>
        <w:rPr>
          <w:rFonts w:ascii="Arial" w:hAnsi="Arial"/>
          <w:snapToGrid/>
          <w:sz w:val="22"/>
          <w:szCs w:val="22"/>
        </w:rPr>
      </w:pPr>
      <w:r w:rsidRPr="0041039A">
        <w:rPr>
          <w:rFonts w:ascii="Arial" w:hAnsi="Arial"/>
          <w:snapToGrid/>
          <w:sz w:val="22"/>
          <w:szCs w:val="22"/>
        </w:rPr>
        <w:t>In the above scenarios we require a request form to be printed at the time of request and the pre-existing label on the container to be filled in by hand and sent to the laboratory together.</w:t>
      </w:r>
    </w:p>
    <w:p w:rsidR="0041039A" w:rsidRPr="0041039A" w:rsidRDefault="0041039A" w:rsidP="00365C54">
      <w:pPr>
        <w:widowControl/>
        <w:spacing w:line="360" w:lineRule="auto"/>
        <w:contextualSpacing/>
        <w:jc w:val="both"/>
        <w:rPr>
          <w:rFonts w:ascii="Arial" w:hAnsi="Arial"/>
          <w:snapToGrid/>
          <w:sz w:val="22"/>
          <w:szCs w:val="24"/>
        </w:rPr>
      </w:pPr>
    </w:p>
    <w:p w:rsidR="0041039A" w:rsidRPr="0041039A" w:rsidRDefault="0041039A" w:rsidP="00365C54">
      <w:pPr>
        <w:autoSpaceDE w:val="0"/>
        <w:autoSpaceDN w:val="0"/>
        <w:adjustRightInd w:val="0"/>
        <w:spacing w:line="360" w:lineRule="auto"/>
        <w:contextualSpacing/>
        <w:jc w:val="both"/>
        <w:rPr>
          <w:rFonts w:ascii="Arial" w:hAnsi="Arial"/>
          <w:snapToGrid/>
          <w:sz w:val="22"/>
          <w:szCs w:val="24"/>
        </w:rPr>
      </w:pPr>
      <w:r w:rsidRPr="0041039A">
        <w:rPr>
          <w:rFonts w:ascii="Arial" w:hAnsi="Arial"/>
          <w:snapToGrid/>
          <w:sz w:val="22"/>
          <w:szCs w:val="24"/>
        </w:rPr>
        <w:t xml:space="preserve">Any handwritten samples and manually completed (paper) request forms must be clearly labelled in accordance with the </w:t>
      </w:r>
      <w:r w:rsidR="00C8797C" w:rsidRPr="00994950">
        <w:rPr>
          <w:rFonts w:ascii="Arial" w:hAnsi="Arial" w:cs="Arial"/>
          <w:snapToGrid/>
          <w:sz w:val="22"/>
          <w:szCs w:val="22"/>
        </w:rPr>
        <w:t>Pathology sample and request form acceptance</w:t>
      </w:r>
      <w:r w:rsidR="00C8797C">
        <w:rPr>
          <w:rFonts w:ascii="Arial" w:hAnsi="Arial" w:cs="Arial"/>
          <w:snapToGrid/>
          <w:sz w:val="22"/>
          <w:szCs w:val="22"/>
        </w:rPr>
        <w:t xml:space="preserve"> policy</w:t>
      </w:r>
      <w:r w:rsidRPr="0041039A">
        <w:rPr>
          <w:rFonts w:ascii="Arial" w:hAnsi="Arial"/>
          <w:snapToGrid/>
          <w:sz w:val="22"/>
          <w:szCs w:val="24"/>
        </w:rPr>
        <w:t xml:space="preserve">. Label specimens clearly with a minimum of surname, forename, NHS/hospital number and date of birth. Requests for biochemistry tests must include the following information: </w:t>
      </w:r>
    </w:p>
    <w:p w:rsidR="0041039A" w:rsidRPr="0041039A" w:rsidRDefault="0041039A" w:rsidP="00365C54">
      <w:pPr>
        <w:numPr>
          <w:ilvl w:val="0"/>
          <w:numId w:val="2"/>
        </w:numPr>
        <w:autoSpaceDE w:val="0"/>
        <w:autoSpaceDN w:val="0"/>
        <w:adjustRightInd w:val="0"/>
        <w:spacing w:line="360" w:lineRule="auto"/>
        <w:contextualSpacing/>
        <w:jc w:val="both"/>
        <w:rPr>
          <w:rFonts w:ascii="Arial" w:hAnsi="Arial"/>
          <w:snapToGrid/>
          <w:sz w:val="22"/>
          <w:szCs w:val="24"/>
        </w:rPr>
      </w:pPr>
      <w:r w:rsidRPr="0041039A">
        <w:rPr>
          <w:rFonts w:ascii="Arial" w:hAnsi="Arial"/>
          <w:snapToGrid/>
          <w:sz w:val="22"/>
          <w:szCs w:val="24"/>
        </w:rPr>
        <w:t>patient demographic details</w:t>
      </w:r>
    </w:p>
    <w:p w:rsidR="0041039A" w:rsidRPr="0041039A" w:rsidRDefault="0041039A" w:rsidP="00365C54">
      <w:pPr>
        <w:numPr>
          <w:ilvl w:val="0"/>
          <w:numId w:val="2"/>
        </w:numPr>
        <w:autoSpaceDE w:val="0"/>
        <w:autoSpaceDN w:val="0"/>
        <w:adjustRightInd w:val="0"/>
        <w:spacing w:line="360" w:lineRule="auto"/>
        <w:contextualSpacing/>
        <w:jc w:val="both"/>
        <w:rPr>
          <w:rFonts w:ascii="Arial" w:hAnsi="Arial"/>
          <w:snapToGrid/>
          <w:sz w:val="22"/>
          <w:szCs w:val="24"/>
        </w:rPr>
      </w:pPr>
      <w:r w:rsidRPr="0041039A">
        <w:rPr>
          <w:rFonts w:ascii="Arial" w:hAnsi="Arial"/>
          <w:snapToGrid/>
          <w:sz w:val="22"/>
          <w:szCs w:val="24"/>
        </w:rPr>
        <w:t>whether the patient is NHS or private</w:t>
      </w:r>
    </w:p>
    <w:p w:rsidR="0041039A" w:rsidRPr="0041039A" w:rsidRDefault="0041039A" w:rsidP="00365C54">
      <w:pPr>
        <w:numPr>
          <w:ilvl w:val="0"/>
          <w:numId w:val="2"/>
        </w:numPr>
        <w:autoSpaceDE w:val="0"/>
        <w:autoSpaceDN w:val="0"/>
        <w:adjustRightInd w:val="0"/>
        <w:spacing w:line="360" w:lineRule="auto"/>
        <w:contextualSpacing/>
        <w:jc w:val="both"/>
        <w:rPr>
          <w:rFonts w:ascii="Arial" w:hAnsi="Arial"/>
          <w:snapToGrid/>
          <w:sz w:val="22"/>
          <w:szCs w:val="24"/>
        </w:rPr>
      </w:pPr>
      <w:r w:rsidRPr="0041039A">
        <w:rPr>
          <w:rFonts w:ascii="Arial" w:hAnsi="Arial"/>
          <w:snapToGrid/>
          <w:sz w:val="22"/>
          <w:szCs w:val="24"/>
        </w:rPr>
        <w:t>nature of specimen and date of collection</w:t>
      </w:r>
    </w:p>
    <w:p w:rsidR="0041039A" w:rsidRPr="0041039A" w:rsidRDefault="0041039A" w:rsidP="00365C54">
      <w:pPr>
        <w:numPr>
          <w:ilvl w:val="0"/>
          <w:numId w:val="2"/>
        </w:numPr>
        <w:autoSpaceDE w:val="0"/>
        <w:autoSpaceDN w:val="0"/>
        <w:adjustRightInd w:val="0"/>
        <w:spacing w:line="360" w:lineRule="auto"/>
        <w:contextualSpacing/>
        <w:jc w:val="both"/>
        <w:rPr>
          <w:rFonts w:ascii="Arial" w:hAnsi="Arial"/>
          <w:snapToGrid/>
          <w:sz w:val="22"/>
          <w:szCs w:val="24"/>
        </w:rPr>
      </w:pPr>
      <w:r w:rsidRPr="0041039A">
        <w:rPr>
          <w:rFonts w:ascii="Arial" w:hAnsi="Arial"/>
          <w:snapToGrid/>
          <w:sz w:val="22"/>
          <w:szCs w:val="24"/>
        </w:rPr>
        <w:t>the requesting doctor, with bleep number (junior doctors)</w:t>
      </w:r>
    </w:p>
    <w:p w:rsidR="0041039A" w:rsidRPr="0041039A" w:rsidRDefault="0041039A" w:rsidP="00365C54">
      <w:pPr>
        <w:numPr>
          <w:ilvl w:val="0"/>
          <w:numId w:val="2"/>
        </w:numPr>
        <w:autoSpaceDE w:val="0"/>
        <w:autoSpaceDN w:val="0"/>
        <w:adjustRightInd w:val="0"/>
        <w:spacing w:line="360" w:lineRule="auto"/>
        <w:contextualSpacing/>
        <w:jc w:val="both"/>
        <w:rPr>
          <w:rFonts w:ascii="Arial" w:hAnsi="Arial"/>
          <w:snapToGrid/>
          <w:sz w:val="22"/>
          <w:szCs w:val="24"/>
        </w:rPr>
      </w:pPr>
      <w:r w:rsidRPr="0041039A">
        <w:rPr>
          <w:rFonts w:ascii="Arial" w:hAnsi="Arial"/>
          <w:snapToGrid/>
          <w:sz w:val="22"/>
          <w:szCs w:val="24"/>
        </w:rPr>
        <w:t>return destination for the report</w:t>
      </w:r>
    </w:p>
    <w:p w:rsidR="0041039A" w:rsidRPr="0041039A" w:rsidRDefault="0041039A" w:rsidP="00365C54">
      <w:pPr>
        <w:numPr>
          <w:ilvl w:val="0"/>
          <w:numId w:val="2"/>
        </w:numPr>
        <w:autoSpaceDE w:val="0"/>
        <w:autoSpaceDN w:val="0"/>
        <w:adjustRightInd w:val="0"/>
        <w:spacing w:line="360" w:lineRule="auto"/>
        <w:contextualSpacing/>
        <w:jc w:val="both"/>
        <w:rPr>
          <w:rFonts w:ascii="Arial" w:hAnsi="Arial"/>
          <w:snapToGrid/>
          <w:sz w:val="22"/>
          <w:szCs w:val="24"/>
        </w:rPr>
      </w:pPr>
      <w:r w:rsidRPr="0041039A">
        <w:rPr>
          <w:rFonts w:ascii="Arial" w:hAnsi="Arial"/>
          <w:snapToGrid/>
          <w:sz w:val="22"/>
          <w:szCs w:val="24"/>
        </w:rPr>
        <w:t>brief, relevant clinical details (including medication)</w:t>
      </w:r>
    </w:p>
    <w:p w:rsidR="0041039A" w:rsidRPr="0041039A" w:rsidRDefault="0041039A" w:rsidP="00365C54">
      <w:pPr>
        <w:numPr>
          <w:ilvl w:val="0"/>
          <w:numId w:val="1"/>
        </w:numPr>
        <w:autoSpaceDE w:val="0"/>
        <w:autoSpaceDN w:val="0"/>
        <w:adjustRightInd w:val="0"/>
        <w:spacing w:line="360" w:lineRule="auto"/>
        <w:contextualSpacing/>
        <w:jc w:val="both"/>
        <w:rPr>
          <w:rFonts w:ascii="Arial" w:hAnsi="Arial"/>
          <w:snapToGrid/>
          <w:sz w:val="22"/>
          <w:szCs w:val="24"/>
        </w:rPr>
      </w:pPr>
      <w:r w:rsidRPr="0041039A">
        <w:rPr>
          <w:rFonts w:ascii="Arial" w:hAnsi="Arial"/>
          <w:snapToGrid/>
          <w:sz w:val="22"/>
          <w:szCs w:val="24"/>
        </w:rPr>
        <w:t>the analyses you require: if the test you require is not listed in this user guide please contact the laboratory prior to collection of the sample</w:t>
      </w:r>
    </w:p>
    <w:p w:rsidR="0041039A" w:rsidRPr="0041039A" w:rsidRDefault="0041039A" w:rsidP="00365C54">
      <w:pPr>
        <w:autoSpaceDE w:val="0"/>
        <w:autoSpaceDN w:val="0"/>
        <w:adjustRightInd w:val="0"/>
        <w:spacing w:line="360" w:lineRule="auto"/>
        <w:ind w:left="709" w:hanging="709"/>
        <w:contextualSpacing/>
        <w:jc w:val="both"/>
        <w:rPr>
          <w:rFonts w:ascii="Arial" w:hAnsi="Arial"/>
          <w:snapToGrid/>
          <w:sz w:val="22"/>
          <w:szCs w:val="24"/>
        </w:rPr>
      </w:pPr>
    </w:p>
    <w:p w:rsidR="0041039A" w:rsidRPr="0041039A" w:rsidRDefault="0041039A" w:rsidP="00365C54">
      <w:pPr>
        <w:autoSpaceDE w:val="0"/>
        <w:autoSpaceDN w:val="0"/>
        <w:adjustRightInd w:val="0"/>
        <w:spacing w:line="360" w:lineRule="auto"/>
        <w:ind w:left="709" w:hanging="709"/>
        <w:contextualSpacing/>
        <w:jc w:val="both"/>
        <w:rPr>
          <w:rFonts w:ascii="Arial" w:hAnsi="Arial" w:cs="Arial"/>
          <w:snapToGrid/>
          <w:sz w:val="20"/>
          <w:lang w:eastAsia="en-GB"/>
        </w:rPr>
      </w:pPr>
    </w:p>
    <w:p w:rsidR="0041039A" w:rsidRDefault="0041039A" w:rsidP="00365C54">
      <w:pPr>
        <w:autoSpaceDE w:val="0"/>
        <w:autoSpaceDN w:val="0"/>
        <w:adjustRightInd w:val="0"/>
        <w:spacing w:line="360" w:lineRule="auto"/>
        <w:contextualSpacing/>
        <w:jc w:val="both"/>
        <w:rPr>
          <w:rFonts w:ascii="Arial" w:hAnsi="Arial" w:cs="Arial"/>
          <w:b/>
          <w:bCs/>
          <w:snapToGrid/>
          <w:sz w:val="22"/>
          <w:lang w:eastAsia="en-GB"/>
        </w:rPr>
      </w:pPr>
      <w:r w:rsidRPr="0041039A">
        <w:rPr>
          <w:rFonts w:ascii="Arial" w:hAnsi="Arial" w:cs="Arial"/>
          <w:b/>
          <w:bCs/>
          <w:snapToGrid/>
          <w:sz w:val="22"/>
          <w:lang w:eastAsia="en-GB"/>
        </w:rPr>
        <w:t xml:space="preserve">Any samples not meeting current guidelines as shown in the Pathology specimen and request form acceptance policy will </w:t>
      </w:r>
      <w:r w:rsidRPr="0041039A">
        <w:rPr>
          <w:rFonts w:ascii="Arial" w:hAnsi="Arial" w:cs="Arial"/>
          <w:b/>
          <w:bCs/>
          <w:snapToGrid/>
          <w:sz w:val="22"/>
          <w:u w:val="single"/>
          <w:lang w:eastAsia="en-GB"/>
        </w:rPr>
        <w:t>not be</w:t>
      </w:r>
      <w:r w:rsidRPr="0041039A">
        <w:rPr>
          <w:rFonts w:ascii="Arial" w:hAnsi="Arial" w:cs="Arial"/>
          <w:b/>
          <w:bCs/>
          <w:snapToGrid/>
          <w:sz w:val="22"/>
          <w:lang w:eastAsia="en-GB"/>
        </w:rPr>
        <w:t xml:space="preserve"> processed.</w:t>
      </w:r>
    </w:p>
    <w:p w:rsidR="00994950" w:rsidRPr="0041039A" w:rsidRDefault="00994950" w:rsidP="00365C54">
      <w:pPr>
        <w:autoSpaceDE w:val="0"/>
        <w:autoSpaceDN w:val="0"/>
        <w:adjustRightInd w:val="0"/>
        <w:spacing w:line="360" w:lineRule="auto"/>
        <w:contextualSpacing/>
        <w:jc w:val="both"/>
        <w:rPr>
          <w:rFonts w:ascii="Arial" w:hAnsi="Arial" w:cs="Arial"/>
          <w:b/>
          <w:bCs/>
          <w:snapToGrid/>
          <w:sz w:val="22"/>
          <w:lang w:eastAsia="en-GB"/>
        </w:rPr>
      </w:pPr>
    </w:p>
    <w:p w:rsidR="0041039A" w:rsidRDefault="00C73390" w:rsidP="00CC0E6C">
      <w:pPr>
        <w:autoSpaceDE w:val="0"/>
        <w:autoSpaceDN w:val="0"/>
        <w:adjustRightInd w:val="0"/>
        <w:spacing w:line="360" w:lineRule="auto"/>
        <w:contextualSpacing/>
        <w:rPr>
          <w:rFonts w:ascii="Arial" w:hAnsi="Arial" w:cs="Arial"/>
          <w:b/>
          <w:bCs/>
          <w:snapToGrid/>
          <w:sz w:val="22"/>
          <w:lang w:eastAsia="en-GB"/>
        </w:rPr>
      </w:pPr>
      <w:r>
        <w:rPr>
          <w:rFonts w:ascii="Arial" w:hAnsi="Arial" w:cs="Arial"/>
          <w:b/>
          <w:bCs/>
          <w:snapToGrid/>
          <w:sz w:val="22"/>
          <w:lang w:eastAsia="en-GB"/>
        </w:rPr>
        <w:t>ADD ON TESTS</w:t>
      </w:r>
    </w:p>
    <w:p w:rsidR="000A6177" w:rsidRPr="00F62BE6" w:rsidRDefault="000A6177" w:rsidP="000A6177">
      <w:pPr>
        <w:numPr>
          <w:ilvl w:val="0"/>
          <w:numId w:val="68"/>
        </w:num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14" w:hanging="357"/>
        <w:contextualSpacing/>
        <w:jc w:val="both"/>
        <w:rPr>
          <w:rFonts w:ascii="Arial" w:hAnsi="Arial" w:cs="Arial"/>
          <w:sz w:val="22"/>
          <w:szCs w:val="22"/>
        </w:rPr>
      </w:pPr>
      <w:r w:rsidRPr="0041039A">
        <w:rPr>
          <w:rFonts w:ascii="Arial" w:hAnsi="Arial"/>
          <w:sz w:val="22"/>
          <w:szCs w:val="22"/>
        </w:rPr>
        <w:t xml:space="preserve">The laboratory will generally consider requests for additional tests on samples up to 3 days after receipt of </w:t>
      </w:r>
      <w:r w:rsidRPr="00791728">
        <w:rPr>
          <w:rFonts w:ascii="Arial" w:hAnsi="Arial" w:cs="Arial"/>
          <w:sz w:val="22"/>
          <w:szCs w:val="22"/>
        </w:rPr>
        <w:t>the samp</w:t>
      </w:r>
      <w:r w:rsidRPr="00F62BE6">
        <w:rPr>
          <w:rFonts w:ascii="Arial" w:hAnsi="Arial" w:cs="Arial"/>
          <w:sz w:val="22"/>
          <w:szCs w:val="22"/>
        </w:rPr>
        <w:t xml:space="preserve">le in the laboratory. In some cases, samples are stored for longer than this and we will be     happy to undertake additional tests beyond this period. </w:t>
      </w:r>
    </w:p>
    <w:p w:rsidR="000A6177" w:rsidRPr="00F62BE6" w:rsidRDefault="000A6177" w:rsidP="000A6177">
      <w:pPr>
        <w:numPr>
          <w:ilvl w:val="0"/>
          <w:numId w:val="68"/>
        </w:num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14" w:hanging="357"/>
        <w:contextualSpacing/>
        <w:jc w:val="both"/>
        <w:rPr>
          <w:rFonts w:ascii="Arial" w:hAnsi="Arial" w:cs="Arial"/>
          <w:sz w:val="22"/>
          <w:szCs w:val="22"/>
        </w:rPr>
      </w:pPr>
      <w:r w:rsidRPr="00F62BE6">
        <w:rPr>
          <w:rFonts w:ascii="Arial" w:hAnsi="Arial" w:cs="Arial"/>
          <w:sz w:val="22"/>
          <w:szCs w:val="22"/>
        </w:rPr>
        <w:t xml:space="preserve">There are analytes for which the sample integrity cannot be guaranteed after laboratory storage of   </w:t>
      </w:r>
      <w:r w:rsidRPr="00791728">
        <w:rPr>
          <w:rFonts w:ascii="Arial" w:hAnsi="Arial" w:cs="Arial"/>
          <w:sz w:val="22"/>
          <w:szCs w:val="22"/>
        </w:rPr>
        <w:t>va</w:t>
      </w:r>
      <w:r w:rsidRPr="00F62BE6">
        <w:rPr>
          <w:rFonts w:ascii="Arial" w:hAnsi="Arial" w:cs="Arial"/>
          <w:sz w:val="22"/>
          <w:szCs w:val="22"/>
        </w:rPr>
        <w:t xml:space="preserve">rying times and in these situations, we will decline to undertake further investigations. </w:t>
      </w:r>
    </w:p>
    <w:p w:rsidR="000A6177" w:rsidRPr="00D74D0C" w:rsidRDefault="000A6177" w:rsidP="000A6177">
      <w:pPr>
        <w:numPr>
          <w:ilvl w:val="0"/>
          <w:numId w:val="68"/>
        </w:num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14" w:hanging="357"/>
        <w:contextualSpacing/>
        <w:jc w:val="both"/>
        <w:rPr>
          <w:rFonts w:ascii="Arial" w:hAnsi="Arial" w:cs="Arial"/>
          <w:sz w:val="22"/>
          <w:szCs w:val="22"/>
        </w:rPr>
      </w:pPr>
      <w:r w:rsidRPr="00F62BE6">
        <w:rPr>
          <w:rFonts w:ascii="Arial" w:hAnsi="Arial" w:cs="Arial"/>
          <w:sz w:val="22"/>
          <w:szCs w:val="22"/>
        </w:rPr>
        <w:t xml:space="preserve">If additional requests are required once the request has been placed and the samples sent to the   laboratory, please request additional tests via Sunrise (secondary care) and send the relevant request form to the laboratory clearly stating that the sample is in the laboratory. </w:t>
      </w:r>
      <w:r w:rsidRPr="00D74D0C">
        <w:rPr>
          <w:rFonts w:ascii="Arial" w:hAnsi="Arial" w:cs="Arial"/>
          <w:sz w:val="22"/>
          <w:szCs w:val="22"/>
        </w:rPr>
        <w:t xml:space="preserve">Please refer to </w:t>
      </w:r>
      <w:r w:rsidRPr="00D74D0C">
        <w:rPr>
          <w:rFonts w:ascii="Arial" w:hAnsi="Arial" w:cs="Arial"/>
          <w:b/>
          <w:sz w:val="22"/>
          <w:szCs w:val="22"/>
        </w:rPr>
        <w:t>DIR-LP-Q113</w:t>
      </w:r>
      <w:r>
        <w:rPr>
          <w:rFonts w:ascii="Arial" w:hAnsi="Arial" w:cs="Arial"/>
          <w:b/>
          <w:sz w:val="22"/>
          <w:szCs w:val="22"/>
        </w:rPr>
        <w:t>: “</w:t>
      </w:r>
      <w:r w:rsidRPr="00D74D0C">
        <w:rPr>
          <w:rFonts w:ascii="Arial" w:hAnsi="Arial" w:cs="Arial"/>
          <w:sz w:val="22"/>
          <w:szCs w:val="22"/>
        </w:rPr>
        <w:t>Pathology sample and request form acceptance policy</w:t>
      </w:r>
      <w:r>
        <w:rPr>
          <w:rFonts w:ascii="Arial" w:hAnsi="Arial" w:cs="Arial"/>
          <w:sz w:val="22"/>
          <w:szCs w:val="22"/>
        </w:rPr>
        <w:t xml:space="preserve">” for guidance on how to request add-on in Sunrise. </w:t>
      </w:r>
    </w:p>
    <w:p w:rsidR="00ED16BB" w:rsidRDefault="000A6177" w:rsidP="00ED16BB">
      <w:pPr>
        <w:numPr>
          <w:ilvl w:val="0"/>
          <w:numId w:val="68"/>
        </w:num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14" w:hanging="357"/>
        <w:contextualSpacing/>
        <w:jc w:val="both"/>
        <w:rPr>
          <w:rFonts w:ascii="Arial" w:hAnsi="Arial" w:cs="Arial"/>
          <w:sz w:val="22"/>
          <w:szCs w:val="22"/>
        </w:rPr>
      </w:pPr>
      <w:r w:rsidRPr="00F62BE6">
        <w:rPr>
          <w:rFonts w:ascii="Arial" w:hAnsi="Arial" w:cs="Arial"/>
          <w:sz w:val="22"/>
          <w:szCs w:val="22"/>
        </w:rPr>
        <w:t xml:space="preserve">Samples for </w:t>
      </w:r>
      <w:r w:rsidR="004A7E25">
        <w:rPr>
          <w:rFonts w:ascii="Arial" w:hAnsi="Arial" w:cs="Arial"/>
          <w:sz w:val="22"/>
          <w:szCs w:val="22"/>
        </w:rPr>
        <w:t>Immunoglobulin E (</w:t>
      </w:r>
      <w:r w:rsidRPr="00F62BE6">
        <w:rPr>
          <w:rFonts w:ascii="Arial" w:hAnsi="Arial" w:cs="Arial"/>
          <w:sz w:val="22"/>
          <w:szCs w:val="22"/>
        </w:rPr>
        <w:t>IgE</w:t>
      </w:r>
      <w:r w:rsidR="004A7E25">
        <w:rPr>
          <w:rFonts w:ascii="Arial" w:hAnsi="Arial" w:cs="Arial"/>
          <w:sz w:val="22"/>
          <w:szCs w:val="22"/>
        </w:rPr>
        <w:t>)</w:t>
      </w:r>
      <w:r w:rsidRPr="00F62BE6">
        <w:rPr>
          <w:rFonts w:ascii="Arial" w:hAnsi="Arial" w:cs="Arial"/>
          <w:sz w:val="22"/>
          <w:szCs w:val="22"/>
        </w:rPr>
        <w:t xml:space="preserve"> are stored up</w:t>
      </w:r>
      <w:r w:rsidR="004A7E25">
        <w:rPr>
          <w:rFonts w:ascii="Arial" w:hAnsi="Arial" w:cs="Arial"/>
          <w:sz w:val="22"/>
          <w:szCs w:val="22"/>
        </w:rPr>
        <w:t xml:space="preserve"> </w:t>
      </w:r>
      <w:r w:rsidRPr="00F62BE6">
        <w:rPr>
          <w:rFonts w:ascii="Arial" w:hAnsi="Arial" w:cs="Arial"/>
          <w:sz w:val="22"/>
          <w:szCs w:val="22"/>
        </w:rPr>
        <w:t xml:space="preserve">to 1 month, and </w:t>
      </w:r>
      <w:r>
        <w:rPr>
          <w:rFonts w:ascii="Arial" w:hAnsi="Arial" w:cs="Arial"/>
          <w:sz w:val="22"/>
          <w:szCs w:val="22"/>
        </w:rPr>
        <w:t>u</w:t>
      </w:r>
      <w:r w:rsidRPr="00F62BE6">
        <w:rPr>
          <w:rFonts w:ascii="Arial" w:hAnsi="Arial" w:cs="Arial"/>
          <w:sz w:val="22"/>
          <w:szCs w:val="22"/>
        </w:rPr>
        <w:t>p</w:t>
      </w:r>
      <w:r w:rsidR="004A7E25">
        <w:rPr>
          <w:rFonts w:ascii="Arial" w:hAnsi="Arial" w:cs="Arial"/>
          <w:sz w:val="22"/>
          <w:szCs w:val="22"/>
        </w:rPr>
        <w:t xml:space="preserve"> </w:t>
      </w:r>
      <w:r w:rsidRPr="00F62BE6">
        <w:rPr>
          <w:rFonts w:ascii="Arial" w:hAnsi="Arial" w:cs="Arial"/>
          <w:sz w:val="22"/>
          <w:szCs w:val="22"/>
        </w:rPr>
        <w:t>to two weeks from sample collection for all other immunology tests</w:t>
      </w:r>
      <w:r w:rsidRPr="00F62BE6">
        <w:rPr>
          <w:rFonts w:ascii="Arial" w:hAnsi="Arial" w:cs="Arial"/>
          <w:caps/>
          <w:sz w:val="22"/>
          <w:szCs w:val="22"/>
        </w:rPr>
        <w:t xml:space="preserve">. </w:t>
      </w:r>
      <w:r w:rsidRPr="00F62BE6">
        <w:rPr>
          <w:rFonts w:ascii="Arial" w:hAnsi="Arial" w:cs="Arial"/>
          <w:sz w:val="22"/>
          <w:szCs w:val="22"/>
        </w:rPr>
        <w:t>Additional tests can be added by telephoning the immunology laboratory.</w:t>
      </w:r>
      <w:r w:rsidR="00ED16BB" w:rsidRPr="00ED16BB">
        <w:rPr>
          <w:rFonts w:ascii="Arial" w:hAnsi="Arial" w:cs="Arial"/>
          <w:sz w:val="22"/>
          <w:szCs w:val="22"/>
        </w:rPr>
        <w:t xml:space="preserve"> </w:t>
      </w:r>
    </w:p>
    <w:p w:rsidR="00ED16BB" w:rsidRPr="00F62BE6" w:rsidRDefault="00ED16BB" w:rsidP="00ED16BB">
      <w:pPr>
        <w:numPr>
          <w:ilvl w:val="0"/>
          <w:numId w:val="68"/>
        </w:num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14" w:hanging="357"/>
        <w:contextualSpacing/>
        <w:jc w:val="both"/>
        <w:rPr>
          <w:rFonts w:ascii="Arial" w:hAnsi="Arial" w:cs="Arial"/>
          <w:sz w:val="22"/>
          <w:szCs w:val="22"/>
        </w:rPr>
      </w:pPr>
      <w:r w:rsidRPr="00F62BE6">
        <w:rPr>
          <w:rFonts w:ascii="Arial" w:hAnsi="Arial" w:cs="Arial"/>
          <w:sz w:val="22"/>
          <w:szCs w:val="22"/>
        </w:rPr>
        <w:t xml:space="preserve">Any add on requests from primary care </w:t>
      </w:r>
      <w:r>
        <w:rPr>
          <w:rFonts w:ascii="Arial" w:hAnsi="Arial" w:cs="Arial"/>
          <w:sz w:val="22"/>
          <w:szCs w:val="22"/>
        </w:rPr>
        <w:t>must</w:t>
      </w:r>
      <w:r w:rsidRPr="00F62BE6">
        <w:rPr>
          <w:rFonts w:ascii="Arial" w:hAnsi="Arial" w:cs="Arial"/>
          <w:sz w:val="22"/>
          <w:szCs w:val="22"/>
        </w:rPr>
        <w:t xml:space="preserve"> be made by telephone.</w:t>
      </w:r>
    </w:p>
    <w:p w:rsidR="000A6177" w:rsidRPr="00F62BE6" w:rsidRDefault="000A6177" w:rsidP="00ED16BB">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14"/>
        <w:contextualSpacing/>
        <w:jc w:val="both"/>
        <w:rPr>
          <w:rFonts w:ascii="Arial" w:hAnsi="Arial" w:cs="Arial"/>
          <w:caps/>
          <w:sz w:val="22"/>
          <w:szCs w:val="22"/>
        </w:rPr>
      </w:pPr>
    </w:p>
    <w:p w:rsidR="001C3559" w:rsidRPr="00FD56FE" w:rsidRDefault="0041039A" w:rsidP="00FD56FE">
      <w:pPr>
        <w:keepNext/>
        <w:numPr>
          <w:ilvl w:val="0"/>
          <w:numId w:val="44"/>
        </w:numPr>
        <w:spacing w:before="240" w:after="60"/>
        <w:outlineLvl w:val="0"/>
        <w:rPr>
          <w:rFonts w:ascii="Arial" w:hAnsi="Arial"/>
          <w:b/>
        </w:rPr>
      </w:pPr>
      <w:r w:rsidRPr="0041039A">
        <w:rPr>
          <w:rFonts w:ascii="Arial" w:hAnsi="Arial"/>
          <w:b/>
          <w:snapToGrid/>
          <w:kern w:val="28"/>
          <w:sz w:val="28"/>
        </w:rPr>
        <w:t>SAMPLE REQUIREMENTS</w:t>
      </w:r>
    </w:p>
    <w:p w:rsidR="0041039A" w:rsidRPr="0041039A" w:rsidRDefault="0041039A" w:rsidP="00365C54">
      <w:pPr>
        <w:keepNext/>
        <w:spacing w:line="360" w:lineRule="auto"/>
        <w:contextualSpacing/>
        <w:jc w:val="both"/>
        <w:outlineLvl w:val="6"/>
        <w:rPr>
          <w:rFonts w:ascii="Arial" w:hAnsi="Arial"/>
          <w:b/>
          <w:sz w:val="22"/>
          <w:szCs w:val="22"/>
        </w:rPr>
      </w:pPr>
      <w:r w:rsidRPr="0041039A">
        <w:rPr>
          <w:rFonts w:ascii="Arial" w:hAnsi="Arial"/>
          <w:b/>
          <w:sz w:val="22"/>
          <w:szCs w:val="22"/>
        </w:rPr>
        <w:t>Please</w:t>
      </w:r>
      <w:r w:rsidR="004A7E25">
        <w:rPr>
          <w:rFonts w:ascii="Arial" w:hAnsi="Arial"/>
          <w:b/>
          <w:sz w:val="22"/>
          <w:szCs w:val="22"/>
        </w:rPr>
        <w:t xml:space="preserve"> do:</w:t>
      </w:r>
    </w:p>
    <w:p w:rsidR="0041039A" w:rsidRPr="0041039A" w:rsidRDefault="00F214CF" w:rsidP="00CC0E6C">
      <w:pPr>
        <w:numPr>
          <w:ilvl w:val="0"/>
          <w:numId w:val="1"/>
        </w:numPr>
        <w:tabs>
          <w:tab w:val="left" w:pos="-1440"/>
          <w:tab w:val="left" w:pos="284"/>
          <w:tab w:val="left" w:pos="709"/>
        </w:tabs>
        <w:spacing w:line="360" w:lineRule="auto"/>
        <w:ind w:left="284" w:firstLine="0"/>
        <w:contextualSpacing/>
        <w:jc w:val="both"/>
        <w:rPr>
          <w:rFonts w:ascii="Arial" w:hAnsi="Arial"/>
          <w:sz w:val="22"/>
          <w:szCs w:val="22"/>
        </w:rPr>
      </w:pPr>
      <w:r>
        <w:rPr>
          <w:rFonts w:ascii="Arial" w:hAnsi="Arial"/>
          <w:sz w:val="22"/>
          <w:szCs w:val="22"/>
        </w:rPr>
        <w:t>A</w:t>
      </w:r>
      <w:r w:rsidR="0041039A" w:rsidRPr="0041039A">
        <w:rPr>
          <w:rFonts w:ascii="Arial" w:hAnsi="Arial"/>
          <w:sz w:val="22"/>
          <w:szCs w:val="22"/>
        </w:rPr>
        <w:t>sk about tests; how to arrange them and how to interpret them.</w:t>
      </w:r>
    </w:p>
    <w:p w:rsidR="00CC0E6C" w:rsidRDefault="00F214CF" w:rsidP="00CC0E6C">
      <w:pPr>
        <w:numPr>
          <w:ilvl w:val="0"/>
          <w:numId w:val="1"/>
        </w:numPr>
        <w:tabs>
          <w:tab w:val="left" w:pos="-1440"/>
          <w:tab w:val="left" w:pos="284"/>
          <w:tab w:val="left" w:pos="709"/>
        </w:tabs>
        <w:spacing w:line="360" w:lineRule="auto"/>
        <w:ind w:left="284" w:firstLine="0"/>
        <w:contextualSpacing/>
        <w:jc w:val="both"/>
        <w:rPr>
          <w:rFonts w:ascii="Arial" w:hAnsi="Arial"/>
          <w:sz w:val="22"/>
          <w:szCs w:val="22"/>
        </w:rPr>
      </w:pPr>
      <w:r>
        <w:rPr>
          <w:rFonts w:ascii="Arial" w:hAnsi="Arial"/>
          <w:sz w:val="22"/>
          <w:szCs w:val="22"/>
        </w:rPr>
        <w:t>B</w:t>
      </w:r>
      <w:r w:rsidR="0041039A" w:rsidRPr="0041039A">
        <w:rPr>
          <w:rFonts w:ascii="Arial" w:hAnsi="Arial"/>
          <w:sz w:val="22"/>
          <w:szCs w:val="22"/>
        </w:rPr>
        <w:t xml:space="preserve">e prepared to bring urgent specimens to the </w:t>
      </w:r>
      <w:r w:rsidR="00CC0E6C" w:rsidRPr="0041039A">
        <w:rPr>
          <w:rFonts w:ascii="Arial" w:hAnsi="Arial"/>
          <w:sz w:val="22"/>
          <w:szCs w:val="22"/>
        </w:rPr>
        <w:t>Laboratory.</w:t>
      </w:r>
      <w:r w:rsidR="00CC0E6C" w:rsidRPr="00CC0E6C">
        <w:rPr>
          <w:rFonts w:ascii="Arial" w:hAnsi="Arial"/>
          <w:sz w:val="22"/>
          <w:szCs w:val="22"/>
        </w:rPr>
        <w:t xml:space="preserve"> </w:t>
      </w:r>
    </w:p>
    <w:p w:rsidR="0041039A" w:rsidRDefault="00F214CF" w:rsidP="007115CA">
      <w:pPr>
        <w:numPr>
          <w:ilvl w:val="0"/>
          <w:numId w:val="1"/>
        </w:numPr>
        <w:tabs>
          <w:tab w:val="left" w:pos="-1440"/>
          <w:tab w:val="left" w:pos="709"/>
          <w:tab w:val="left" w:pos="851"/>
          <w:tab w:val="left" w:pos="993"/>
        </w:tabs>
        <w:spacing w:line="360" w:lineRule="auto"/>
        <w:ind w:left="284" w:firstLine="0"/>
        <w:contextualSpacing/>
        <w:jc w:val="both"/>
        <w:rPr>
          <w:rFonts w:ascii="Arial" w:hAnsi="Arial"/>
          <w:sz w:val="22"/>
          <w:szCs w:val="22"/>
        </w:rPr>
      </w:pPr>
      <w:r>
        <w:rPr>
          <w:rFonts w:ascii="Arial" w:hAnsi="Arial"/>
          <w:sz w:val="22"/>
          <w:szCs w:val="22"/>
        </w:rPr>
        <w:t>E</w:t>
      </w:r>
      <w:r w:rsidR="00CC0E6C" w:rsidRPr="00CC0E6C">
        <w:rPr>
          <w:rFonts w:ascii="Arial" w:hAnsi="Arial"/>
          <w:sz w:val="22"/>
          <w:szCs w:val="22"/>
        </w:rPr>
        <w:t>nsure</w:t>
      </w:r>
      <w:r w:rsidR="0041039A" w:rsidRPr="00CC0E6C">
        <w:rPr>
          <w:rFonts w:ascii="Arial" w:hAnsi="Arial"/>
          <w:sz w:val="22"/>
          <w:szCs w:val="22"/>
        </w:rPr>
        <w:t xml:space="preserve"> that specimens and request forms are correctly labelled and completed as described in </w:t>
      </w:r>
      <w:r w:rsidR="00CC0E6C" w:rsidRPr="00CC0E6C">
        <w:rPr>
          <w:rFonts w:ascii="Arial" w:hAnsi="Arial"/>
          <w:sz w:val="22"/>
          <w:szCs w:val="22"/>
        </w:rPr>
        <w:t>this</w:t>
      </w:r>
      <w:r w:rsidR="00CC0E6C">
        <w:rPr>
          <w:rFonts w:ascii="Arial" w:hAnsi="Arial"/>
          <w:sz w:val="22"/>
          <w:szCs w:val="22"/>
        </w:rPr>
        <w:t xml:space="preserve"> </w:t>
      </w:r>
      <w:r w:rsidR="00CC0E6C" w:rsidRPr="00CC0E6C">
        <w:rPr>
          <w:rFonts w:ascii="Arial" w:hAnsi="Arial"/>
          <w:sz w:val="22"/>
          <w:szCs w:val="22"/>
        </w:rPr>
        <w:t>user</w:t>
      </w:r>
      <w:r w:rsidR="0041039A" w:rsidRPr="00CC0E6C">
        <w:rPr>
          <w:rFonts w:ascii="Arial" w:hAnsi="Arial"/>
          <w:sz w:val="22"/>
          <w:szCs w:val="22"/>
        </w:rPr>
        <w:t xml:space="preserve"> guide: specimens must be sent in the appropriate sealed container with the correct request form attached (if appropriate).</w:t>
      </w:r>
    </w:p>
    <w:p w:rsidR="007115CA" w:rsidRDefault="007115CA" w:rsidP="007115CA">
      <w:pPr>
        <w:tabs>
          <w:tab w:val="left" w:pos="-1440"/>
          <w:tab w:val="left" w:pos="709"/>
          <w:tab w:val="left" w:pos="851"/>
          <w:tab w:val="left" w:pos="993"/>
        </w:tabs>
        <w:spacing w:line="360" w:lineRule="auto"/>
        <w:ind w:left="284"/>
        <w:contextualSpacing/>
        <w:jc w:val="both"/>
        <w:rPr>
          <w:rFonts w:ascii="Arial" w:hAnsi="Arial"/>
          <w:sz w:val="22"/>
          <w:szCs w:val="22"/>
        </w:rPr>
      </w:pPr>
    </w:p>
    <w:p w:rsidR="0041039A" w:rsidRPr="0041039A" w:rsidRDefault="0041039A" w:rsidP="00365C54">
      <w:pPr>
        <w:keepNext/>
        <w:spacing w:line="360" w:lineRule="auto"/>
        <w:contextualSpacing/>
        <w:jc w:val="both"/>
        <w:outlineLvl w:val="6"/>
        <w:rPr>
          <w:rFonts w:ascii="Arial" w:hAnsi="Arial"/>
          <w:b/>
          <w:sz w:val="22"/>
          <w:szCs w:val="22"/>
        </w:rPr>
      </w:pPr>
      <w:r w:rsidRPr="0041039A">
        <w:rPr>
          <w:rFonts w:ascii="Arial" w:hAnsi="Arial"/>
          <w:b/>
          <w:sz w:val="22"/>
          <w:szCs w:val="22"/>
        </w:rPr>
        <w:t>Please avoid</w:t>
      </w:r>
      <w:r w:rsidR="001C3559">
        <w:rPr>
          <w:rFonts w:ascii="Arial" w:hAnsi="Arial"/>
          <w:b/>
          <w:sz w:val="22"/>
          <w:szCs w:val="22"/>
        </w:rPr>
        <w:t>:</w:t>
      </w:r>
    </w:p>
    <w:p w:rsidR="0041039A" w:rsidRPr="0041039A" w:rsidRDefault="0041039A" w:rsidP="00CC0E6C">
      <w:pPr>
        <w:numPr>
          <w:ilvl w:val="0"/>
          <w:numId w:val="1"/>
        </w:numPr>
        <w:tabs>
          <w:tab w:val="left" w:pos="-1440"/>
        </w:tabs>
        <w:spacing w:line="360" w:lineRule="auto"/>
        <w:ind w:hanging="294"/>
        <w:contextualSpacing/>
        <w:jc w:val="both"/>
        <w:rPr>
          <w:rFonts w:ascii="Arial" w:hAnsi="Arial"/>
          <w:sz w:val="22"/>
          <w:szCs w:val="22"/>
        </w:rPr>
      </w:pPr>
      <w:r w:rsidRPr="0041039A">
        <w:rPr>
          <w:rFonts w:ascii="Arial" w:hAnsi="Arial"/>
          <w:sz w:val="22"/>
          <w:szCs w:val="22"/>
        </w:rPr>
        <w:t>sending leaking specimens</w:t>
      </w:r>
    </w:p>
    <w:p w:rsidR="0041039A" w:rsidRPr="0041039A" w:rsidRDefault="0041039A" w:rsidP="00CC0E6C">
      <w:pPr>
        <w:numPr>
          <w:ilvl w:val="0"/>
          <w:numId w:val="1"/>
        </w:numPr>
        <w:tabs>
          <w:tab w:val="left" w:pos="-1440"/>
        </w:tabs>
        <w:spacing w:line="360" w:lineRule="auto"/>
        <w:ind w:hanging="294"/>
        <w:contextualSpacing/>
        <w:jc w:val="both"/>
        <w:rPr>
          <w:rFonts w:ascii="Arial" w:hAnsi="Arial"/>
          <w:sz w:val="22"/>
          <w:szCs w:val="22"/>
        </w:rPr>
      </w:pPr>
      <w:r w:rsidRPr="0041039A">
        <w:rPr>
          <w:rFonts w:ascii="Arial" w:hAnsi="Arial"/>
          <w:sz w:val="22"/>
          <w:szCs w:val="22"/>
        </w:rPr>
        <w:t>sending unlabelled samples</w:t>
      </w:r>
    </w:p>
    <w:p w:rsidR="0041039A" w:rsidRPr="0041039A" w:rsidRDefault="0041039A" w:rsidP="00CC0E6C">
      <w:pPr>
        <w:numPr>
          <w:ilvl w:val="0"/>
          <w:numId w:val="1"/>
        </w:numPr>
        <w:tabs>
          <w:tab w:val="left" w:pos="-1440"/>
        </w:tabs>
        <w:spacing w:line="360" w:lineRule="auto"/>
        <w:ind w:hanging="294"/>
        <w:contextualSpacing/>
        <w:jc w:val="both"/>
        <w:rPr>
          <w:rFonts w:ascii="Arial" w:hAnsi="Arial"/>
          <w:sz w:val="22"/>
          <w:szCs w:val="22"/>
        </w:rPr>
      </w:pPr>
      <w:r w:rsidRPr="0041039A">
        <w:rPr>
          <w:rFonts w:ascii="Arial" w:hAnsi="Arial"/>
          <w:sz w:val="22"/>
          <w:szCs w:val="22"/>
        </w:rPr>
        <w:t>asking for tests to be performed urgently/results telephoned unless there is a clear clinical need</w:t>
      </w:r>
    </w:p>
    <w:p w:rsidR="0041039A" w:rsidRPr="0041039A"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b/>
          <w:smallCaps/>
          <w:sz w:val="22"/>
          <w:szCs w:val="22"/>
        </w:rPr>
      </w:pPr>
    </w:p>
    <w:p w:rsidR="0041039A" w:rsidRPr="0041039A"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b/>
          <w:smallCaps/>
          <w:sz w:val="22"/>
          <w:szCs w:val="22"/>
        </w:rPr>
      </w:pPr>
      <w:r w:rsidRPr="0041039A">
        <w:rPr>
          <w:rFonts w:ascii="Arial" w:hAnsi="Arial"/>
          <w:b/>
          <w:smallCaps/>
          <w:sz w:val="22"/>
          <w:szCs w:val="22"/>
        </w:rPr>
        <w:t>BLOOD SAMPLES</w:t>
      </w:r>
    </w:p>
    <w:p w:rsidR="0041039A" w:rsidRPr="0041039A"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41039A">
        <w:rPr>
          <w:rFonts w:ascii="Arial" w:hAnsi="Arial"/>
          <w:sz w:val="22"/>
          <w:szCs w:val="22"/>
        </w:rPr>
        <w:t>Several types of evacuated tubes for blood collection are in use for adults. The following list is not exhaustive: for certain specialist tests there are particular collection conditions which must be strictly adhered to. Please contact the laboratory for further information if you have any doubt about which tube should be used or whether special collection conditions apply.</w:t>
      </w:r>
    </w:p>
    <w:p w:rsidR="0041039A" w:rsidRPr="0041039A" w:rsidRDefault="0041039A" w:rsidP="00365C54">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41039A">
        <w:rPr>
          <w:rFonts w:ascii="Arial" w:hAnsi="Arial"/>
          <w:b/>
          <w:sz w:val="22"/>
          <w:szCs w:val="22"/>
        </w:rPr>
        <w:t>Plain clotted</w:t>
      </w:r>
      <w:r w:rsidRPr="0041039A">
        <w:rPr>
          <w:rFonts w:ascii="Arial" w:hAnsi="Arial"/>
          <w:sz w:val="22"/>
          <w:szCs w:val="22"/>
        </w:rPr>
        <w:t xml:space="preserve"> (red) for therapeutic drug analyses.</w:t>
      </w:r>
    </w:p>
    <w:p w:rsidR="0041039A" w:rsidRPr="0041039A" w:rsidRDefault="0041039A" w:rsidP="00365C54">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41039A">
        <w:rPr>
          <w:rFonts w:ascii="Arial" w:hAnsi="Arial"/>
          <w:b/>
          <w:sz w:val="22"/>
          <w:szCs w:val="22"/>
        </w:rPr>
        <w:t xml:space="preserve">Gel separator tube </w:t>
      </w:r>
      <w:r w:rsidRPr="0041039A">
        <w:rPr>
          <w:rFonts w:ascii="Arial" w:hAnsi="Arial"/>
          <w:sz w:val="22"/>
          <w:szCs w:val="22"/>
        </w:rPr>
        <w:t>(gold) for majority of biochemistry and immunology tests.</w:t>
      </w:r>
      <w:r w:rsidRPr="0041039A">
        <w:rPr>
          <w:rFonts w:ascii="Arial" w:hAnsi="Arial"/>
          <w:b/>
          <w:sz w:val="22"/>
          <w:szCs w:val="22"/>
        </w:rPr>
        <w:t xml:space="preserve"> </w:t>
      </w:r>
    </w:p>
    <w:p w:rsidR="0041039A" w:rsidRPr="0041039A" w:rsidRDefault="0041039A" w:rsidP="00365C54">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41039A">
        <w:rPr>
          <w:rFonts w:ascii="Arial" w:hAnsi="Arial"/>
          <w:b/>
          <w:sz w:val="22"/>
          <w:szCs w:val="22"/>
        </w:rPr>
        <w:t xml:space="preserve">Lithium heparin </w:t>
      </w:r>
      <w:r w:rsidRPr="0041039A">
        <w:rPr>
          <w:rFonts w:ascii="Arial" w:hAnsi="Arial"/>
          <w:sz w:val="22"/>
          <w:szCs w:val="22"/>
        </w:rPr>
        <w:t>(green) for ammonia (adult samples) and for certain specialist assays.</w:t>
      </w:r>
    </w:p>
    <w:p w:rsidR="0041039A" w:rsidRPr="0041039A" w:rsidRDefault="0041039A" w:rsidP="00365C54">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41039A">
        <w:rPr>
          <w:rFonts w:ascii="Arial" w:hAnsi="Arial"/>
          <w:b/>
          <w:sz w:val="22"/>
          <w:szCs w:val="22"/>
        </w:rPr>
        <w:t xml:space="preserve">EDTA </w:t>
      </w:r>
      <w:r w:rsidRPr="0041039A">
        <w:rPr>
          <w:rFonts w:ascii="Arial" w:hAnsi="Arial"/>
          <w:sz w:val="22"/>
          <w:szCs w:val="22"/>
        </w:rPr>
        <w:t>(lavender/purple) for HbA</w:t>
      </w:r>
      <w:r w:rsidRPr="0041039A">
        <w:rPr>
          <w:rFonts w:ascii="Arial" w:hAnsi="Arial"/>
          <w:sz w:val="22"/>
          <w:szCs w:val="22"/>
          <w:vertAlign w:val="subscript"/>
        </w:rPr>
        <w:t>1c</w:t>
      </w:r>
      <w:r w:rsidRPr="0041039A">
        <w:rPr>
          <w:rFonts w:ascii="Arial" w:hAnsi="Arial"/>
          <w:sz w:val="22"/>
          <w:szCs w:val="22"/>
        </w:rPr>
        <w:t>, PTH, troponin, NT-proBNP, ammonia, tacrolimus and ciclosporin.</w:t>
      </w:r>
    </w:p>
    <w:p w:rsidR="0041039A" w:rsidRPr="0041039A" w:rsidRDefault="0041039A" w:rsidP="00365C54">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41039A">
        <w:rPr>
          <w:rFonts w:ascii="Arial" w:hAnsi="Arial"/>
          <w:b/>
          <w:sz w:val="22"/>
          <w:szCs w:val="22"/>
        </w:rPr>
        <w:t xml:space="preserve">Fluoride oxalate </w:t>
      </w:r>
      <w:r w:rsidRPr="0041039A">
        <w:rPr>
          <w:rFonts w:ascii="Arial" w:hAnsi="Arial"/>
          <w:sz w:val="22"/>
          <w:szCs w:val="22"/>
        </w:rPr>
        <w:t>(grey) for glucose, lactate and alcohol.</w:t>
      </w:r>
    </w:p>
    <w:p w:rsidR="0041039A" w:rsidRPr="0041039A" w:rsidRDefault="0041039A" w:rsidP="00365C54">
      <w:pPr>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41039A">
        <w:rPr>
          <w:rFonts w:ascii="Arial" w:hAnsi="Arial"/>
          <w:b/>
          <w:sz w:val="22"/>
          <w:szCs w:val="22"/>
        </w:rPr>
        <w:t xml:space="preserve">Cryoglobulin </w:t>
      </w:r>
      <w:r w:rsidRPr="0041039A">
        <w:rPr>
          <w:rFonts w:ascii="Arial" w:hAnsi="Arial"/>
          <w:sz w:val="22"/>
          <w:szCs w:val="22"/>
        </w:rPr>
        <w:t>collection flask and tubes available from the laboratory by arrangement.</w:t>
      </w:r>
    </w:p>
    <w:p w:rsidR="0041039A" w:rsidRPr="0041039A"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p>
    <w:p w:rsidR="0041039A" w:rsidRPr="0041039A"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41039A">
        <w:rPr>
          <w:rFonts w:ascii="Arial" w:hAnsi="Arial"/>
          <w:b/>
          <w:sz w:val="22"/>
          <w:szCs w:val="22"/>
        </w:rPr>
        <w:t>Note</w:t>
      </w:r>
      <w:r w:rsidRPr="0041039A">
        <w:rPr>
          <w:rFonts w:ascii="Arial" w:hAnsi="Arial"/>
          <w:sz w:val="22"/>
          <w:szCs w:val="22"/>
        </w:rPr>
        <w:t>: tubes are labelled with a line indicating the amount of blood which should be placed in them.  Please attempt to put the correct amount of blood in the tubes and ensure that any anticoagulants or preservatives are mixed into the blood by gentle inversion of the tubes once they have been filled.</w:t>
      </w:r>
    </w:p>
    <w:p w:rsidR="0041039A" w:rsidRPr="0041039A" w:rsidRDefault="0041039A" w:rsidP="00365C54">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p>
    <w:p w:rsidR="00365C54" w:rsidRDefault="0041039A" w:rsidP="00365C54">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41039A">
        <w:rPr>
          <w:rFonts w:ascii="Arial" w:hAnsi="Arial"/>
          <w:sz w:val="22"/>
          <w:szCs w:val="22"/>
        </w:rPr>
        <w:t>For paediatric use, a supply of smaller containers with the same colour coding as adult tubes is available. However, other types of paediatric tubes are also in circulation. Please ensure the correct lids are re-fitted to these tubes after collection.</w:t>
      </w:r>
    </w:p>
    <w:p w:rsidR="00365C54" w:rsidRPr="00365C54" w:rsidRDefault="00365C54" w:rsidP="00365C54">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p>
    <w:p w:rsidR="0041039A" w:rsidRPr="0041039A" w:rsidRDefault="0041039A" w:rsidP="00365C54">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outlineLvl w:val="7"/>
        <w:rPr>
          <w:sz w:val="22"/>
          <w:szCs w:val="22"/>
        </w:rPr>
      </w:pPr>
      <w:r w:rsidRPr="0041039A">
        <w:rPr>
          <w:rFonts w:ascii="Arial" w:hAnsi="Arial"/>
          <w:b/>
          <w:sz w:val="22"/>
          <w:szCs w:val="22"/>
        </w:rPr>
        <w:t>Order of filling of evacuated tubes</w:t>
      </w:r>
    </w:p>
    <w:p w:rsidR="0041039A" w:rsidRPr="0041039A" w:rsidRDefault="0041039A" w:rsidP="00365C5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360"/>
        <w:contextualSpacing/>
        <w:jc w:val="both"/>
        <w:rPr>
          <w:rFonts w:ascii="Arial" w:hAnsi="Arial"/>
          <w:sz w:val="22"/>
          <w:szCs w:val="22"/>
        </w:rPr>
      </w:pPr>
      <w:r w:rsidRPr="0041039A">
        <w:rPr>
          <w:rFonts w:ascii="Arial" w:hAnsi="Arial"/>
          <w:sz w:val="22"/>
          <w:szCs w:val="22"/>
        </w:rPr>
        <w:t>1 - Citrate tubes (for clotting studies/INR)</w:t>
      </w:r>
    </w:p>
    <w:p w:rsidR="0041039A" w:rsidRPr="0041039A" w:rsidRDefault="0041039A" w:rsidP="00365C5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360"/>
        <w:contextualSpacing/>
        <w:jc w:val="both"/>
        <w:rPr>
          <w:rFonts w:ascii="Arial" w:hAnsi="Arial"/>
          <w:sz w:val="22"/>
          <w:szCs w:val="22"/>
        </w:rPr>
      </w:pPr>
      <w:r w:rsidRPr="0041039A">
        <w:rPr>
          <w:rFonts w:ascii="Arial" w:hAnsi="Arial"/>
          <w:sz w:val="22"/>
          <w:szCs w:val="22"/>
        </w:rPr>
        <w:t xml:space="preserve">2 - Dry tubes with clot activator for tests on serum (red) </w:t>
      </w:r>
    </w:p>
    <w:p w:rsidR="0041039A" w:rsidRPr="0041039A" w:rsidRDefault="0041039A" w:rsidP="00365C5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360"/>
        <w:contextualSpacing/>
        <w:jc w:val="both"/>
        <w:rPr>
          <w:rFonts w:ascii="Arial" w:hAnsi="Arial"/>
          <w:sz w:val="22"/>
          <w:szCs w:val="22"/>
        </w:rPr>
      </w:pPr>
      <w:r w:rsidRPr="0041039A">
        <w:rPr>
          <w:rFonts w:ascii="Arial" w:hAnsi="Arial"/>
          <w:sz w:val="22"/>
          <w:szCs w:val="22"/>
        </w:rPr>
        <w:t xml:space="preserve">3 - Gel separator tubes with clot activator for tests on serum (gold/yellow) </w:t>
      </w:r>
    </w:p>
    <w:p w:rsidR="0041039A" w:rsidRPr="0041039A" w:rsidRDefault="0041039A" w:rsidP="00365C5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360"/>
        <w:contextualSpacing/>
        <w:jc w:val="both"/>
        <w:rPr>
          <w:rFonts w:ascii="Arial" w:hAnsi="Arial"/>
          <w:sz w:val="22"/>
          <w:szCs w:val="22"/>
        </w:rPr>
      </w:pPr>
      <w:r w:rsidRPr="0041039A">
        <w:rPr>
          <w:rFonts w:ascii="Arial" w:hAnsi="Arial"/>
          <w:sz w:val="22"/>
          <w:szCs w:val="22"/>
        </w:rPr>
        <w:t>4 - Lithium heparin tubes (green)</w:t>
      </w:r>
    </w:p>
    <w:p w:rsidR="0041039A" w:rsidRPr="0041039A" w:rsidRDefault="0041039A" w:rsidP="00365C54">
      <w:pPr>
        <w:spacing w:line="360" w:lineRule="auto"/>
        <w:contextualSpacing/>
        <w:jc w:val="both"/>
        <w:rPr>
          <w:rFonts w:ascii="Arial" w:hAnsi="Arial"/>
          <w:sz w:val="22"/>
          <w:szCs w:val="22"/>
        </w:rPr>
      </w:pPr>
      <w:r w:rsidRPr="0041039A">
        <w:rPr>
          <w:rFonts w:ascii="Arial" w:hAnsi="Arial"/>
          <w:sz w:val="22"/>
          <w:szCs w:val="22"/>
        </w:rPr>
        <w:t xml:space="preserve">      5 - EDTA tubes (lavender)</w:t>
      </w:r>
      <w:r w:rsidRPr="0041039A">
        <w:rPr>
          <w:rFonts w:ascii="Arial" w:hAnsi="Arial"/>
          <w:b/>
          <w:sz w:val="22"/>
          <w:szCs w:val="22"/>
        </w:rPr>
        <w:t xml:space="preserve"> </w:t>
      </w:r>
    </w:p>
    <w:p w:rsidR="0041039A" w:rsidRPr="0041039A" w:rsidRDefault="0041039A" w:rsidP="00365C54">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360"/>
        <w:contextualSpacing/>
        <w:jc w:val="both"/>
        <w:rPr>
          <w:sz w:val="22"/>
          <w:szCs w:val="22"/>
        </w:rPr>
      </w:pPr>
      <w:r w:rsidRPr="0041039A">
        <w:rPr>
          <w:rFonts w:ascii="Arial" w:hAnsi="Arial"/>
          <w:sz w:val="22"/>
          <w:szCs w:val="22"/>
        </w:rPr>
        <w:t>6 - Fluoride oxalate tubes (grey)</w:t>
      </w:r>
    </w:p>
    <w:p w:rsidR="0041039A" w:rsidRPr="0041039A" w:rsidRDefault="0041039A" w:rsidP="00365C54">
      <w:pPr>
        <w:tabs>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sz w:val="22"/>
          <w:szCs w:val="22"/>
        </w:rPr>
      </w:pPr>
    </w:p>
    <w:p w:rsidR="0041039A" w:rsidRPr="0041039A" w:rsidRDefault="0041039A" w:rsidP="00365C54">
      <w:pPr>
        <w:tabs>
          <w:tab w:val="left" w:pos="-1440"/>
          <w:tab w:val="left" w:pos="-720"/>
          <w:tab w:val="left" w:pos="0"/>
          <w:tab w:val="left" w:pos="709"/>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41039A">
        <w:rPr>
          <w:rFonts w:ascii="Arial" w:hAnsi="Arial"/>
          <w:sz w:val="22"/>
          <w:szCs w:val="22"/>
        </w:rPr>
        <w:t>It is essential that the above sequence is adhered to otherwise cross contamination may occur leading to erroneous results.</w:t>
      </w:r>
    </w:p>
    <w:p w:rsidR="0041039A" w:rsidRPr="0041039A"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p>
    <w:p w:rsidR="0041039A" w:rsidRPr="0041039A"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b/>
          <w:smallCaps/>
          <w:sz w:val="22"/>
          <w:szCs w:val="22"/>
        </w:rPr>
      </w:pPr>
      <w:r w:rsidRPr="0041039A">
        <w:rPr>
          <w:rFonts w:ascii="Arial" w:hAnsi="Arial"/>
          <w:b/>
          <w:smallCaps/>
          <w:sz w:val="22"/>
          <w:szCs w:val="22"/>
        </w:rPr>
        <w:t>URINE SAMPLES</w:t>
      </w:r>
    </w:p>
    <w:p w:rsidR="0041039A" w:rsidRPr="0041039A"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41039A">
        <w:rPr>
          <w:rFonts w:ascii="Arial" w:hAnsi="Arial"/>
          <w:sz w:val="22"/>
          <w:szCs w:val="22"/>
        </w:rPr>
        <w:t xml:space="preserve">Random urines should be collected into a 60 mL white-top (or silver-top) universal container.  Do </w:t>
      </w:r>
      <w:r w:rsidRPr="0041039A">
        <w:rPr>
          <w:rFonts w:ascii="Arial" w:hAnsi="Arial"/>
          <w:b/>
          <w:sz w:val="22"/>
          <w:szCs w:val="22"/>
        </w:rPr>
        <w:t>not</w:t>
      </w:r>
      <w:r w:rsidRPr="0041039A">
        <w:rPr>
          <w:rFonts w:ascii="Arial" w:hAnsi="Arial"/>
          <w:sz w:val="22"/>
          <w:szCs w:val="22"/>
        </w:rPr>
        <w:t xml:space="preserve"> use the red-top (Boricon) microbiology pots. Patient information leaflets describing the collection procedure are available (see section 21)</w:t>
      </w:r>
    </w:p>
    <w:p w:rsidR="0041039A" w:rsidRPr="0041039A"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p>
    <w:p w:rsidR="0041039A" w:rsidRPr="0041039A"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cs="Arial"/>
          <w:b/>
          <w:caps/>
          <w:szCs w:val="24"/>
        </w:rPr>
      </w:pPr>
      <w:r w:rsidRPr="0041039A">
        <w:rPr>
          <w:rFonts w:ascii="Arial" w:hAnsi="Arial" w:cs="Arial"/>
          <w:sz w:val="22"/>
          <w:szCs w:val="22"/>
        </w:rPr>
        <w:t>24 h urine containers are issued by the laboratory. The Pathology reception staff are responsible for ensuring that the correct container and collection details are issued, either directly to the patient or to the ward or clinic staff. Urine containers for trace metal (e.g. copper) analysis are acid-washed. Patient information leaflets describing the collection procedure are available (</w:t>
      </w:r>
      <w:r w:rsidRPr="0041039A">
        <w:rPr>
          <w:rFonts w:ascii="Arial" w:hAnsi="Arial"/>
          <w:sz w:val="22"/>
          <w:szCs w:val="22"/>
        </w:rPr>
        <w:t>see section 21</w:t>
      </w:r>
      <w:r w:rsidRPr="0041039A">
        <w:rPr>
          <w:rFonts w:ascii="Arial" w:hAnsi="Arial" w:cs="Arial"/>
          <w:sz w:val="22"/>
          <w:szCs w:val="22"/>
        </w:rPr>
        <w:t>).</w:t>
      </w:r>
    </w:p>
    <w:p w:rsidR="0041039A" w:rsidRPr="0041039A" w:rsidRDefault="0041039A" w:rsidP="00365C54">
      <w:pPr>
        <w:spacing w:line="360" w:lineRule="auto"/>
        <w:contextualSpacing/>
        <w:jc w:val="both"/>
      </w:pPr>
    </w:p>
    <w:p w:rsidR="0041039A" w:rsidRPr="0041039A" w:rsidRDefault="0041039A" w:rsidP="00365C54">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outlineLvl w:val="6"/>
      </w:pPr>
      <w:r w:rsidRPr="0041039A">
        <w:rPr>
          <w:rFonts w:ascii="Arial" w:hAnsi="Arial"/>
          <w:b/>
          <w:smallCaps/>
          <w:sz w:val="22"/>
          <w:szCs w:val="22"/>
        </w:rPr>
        <w:t>CSF SAMPLES</w:t>
      </w:r>
    </w:p>
    <w:p w:rsidR="0041039A" w:rsidRPr="0041039A" w:rsidRDefault="0041039A" w:rsidP="00365C54">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outlineLvl w:val="6"/>
        <w:rPr>
          <w:rFonts w:ascii="Arial" w:hAnsi="Arial"/>
          <w:sz w:val="22"/>
          <w:szCs w:val="22"/>
        </w:rPr>
      </w:pPr>
      <w:r w:rsidRPr="0041039A">
        <w:rPr>
          <w:rFonts w:ascii="Arial" w:hAnsi="Arial"/>
          <w:sz w:val="22"/>
          <w:szCs w:val="22"/>
        </w:rPr>
        <w:t>A plain universal or 2 mL sterile tube must be used for total protein or oligoclonal bands and a fluoride oxalate sample for glucose.  When investigating suspected meningitis, the CSF glucose request must be accompanied by a plasma glucose request/sample. When investigating suspected multiple sclerosis, the request for CSF oligoclonal bands must be accompanied by a clotted (red or gel separator tube) blood sample.  CSF specimens contaminated with blood will not be analysed. For xanthochromia testing see section 21.</w:t>
      </w:r>
    </w:p>
    <w:p w:rsidR="0041039A" w:rsidRPr="0041039A"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b/>
          <w:sz w:val="22"/>
          <w:szCs w:val="22"/>
        </w:rPr>
      </w:pPr>
    </w:p>
    <w:p w:rsidR="0041039A" w:rsidRPr="0041039A"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b/>
          <w:smallCaps/>
          <w:sz w:val="22"/>
          <w:szCs w:val="22"/>
        </w:rPr>
      </w:pPr>
      <w:r w:rsidRPr="0041039A">
        <w:rPr>
          <w:rFonts w:ascii="Arial" w:hAnsi="Arial"/>
          <w:b/>
          <w:smallCaps/>
          <w:sz w:val="22"/>
          <w:szCs w:val="22"/>
        </w:rPr>
        <w:t>FAECAL SAMPLES</w:t>
      </w:r>
    </w:p>
    <w:p w:rsidR="000A755B"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41039A">
        <w:rPr>
          <w:rFonts w:ascii="Arial" w:hAnsi="Arial"/>
          <w:sz w:val="22"/>
          <w:szCs w:val="22"/>
        </w:rPr>
        <w:t xml:space="preserve">Faecal specimens for measurement of porphyrins, calprotectin and elastase must be collected into </w:t>
      </w:r>
      <w:r w:rsidR="002F7745">
        <w:rPr>
          <w:rFonts w:ascii="Arial" w:hAnsi="Arial"/>
          <w:sz w:val="22"/>
          <w:szCs w:val="22"/>
        </w:rPr>
        <w:t>blue-</w:t>
      </w:r>
      <w:r w:rsidR="002F7745" w:rsidRPr="002F7745">
        <w:rPr>
          <w:rFonts w:ascii="Arial" w:hAnsi="Arial"/>
          <w:sz w:val="22"/>
          <w:szCs w:val="22"/>
        </w:rPr>
        <w:t xml:space="preserve">top </w:t>
      </w:r>
      <w:r w:rsidRPr="0041039A">
        <w:rPr>
          <w:rFonts w:ascii="Arial" w:hAnsi="Arial"/>
          <w:sz w:val="22"/>
          <w:szCs w:val="22"/>
        </w:rPr>
        <w:t xml:space="preserve">sterile faeces pots. Specimens for porphyrins </w:t>
      </w:r>
      <w:r w:rsidRPr="0041039A">
        <w:rPr>
          <w:rFonts w:ascii="Arial" w:hAnsi="Arial"/>
          <w:b/>
          <w:sz w:val="22"/>
          <w:szCs w:val="22"/>
        </w:rPr>
        <w:t>MUST</w:t>
      </w:r>
      <w:r w:rsidRPr="0041039A">
        <w:rPr>
          <w:rFonts w:ascii="Arial" w:hAnsi="Arial"/>
          <w:sz w:val="22"/>
          <w:szCs w:val="22"/>
        </w:rPr>
        <w:t xml:space="preserve"> be protected from light. </w:t>
      </w:r>
    </w:p>
    <w:p w:rsidR="000A755B" w:rsidRDefault="000A755B" w:rsidP="0041039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szCs w:val="22"/>
        </w:rPr>
      </w:pPr>
    </w:p>
    <w:p w:rsidR="000A755B" w:rsidRDefault="000A755B"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Pr>
          <w:rFonts w:ascii="Arial" w:hAnsi="Arial"/>
          <w:sz w:val="22"/>
          <w:szCs w:val="22"/>
        </w:rPr>
        <w:t>Please note separate f</w:t>
      </w:r>
      <w:r w:rsidRPr="000A755B">
        <w:rPr>
          <w:rFonts w:ascii="Arial" w:hAnsi="Arial"/>
          <w:sz w:val="22"/>
          <w:szCs w:val="22"/>
        </w:rPr>
        <w:t>aecal specimens</w:t>
      </w:r>
      <w:r>
        <w:rPr>
          <w:rFonts w:ascii="Arial" w:hAnsi="Arial"/>
          <w:sz w:val="22"/>
          <w:szCs w:val="22"/>
        </w:rPr>
        <w:t xml:space="preserve"> are required for </w:t>
      </w:r>
      <w:r w:rsidRPr="000A755B">
        <w:rPr>
          <w:rFonts w:ascii="Arial" w:hAnsi="Arial"/>
          <w:sz w:val="22"/>
          <w:szCs w:val="22"/>
        </w:rPr>
        <w:t>porphyrins, calprotectin and elastase</w:t>
      </w:r>
      <w:r>
        <w:rPr>
          <w:rFonts w:ascii="Arial" w:hAnsi="Arial"/>
          <w:sz w:val="22"/>
          <w:szCs w:val="22"/>
        </w:rPr>
        <w:t xml:space="preserve">, as samples cannot be shared between tests or with microbiology requests. </w:t>
      </w:r>
    </w:p>
    <w:p w:rsidR="002F7745" w:rsidRDefault="002F7745"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p>
    <w:p w:rsidR="000A755B" w:rsidRDefault="002F7745"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Pr>
          <w:rFonts w:ascii="Arial" w:hAnsi="Arial"/>
          <w:sz w:val="22"/>
          <w:szCs w:val="22"/>
        </w:rPr>
        <w:t xml:space="preserve">Sample for faecal immunological test (FIT) must be </w:t>
      </w:r>
      <w:r w:rsidRPr="002F7745">
        <w:rPr>
          <w:rFonts w:ascii="Arial" w:hAnsi="Arial"/>
          <w:sz w:val="22"/>
          <w:szCs w:val="22"/>
        </w:rPr>
        <w:t>collected</w:t>
      </w:r>
      <w:r>
        <w:rPr>
          <w:rFonts w:ascii="Arial" w:hAnsi="Arial"/>
          <w:sz w:val="22"/>
          <w:szCs w:val="22"/>
        </w:rPr>
        <w:t xml:space="preserve"> </w:t>
      </w:r>
      <w:r w:rsidRPr="002F7745">
        <w:rPr>
          <w:rFonts w:ascii="Arial" w:hAnsi="Arial"/>
          <w:sz w:val="22"/>
          <w:szCs w:val="22"/>
        </w:rPr>
        <w:t>in dedicated sample 'picker' with pale green lid.</w:t>
      </w:r>
    </w:p>
    <w:p w:rsidR="0041039A"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41039A">
        <w:rPr>
          <w:rFonts w:ascii="Arial" w:hAnsi="Arial"/>
          <w:sz w:val="22"/>
          <w:szCs w:val="22"/>
        </w:rPr>
        <w:t>Patient information leaflets describing the collection procedure are available (see section 21).</w:t>
      </w:r>
    </w:p>
    <w:p w:rsidR="00F214CF" w:rsidRDefault="00F214CF" w:rsidP="00711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b/>
          <w:smallCaps/>
          <w:sz w:val="28"/>
          <w:szCs w:val="22"/>
        </w:rPr>
      </w:pPr>
    </w:p>
    <w:p w:rsidR="007115CA" w:rsidRPr="00C56402" w:rsidRDefault="007115CA" w:rsidP="00711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b/>
          <w:smallCaps/>
          <w:sz w:val="28"/>
          <w:szCs w:val="22"/>
        </w:rPr>
      </w:pPr>
      <w:r w:rsidRPr="00C56402">
        <w:rPr>
          <w:rFonts w:ascii="Arial" w:hAnsi="Arial"/>
          <w:b/>
          <w:smallCaps/>
          <w:sz w:val="28"/>
          <w:szCs w:val="22"/>
        </w:rPr>
        <w:t xml:space="preserve">genetic samples </w:t>
      </w:r>
    </w:p>
    <w:p w:rsidR="007115CA" w:rsidRDefault="00D545C8" w:rsidP="00711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D545C8">
        <w:rPr>
          <w:rFonts w:ascii="Arial" w:hAnsi="Arial"/>
          <w:sz w:val="22"/>
          <w:szCs w:val="22"/>
        </w:rPr>
        <w:t>All genetics and chromosomes requests must be accompanied by</w:t>
      </w:r>
      <w:r>
        <w:rPr>
          <w:rFonts w:ascii="Arial" w:hAnsi="Arial"/>
          <w:sz w:val="22"/>
          <w:szCs w:val="22"/>
        </w:rPr>
        <w:t xml:space="preserve"> a genetic testing request form. These </w:t>
      </w:r>
      <w:r w:rsidR="007115CA" w:rsidRPr="007115CA">
        <w:rPr>
          <w:rFonts w:ascii="Arial" w:hAnsi="Arial"/>
          <w:sz w:val="22"/>
          <w:szCs w:val="22"/>
        </w:rPr>
        <w:t xml:space="preserve">can be accessed at </w:t>
      </w:r>
      <w:hyperlink r:id="rId23" w:anchor="order-a-test" w:history="1">
        <w:r w:rsidRPr="007B6FBF">
          <w:rPr>
            <w:rStyle w:val="Hyperlink"/>
            <w:rFonts w:ascii="Arial" w:hAnsi="Arial"/>
            <w:sz w:val="22"/>
            <w:szCs w:val="22"/>
          </w:rPr>
          <w:t>https://southeastgenomics.nhs.uk/glh/#order-a-test</w:t>
        </w:r>
      </w:hyperlink>
      <w:r>
        <w:rPr>
          <w:rFonts w:ascii="Arial" w:hAnsi="Arial"/>
          <w:sz w:val="22"/>
          <w:szCs w:val="22"/>
        </w:rPr>
        <w:t xml:space="preserve">. </w:t>
      </w:r>
      <w:r w:rsidR="007115CA" w:rsidRPr="007115CA">
        <w:rPr>
          <w:rFonts w:ascii="Arial" w:hAnsi="Arial"/>
          <w:sz w:val="22"/>
          <w:szCs w:val="22"/>
        </w:rPr>
        <w:t>This link works best when paste</w:t>
      </w:r>
      <w:r>
        <w:rPr>
          <w:rFonts w:ascii="Arial" w:hAnsi="Arial"/>
          <w:sz w:val="22"/>
          <w:szCs w:val="22"/>
        </w:rPr>
        <w:t xml:space="preserve">d into Google Chrome or Firefox. </w:t>
      </w:r>
      <w:r w:rsidR="007115CA" w:rsidRPr="007115CA">
        <w:rPr>
          <w:rFonts w:ascii="Arial" w:hAnsi="Arial"/>
          <w:sz w:val="22"/>
          <w:szCs w:val="22"/>
        </w:rPr>
        <w:t>Tests should be requested according to the national criteria.</w:t>
      </w:r>
    </w:p>
    <w:p w:rsidR="00D545C8" w:rsidRPr="0041039A" w:rsidRDefault="00D545C8" w:rsidP="007115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Pr>
          <w:rFonts w:ascii="Arial" w:hAnsi="Arial"/>
          <w:sz w:val="22"/>
          <w:szCs w:val="22"/>
        </w:rPr>
        <w:t>Please note k</w:t>
      </w:r>
      <w:r w:rsidRPr="00D545C8">
        <w:rPr>
          <w:rFonts w:ascii="Arial" w:hAnsi="Arial"/>
          <w:sz w:val="22"/>
          <w:szCs w:val="22"/>
        </w:rPr>
        <w:t>aryotyping/chromosomes samples should not be collected on Friday or Saturday</w:t>
      </w:r>
      <w:r>
        <w:rPr>
          <w:rFonts w:ascii="Arial" w:hAnsi="Arial"/>
          <w:sz w:val="22"/>
          <w:szCs w:val="22"/>
        </w:rPr>
        <w:t xml:space="preserve">. </w:t>
      </w:r>
    </w:p>
    <w:p w:rsidR="0041039A" w:rsidRPr="00D545C8"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b/>
          <w:sz w:val="22"/>
          <w:szCs w:val="22"/>
        </w:rPr>
      </w:pPr>
    </w:p>
    <w:p w:rsidR="0041039A" w:rsidRPr="0041039A" w:rsidRDefault="0041039A" w:rsidP="00365C54">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outlineLvl w:val="7"/>
      </w:pPr>
      <w:r w:rsidRPr="00C56402">
        <w:rPr>
          <w:rFonts w:ascii="Arial" w:hAnsi="Arial"/>
          <w:b/>
          <w:smallCaps/>
          <w:sz w:val="22"/>
          <w:szCs w:val="22"/>
        </w:rPr>
        <w:t>STORING SAMPLES</w:t>
      </w:r>
      <w:r w:rsidR="007115CA">
        <w:rPr>
          <w:rFonts w:ascii="Arial" w:hAnsi="Arial"/>
          <w:b/>
          <w:smallCaps/>
          <w:sz w:val="22"/>
          <w:szCs w:val="22"/>
        </w:rPr>
        <w:t xml:space="preserve"> </w:t>
      </w:r>
    </w:p>
    <w:p w:rsidR="00057DD2"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41039A">
        <w:rPr>
          <w:rFonts w:ascii="Arial" w:hAnsi="Arial"/>
          <w:sz w:val="22"/>
          <w:szCs w:val="22"/>
        </w:rPr>
        <w:t>The storage of whole blood specimens in a refrigerator at 4</w:t>
      </w:r>
      <w:r w:rsidRPr="0041039A">
        <w:rPr>
          <w:rFonts w:ascii="Arial" w:hAnsi="Arial"/>
          <w:sz w:val="22"/>
          <w:szCs w:val="22"/>
          <w:vertAlign w:val="superscript"/>
        </w:rPr>
        <w:t>o</w:t>
      </w:r>
      <w:r w:rsidRPr="0041039A">
        <w:rPr>
          <w:rFonts w:ascii="Arial" w:hAnsi="Arial"/>
          <w:sz w:val="22"/>
          <w:szCs w:val="22"/>
        </w:rPr>
        <w:t xml:space="preserve">C prior to sending to the laboratory is not suitable for the vast majority of analytes. Notably serum potassium, phosphate and magnesium will be falsely elevated due to leakage from the red blood cells and the bicarbonate may be falsely decreased. </w:t>
      </w:r>
    </w:p>
    <w:p w:rsidR="00057DD2" w:rsidRPr="00FD56FE" w:rsidRDefault="0041039A" w:rsidP="00057DD2">
      <w:pPr>
        <w:numPr>
          <w:ilvl w:val="0"/>
          <w:numId w:val="7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41039A">
        <w:rPr>
          <w:rFonts w:ascii="Arial" w:hAnsi="Arial"/>
          <w:b/>
          <w:sz w:val="22"/>
          <w:szCs w:val="22"/>
        </w:rPr>
        <w:t xml:space="preserve">Do not store specimens in the freezer! </w:t>
      </w:r>
    </w:p>
    <w:p w:rsidR="00057DD2" w:rsidRDefault="0041039A" w:rsidP="00057DD2">
      <w:pPr>
        <w:numPr>
          <w:ilvl w:val="0"/>
          <w:numId w:val="7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41039A">
        <w:rPr>
          <w:rFonts w:ascii="Arial" w:hAnsi="Arial"/>
          <w:b/>
          <w:sz w:val="22"/>
          <w:szCs w:val="22"/>
        </w:rPr>
        <w:t>Do not stand specimens on radiators or other very hot places!</w:t>
      </w:r>
      <w:r w:rsidRPr="0041039A">
        <w:rPr>
          <w:rFonts w:ascii="Arial" w:hAnsi="Arial"/>
          <w:sz w:val="22"/>
          <w:szCs w:val="22"/>
        </w:rPr>
        <w:t xml:space="preserve"> I</w:t>
      </w:r>
    </w:p>
    <w:p w:rsidR="0041039A" w:rsidRPr="0041039A" w:rsidRDefault="00FD56FE" w:rsidP="00FD56FE">
      <w:pPr>
        <w:numPr>
          <w:ilvl w:val="0"/>
          <w:numId w:val="7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Pr>
          <w:rFonts w:ascii="Arial" w:hAnsi="Arial"/>
          <w:sz w:val="22"/>
          <w:szCs w:val="22"/>
        </w:rPr>
        <w:t>I</w:t>
      </w:r>
      <w:r w:rsidR="0041039A" w:rsidRPr="0041039A">
        <w:rPr>
          <w:rFonts w:ascii="Arial" w:hAnsi="Arial"/>
          <w:sz w:val="22"/>
          <w:szCs w:val="22"/>
        </w:rPr>
        <w:t>f in doubt, contact the laboratory.</w:t>
      </w:r>
    </w:p>
    <w:p w:rsidR="0041039A" w:rsidRPr="0041039A"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p>
    <w:p w:rsidR="0041039A" w:rsidRPr="0041039A" w:rsidRDefault="0041039A" w:rsidP="00365C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b/>
          <w:sz w:val="22"/>
          <w:szCs w:val="22"/>
        </w:rPr>
      </w:pPr>
      <w:r w:rsidRPr="0041039A">
        <w:rPr>
          <w:rFonts w:ascii="Arial" w:hAnsi="Arial"/>
          <w:sz w:val="22"/>
          <w:szCs w:val="22"/>
        </w:rPr>
        <w:t>Some samples must be brought to the laboratory immediately (e.g. ammoni</w:t>
      </w:r>
      <w:r w:rsidR="00592F93">
        <w:rPr>
          <w:rFonts w:ascii="Arial" w:hAnsi="Arial"/>
          <w:sz w:val="22"/>
          <w:szCs w:val="22"/>
        </w:rPr>
        <w:t xml:space="preserve">a, lactate, ACTH, gut hormones </w:t>
      </w:r>
      <w:r w:rsidRPr="0041039A">
        <w:rPr>
          <w:rFonts w:ascii="Arial" w:hAnsi="Arial"/>
          <w:sz w:val="22"/>
          <w:szCs w:val="22"/>
        </w:rPr>
        <w:t>and plasma metanephrines). Samples for these tests cannot be collected in primary care (see section 10). Please contact the duty biochemist if you wish to discuss sample requirements, or make the laboratory aware that an unstable sample is being sent.</w:t>
      </w:r>
    </w:p>
    <w:p w:rsidR="0041039A" w:rsidRPr="0041039A" w:rsidRDefault="0041039A" w:rsidP="00365C54">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outlineLvl w:val="6"/>
        <w:rPr>
          <w:rFonts w:ascii="Arial" w:hAnsi="Arial"/>
          <w:b/>
          <w:sz w:val="22"/>
          <w:szCs w:val="22"/>
        </w:rPr>
      </w:pPr>
    </w:p>
    <w:p w:rsidR="0041039A" w:rsidRDefault="0041039A" w:rsidP="00365C54">
      <w:pPr>
        <w:spacing w:line="360" w:lineRule="auto"/>
        <w:contextualSpacing/>
        <w:jc w:val="both"/>
        <w:rPr>
          <w:rFonts w:ascii="Arial" w:hAnsi="Arial" w:cs="Arial"/>
          <w:sz w:val="22"/>
          <w:szCs w:val="22"/>
        </w:rPr>
      </w:pPr>
      <w:r w:rsidRPr="0041039A">
        <w:rPr>
          <w:rFonts w:ascii="Arial" w:hAnsi="Arial" w:cs="Arial"/>
          <w:sz w:val="22"/>
          <w:szCs w:val="22"/>
        </w:rPr>
        <w:t>If samples are not delivered to the laboratory within 4 hours after collection, they must be centrifuged (2000 g for 10 minutes) at source (within 8 hours of collection) and stored at 2 – 8 degrees before transportation, to preserve sample integrity and to ensure that they are not rejected upon arrival at EKHUFT.  The laboratory must be informed that this procedure is in place, and it must be agreed in writing.</w:t>
      </w:r>
    </w:p>
    <w:p w:rsidR="00ED16BB" w:rsidRPr="0041039A" w:rsidRDefault="00ED16BB" w:rsidP="00365C54">
      <w:pPr>
        <w:spacing w:line="360" w:lineRule="auto"/>
        <w:contextualSpacing/>
        <w:jc w:val="both"/>
        <w:rPr>
          <w:rFonts w:ascii="Arial" w:hAnsi="Arial" w:cs="Arial"/>
        </w:rPr>
      </w:pPr>
    </w:p>
    <w:p w:rsidR="0041039A" w:rsidRPr="0041039A" w:rsidRDefault="0041039A" w:rsidP="00365C54">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outlineLvl w:val="6"/>
      </w:pPr>
      <w:r w:rsidRPr="0041039A">
        <w:rPr>
          <w:rFonts w:ascii="Arial" w:hAnsi="Arial"/>
          <w:b/>
          <w:smallCaps/>
          <w:sz w:val="22"/>
          <w:szCs w:val="22"/>
        </w:rPr>
        <w:t>UNSUITABLE SAMPLES</w:t>
      </w:r>
    </w:p>
    <w:p w:rsidR="000A6177" w:rsidRPr="0041039A" w:rsidRDefault="0041039A" w:rsidP="00365C54">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b/>
          <w:sz w:val="22"/>
          <w:szCs w:val="22"/>
        </w:rPr>
      </w:pPr>
      <w:r w:rsidRPr="0041039A">
        <w:rPr>
          <w:rFonts w:ascii="Arial" w:hAnsi="Arial"/>
          <w:sz w:val="22"/>
          <w:szCs w:val="22"/>
        </w:rPr>
        <w:t xml:space="preserve">Under certain circumstances results of some tests will not be reported due to the receipt of a compromised sample (e.g. many analytes will not be reported on haemolysed or lipaemic samples). This is done to ensure that the results you receive are clinically meaningful and accurate: please do not ask laboratory staff to release results in these situations.  </w:t>
      </w:r>
    </w:p>
    <w:p w:rsidR="0041039A" w:rsidRPr="0041039A" w:rsidRDefault="0041039A" w:rsidP="00365C54">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b/>
          <w:caps/>
          <w:sz w:val="22"/>
          <w:szCs w:val="22"/>
        </w:rPr>
      </w:pPr>
    </w:p>
    <w:p w:rsidR="0041039A" w:rsidRPr="0041039A" w:rsidRDefault="0041039A" w:rsidP="00365C54">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caps/>
          <w:sz w:val="22"/>
          <w:szCs w:val="22"/>
        </w:rPr>
      </w:pPr>
      <w:r w:rsidRPr="0041039A">
        <w:rPr>
          <w:rFonts w:ascii="Arial" w:hAnsi="Arial"/>
          <w:b/>
          <w:caps/>
          <w:sz w:val="22"/>
          <w:szCs w:val="22"/>
        </w:rPr>
        <w:t>Sample volumes and profiles</w:t>
      </w:r>
    </w:p>
    <w:p w:rsidR="0041039A" w:rsidRPr="0041039A" w:rsidRDefault="0041039A" w:rsidP="00365C54">
      <w:pPr>
        <w:keepNext/>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outlineLvl w:val="6"/>
      </w:pPr>
      <w:r w:rsidRPr="0041039A">
        <w:rPr>
          <w:rFonts w:ascii="Arial" w:hAnsi="Arial"/>
          <w:sz w:val="22"/>
          <w:szCs w:val="22"/>
        </w:rPr>
        <w:t>The laboratory offers several test profiles. Their basic constituent tests are:</w:t>
      </w:r>
    </w:p>
    <w:p w:rsidR="0041039A" w:rsidRPr="0041039A" w:rsidRDefault="0041039A" w:rsidP="00FD56FE">
      <w:pPr>
        <w:keepNext/>
        <w:numPr>
          <w:ilvl w:val="0"/>
          <w:numId w:val="71"/>
        </w:num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outlineLvl w:val="6"/>
        <w:rPr>
          <w:rFonts w:ascii="Arial" w:hAnsi="Arial" w:cs="Arial"/>
          <w:sz w:val="22"/>
          <w:szCs w:val="22"/>
        </w:rPr>
      </w:pPr>
      <w:r w:rsidRPr="0041039A">
        <w:rPr>
          <w:rFonts w:ascii="Arial" w:hAnsi="Arial" w:cs="Arial"/>
          <w:b/>
          <w:sz w:val="22"/>
          <w:szCs w:val="22"/>
        </w:rPr>
        <w:t>Electrolytes and creatinine (ECR);</w:t>
      </w:r>
      <w:r w:rsidRPr="0041039A">
        <w:rPr>
          <w:rFonts w:ascii="Arial" w:hAnsi="Arial" w:cs="Arial"/>
          <w:sz w:val="22"/>
          <w:szCs w:val="22"/>
        </w:rPr>
        <w:t xml:space="preserve"> sodium, potassium, creatinine</w:t>
      </w:r>
    </w:p>
    <w:p w:rsidR="0041039A" w:rsidRPr="0041039A" w:rsidRDefault="0041039A" w:rsidP="00FD56FE">
      <w:pPr>
        <w:keepNext/>
        <w:numPr>
          <w:ilvl w:val="0"/>
          <w:numId w:val="71"/>
        </w:num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outlineLvl w:val="6"/>
        <w:rPr>
          <w:rFonts w:ascii="Arial" w:hAnsi="Arial" w:cs="Arial"/>
          <w:sz w:val="22"/>
          <w:szCs w:val="22"/>
        </w:rPr>
      </w:pPr>
      <w:r w:rsidRPr="0041039A">
        <w:rPr>
          <w:rFonts w:ascii="Arial" w:hAnsi="Arial" w:cs="Arial"/>
          <w:b/>
          <w:sz w:val="22"/>
          <w:szCs w:val="22"/>
        </w:rPr>
        <w:t>Liver function test (LFT);</w:t>
      </w:r>
      <w:r w:rsidRPr="0041039A">
        <w:rPr>
          <w:rFonts w:ascii="Arial" w:hAnsi="Arial" w:cs="Arial"/>
          <w:sz w:val="22"/>
          <w:szCs w:val="22"/>
        </w:rPr>
        <w:t xml:space="preserve"> total bilirubin, albumin, alanine transaminase, alkaline phosphatase</w:t>
      </w:r>
    </w:p>
    <w:p w:rsidR="0041039A" w:rsidRPr="0041039A" w:rsidRDefault="0041039A" w:rsidP="00FD56FE">
      <w:pPr>
        <w:numPr>
          <w:ilvl w:val="0"/>
          <w:numId w:val="71"/>
        </w:numPr>
        <w:spacing w:line="360" w:lineRule="auto"/>
        <w:contextualSpacing/>
        <w:jc w:val="both"/>
        <w:rPr>
          <w:rFonts w:ascii="Arial" w:hAnsi="Arial" w:cs="Arial"/>
          <w:sz w:val="22"/>
          <w:szCs w:val="22"/>
        </w:rPr>
      </w:pPr>
      <w:r w:rsidRPr="0041039A">
        <w:rPr>
          <w:rFonts w:ascii="Arial" w:hAnsi="Arial" w:cs="Arial"/>
          <w:b/>
          <w:sz w:val="22"/>
          <w:szCs w:val="22"/>
        </w:rPr>
        <w:t xml:space="preserve">Lipid profile; </w:t>
      </w:r>
      <w:r w:rsidRPr="0041039A">
        <w:rPr>
          <w:rFonts w:ascii="Arial" w:hAnsi="Arial" w:cs="Arial"/>
          <w:sz w:val="22"/>
          <w:szCs w:val="22"/>
        </w:rPr>
        <w:t>total cholesterol, HDL-cholesterol, LDL-cholesterol (calculated), non HDL cholesterol (calculated), triglyceride</w:t>
      </w:r>
    </w:p>
    <w:p w:rsidR="0041039A" w:rsidRPr="0041039A" w:rsidRDefault="0041039A" w:rsidP="00FD56FE">
      <w:pPr>
        <w:keepNext/>
        <w:numPr>
          <w:ilvl w:val="0"/>
          <w:numId w:val="71"/>
        </w:num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outlineLvl w:val="6"/>
        <w:rPr>
          <w:rFonts w:ascii="Arial" w:hAnsi="Arial" w:cs="Arial"/>
          <w:sz w:val="22"/>
          <w:szCs w:val="22"/>
        </w:rPr>
      </w:pPr>
      <w:r w:rsidRPr="0041039A">
        <w:rPr>
          <w:rFonts w:ascii="Arial" w:hAnsi="Arial" w:cs="Arial"/>
          <w:b/>
          <w:sz w:val="22"/>
          <w:szCs w:val="22"/>
        </w:rPr>
        <w:t>Thyroid function test (TFT):</w:t>
      </w:r>
      <w:r w:rsidRPr="0041039A">
        <w:rPr>
          <w:rFonts w:ascii="Arial" w:hAnsi="Arial" w:cs="Arial"/>
          <w:sz w:val="22"/>
          <w:szCs w:val="22"/>
        </w:rPr>
        <w:t xml:space="preserve"> thyroid stimulating hormone (TSH), free thyroxine (FT4)</w:t>
      </w:r>
    </w:p>
    <w:p w:rsidR="0041039A" w:rsidRPr="0041039A" w:rsidRDefault="0041039A" w:rsidP="00365C54">
      <w:pPr>
        <w:keepNext/>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outlineLvl w:val="6"/>
        <w:rPr>
          <w:rFonts w:ascii="Arial" w:hAnsi="Arial" w:cs="Arial"/>
          <w:sz w:val="22"/>
          <w:szCs w:val="22"/>
        </w:rPr>
      </w:pPr>
    </w:p>
    <w:p w:rsidR="0041039A" w:rsidRPr="0041039A" w:rsidRDefault="0041039A" w:rsidP="00365C54">
      <w:pPr>
        <w:keepNext/>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outlineLvl w:val="6"/>
        <w:rPr>
          <w:rFonts w:ascii="Arial" w:hAnsi="Arial" w:cs="Arial"/>
          <w:sz w:val="22"/>
          <w:szCs w:val="22"/>
        </w:rPr>
      </w:pPr>
      <w:r w:rsidRPr="0041039A">
        <w:rPr>
          <w:rFonts w:ascii="Arial" w:hAnsi="Arial" w:cs="Arial"/>
          <w:sz w:val="22"/>
          <w:szCs w:val="22"/>
        </w:rPr>
        <w:t>No other profiles are in use – please always specify in other cases exactly which tests you require. The laboratory will always undertake to do as many of the requested tests as possible on the sample provided. In general, all of the above tests can be done upon receipt of a single filled 4 mL gel separator tube. Some more specialised tests, in particular those which we send to referral laboratories, may require larger sample volumes. Please contact the laboratory to discuss sample requirements for specialised tests.</w:t>
      </w:r>
    </w:p>
    <w:p w:rsidR="0041039A" w:rsidRPr="0041039A" w:rsidRDefault="0041039A" w:rsidP="00365C54">
      <w:pPr>
        <w:spacing w:line="360" w:lineRule="auto"/>
        <w:contextualSpacing/>
        <w:jc w:val="both"/>
      </w:pPr>
    </w:p>
    <w:p w:rsidR="0041039A" w:rsidRPr="00365C54" w:rsidRDefault="0041039A" w:rsidP="00365C54">
      <w:pPr>
        <w:keepNext/>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outlineLvl w:val="6"/>
        <w:rPr>
          <w:rFonts w:ascii="Arial" w:hAnsi="Arial"/>
          <w:b/>
          <w:kern w:val="28"/>
          <w:sz w:val="28"/>
          <w:highlight w:val="yellow"/>
        </w:rPr>
      </w:pPr>
      <w:r w:rsidRPr="0041039A">
        <w:rPr>
          <w:rFonts w:ascii="Arial" w:hAnsi="Arial" w:cs="Arial"/>
          <w:b/>
          <w:sz w:val="22"/>
          <w:szCs w:val="22"/>
        </w:rPr>
        <w:t xml:space="preserve">Some tests require special attention and must be delivered to the laboratory in a specific timeframe or under certain conditions. Please pay attention to any messages displayed in Sunrise or DartOCM. Detailed information can be obtained from laboratory upon request, or can be found in BIO NO 026. </w:t>
      </w:r>
    </w:p>
    <w:p w:rsidR="0041039A" w:rsidRPr="0041039A" w:rsidRDefault="0041039A" w:rsidP="0041039A">
      <w:pPr>
        <w:keepNext/>
        <w:numPr>
          <w:ilvl w:val="0"/>
          <w:numId w:val="44"/>
        </w:numPr>
        <w:spacing w:before="240" w:after="60"/>
        <w:outlineLvl w:val="0"/>
        <w:rPr>
          <w:rFonts w:ascii="Arial" w:hAnsi="Arial"/>
          <w:b/>
          <w:kern w:val="28"/>
          <w:sz w:val="28"/>
        </w:rPr>
      </w:pPr>
      <w:r w:rsidRPr="0041039A">
        <w:rPr>
          <w:rFonts w:ascii="Arial" w:hAnsi="Arial"/>
          <w:b/>
          <w:kern w:val="28"/>
          <w:sz w:val="28"/>
        </w:rPr>
        <w:t>URGENT AND OUT OF HOURS REQUESTS</w:t>
      </w:r>
    </w:p>
    <w:p w:rsidR="0041039A" w:rsidRPr="0041039A" w:rsidRDefault="0041039A" w:rsidP="00D8441A">
      <w:pPr>
        <w:widowControl/>
        <w:numPr>
          <w:ilvl w:val="0"/>
          <w:numId w:val="69"/>
        </w:numPr>
        <w:spacing w:line="360" w:lineRule="auto"/>
        <w:contextualSpacing/>
        <w:jc w:val="both"/>
        <w:rPr>
          <w:rFonts w:ascii="Arial" w:hAnsi="Arial" w:cs="Arial"/>
          <w:sz w:val="22"/>
          <w:szCs w:val="22"/>
        </w:rPr>
      </w:pPr>
      <w:r w:rsidRPr="0041039A">
        <w:rPr>
          <w:rFonts w:ascii="Arial" w:hAnsi="Arial" w:cs="Arial"/>
          <w:sz w:val="22"/>
          <w:szCs w:val="22"/>
        </w:rPr>
        <w:t xml:space="preserve">Please request tests to be performed urgently only when it is clinically essential. </w:t>
      </w:r>
    </w:p>
    <w:p w:rsidR="0041039A" w:rsidRDefault="0041039A" w:rsidP="00D8441A">
      <w:pPr>
        <w:widowControl/>
        <w:numPr>
          <w:ilvl w:val="0"/>
          <w:numId w:val="69"/>
        </w:numPr>
        <w:spacing w:line="360" w:lineRule="auto"/>
        <w:contextualSpacing/>
        <w:jc w:val="both"/>
        <w:rPr>
          <w:rFonts w:ascii="Arial" w:hAnsi="Arial" w:cs="Arial"/>
          <w:sz w:val="22"/>
          <w:szCs w:val="22"/>
        </w:rPr>
      </w:pPr>
      <w:r w:rsidRPr="0041039A">
        <w:rPr>
          <w:rFonts w:ascii="Arial" w:hAnsi="Arial" w:cs="Arial"/>
          <w:sz w:val="22"/>
          <w:szCs w:val="22"/>
        </w:rPr>
        <w:t>All of our work is processed rapidly and the results are available in a timely manner. The agreed non-   urgent turnaround times for each test are published within this user guide (see section 22).</w:t>
      </w:r>
    </w:p>
    <w:p w:rsidR="00ED16BB" w:rsidRPr="0041039A" w:rsidRDefault="00ED16BB" w:rsidP="00ED16BB">
      <w:pPr>
        <w:widowControl/>
        <w:spacing w:line="360" w:lineRule="auto"/>
        <w:ind w:left="720"/>
        <w:contextualSpacing/>
        <w:jc w:val="both"/>
        <w:rPr>
          <w:rFonts w:ascii="Arial" w:hAnsi="Arial" w:cs="Arial"/>
          <w:sz w:val="22"/>
          <w:szCs w:val="22"/>
        </w:rPr>
      </w:pPr>
    </w:p>
    <w:p w:rsidR="0041039A" w:rsidRDefault="0041039A" w:rsidP="00D8441A">
      <w:pPr>
        <w:widowControl/>
        <w:autoSpaceDE w:val="0"/>
        <w:autoSpaceDN w:val="0"/>
        <w:adjustRightInd w:val="0"/>
        <w:spacing w:line="360" w:lineRule="auto"/>
        <w:contextualSpacing/>
        <w:jc w:val="both"/>
        <w:rPr>
          <w:rFonts w:ascii="Arial" w:hAnsi="Arial" w:cs="Arial"/>
          <w:bCs/>
          <w:snapToGrid/>
          <w:sz w:val="22"/>
          <w:lang w:eastAsia="en-GB"/>
        </w:rPr>
      </w:pPr>
      <w:r w:rsidRPr="0041039A">
        <w:rPr>
          <w:rFonts w:ascii="Arial" w:hAnsi="Arial" w:cs="Arial"/>
          <w:bCs/>
          <w:snapToGrid/>
          <w:sz w:val="22"/>
          <w:lang w:eastAsia="en-GB"/>
        </w:rPr>
        <w:t>Urgent requests from primary care should be clearly marked "URGENT", placed in the designated   large, zip-topped plastic envelopes &amp; then either placed in the blue transport boxes or given to the driver to be placed in the yellow transport box that is in the van. These samples will be given priority on arrival in the laboratory.</w:t>
      </w:r>
    </w:p>
    <w:p w:rsidR="00D8441A" w:rsidRPr="0041039A" w:rsidRDefault="00D8441A" w:rsidP="00D8441A">
      <w:pPr>
        <w:widowControl/>
        <w:autoSpaceDE w:val="0"/>
        <w:autoSpaceDN w:val="0"/>
        <w:adjustRightInd w:val="0"/>
        <w:spacing w:line="360" w:lineRule="auto"/>
        <w:contextualSpacing/>
        <w:jc w:val="both"/>
        <w:rPr>
          <w:rFonts w:ascii="Arial" w:hAnsi="Arial" w:cs="Arial"/>
          <w:bCs/>
          <w:snapToGrid/>
          <w:sz w:val="22"/>
          <w:lang w:eastAsia="en-GB"/>
        </w:rPr>
      </w:pPr>
    </w:p>
    <w:p w:rsidR="0041039A" w:rsidRPr="0041039A" w:rsidRDefault="0041039A" w:rsidP="00D8441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cs="Arial"/>
          <w:snapToGrid/>
          <w:sz w:val="22"/>
          <w:szCs w:val="22"/>
          <w:lang w:eastAsia="en-GB"/>
        </w:rPr>
      </w:pPr>
      <w:r w:rsidRPr="0041039A">
        <w:rPr>
          <w:rFonts w:ascii="Arial" w:hAnsi="Arial"/>
          <w:sz w:val="22"/>
          <w:szCs w:val="22"/>
        </w:rPr>
        <w:t>Outside of the core laboratory hours and on public holidays an urgent clinical biochemistry service operates.</w:t>
      </w:r>
      <w:r w:rsidRPr="0041039A">
        <w:rPr>
          <w:rFonts w:ascii="Arial" w:hAnsi="Arial"/>
          <w:b/>
          <w:sz w:val="22"/>
          <w:szCs w:val="22"/>
        </w:rPr>
        <w:t xml:space="preserve"> </w:t>
      </w:r>
      <w:r w:rsidRPr="0041039A">
        <w:rPr>
          <w:rFonts w:ascii="Arial" w:hAnsi="Arial"/>
          <w:sz w:val="22"/>
          <w:szCs w:val="22"/>
        </w:rPr>
        <w:t>The following repertoire of tests (blood tests unless stated otherwise) is available: however,</w:t>
      </w:r>
      <w:r w:rsidRPr="0041039A">
        <w:rPr>
          <w:rFonts w:ascii="Arial" w:hAnsi="Arial"/>
          <w:b/>
          <w:sz w:val="22"/>
          <w:szCs w:val="22"/>
        </w:rPr>
        <w:t xml:space="preserve"> tests should only be requested when there is an urgent clinical need and the result is going to make an immediate difference to the management/treatment of the patient</w:t>
      </w:r>
      <w:r w:rsidRPr="0041039A">
        <w:rPr>
          <w:rFonts w:ascii="Arial" w:hAnsi="Arial"/>
          <w:sz w:val="22"/>
          <w:szCs w:val="22"/>
        </w:rPr>
        <w:t xml:space="preserve">. Other tests may be available following approval. Clinical advice is always available by contacting the on call clinical biochemist via switchboard. </w:t>
      </w:r>
    </w:p>
    <w:p w:rsidR="0041039A" w:rsidRPr="0041039A" w:rsidRDefault="0041039A" w:rsidP="00D8441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0"/>
        </w:rPr>
      </w:pPr>
    </w:p>
    <w:p w:rsidR="0041039A" w:rsidRDefault="0041039A" w:rsidP="0041039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szCs w:val="22"/>
        </w:rPr>
      </w:pPr>
      <w:r w:rsidRPr="0041039A">
        <w:rPr>
          <w:rFonts w:ascii="Arial" w:hAnsi="Arial"/>
          <w:sz w:val="22"/>
          <w:szCs w:val="22"/>
        </w:rPr>
        <w:t>Results are generally available via computer terminals on all wards. Laboratory staff should not be routinely telephoned for results.</w:t>
      </w:r>
    </w:p>
    <w:p w:rsidR="00F214CF" w:rsidRDefault="00F214CF" w:rsidP="0041039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sz w:val="22"/>
          <w:szCs w:val="22"/>
        </w:rPr>
      </w:pPr>
    </w:p>
    <w:tbl>
      <w:tblPr>
        <w:tblStyle w:val="GridTable1Light-Accent1"/>
        <w:tblW w:w="8930" w:type="dxa"/>
        <w:tblLook w:val="04A0" w:firstRow="1" w:lastRow="0" w:firstColumn="1" w:lastColumn="0" w:noHBand="0" w:noVBand="1"/>
        <w:tblCaption w:val="table of test "/>
      </w:tblPr>
      <w:tblGrid>
        <w:gridCol w:w="4229"/>
        <w:gridCol w:w="4701"/>
      </w:tblGrid>
      <w:tr w:rsidR="00F214CF" w:rsidRPr="0041039A" w:rsidTr="00F214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sz w:val="22"/>
                <w:szCs w:val="22"/>
              </w:rPr>
            </w:pPr>
            <w:r w:rsidRPr="00F214CF">
              <w:rPr>
                <w:rFonts w:ascii="Arial" w:hAnsi="Arial" w:cs="Arial"/>
                <w:sz w:val="22"/>
                <w:szCs w:val="22"/>
              </w:rPr>
              <w:t>General biochemistry</w:t>
            </w:r>
          </w:p>
        </w:tc>
        <w:tc>
          <w:tcPr>
            <w:tcW w:w="4701" w:type="dxa"/>
          </w:tcPr>
          <w:p w:rsidR="00F214CF" w:rsidRPr="00F214CF" w:rsidRDefault="00F214CF" w:rsidP="00F214CF">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F214CF">
              <w:rPr>
                <w:rFonts w:ascii="Arial" w:hAnsi="Arial" w:cs="Arial"/>
                <w:sz w:val="22"/>
                <w:szCs w:val="22"/>
              </w:rPr>
              <w:t>Suspected toxicity</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Albumin</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39A">
              <w:rPr>
                <w:rFonts w:ascii="Arial" w:hAnsi="Arial" w:cs="Arial"/>
                <w:sz w:val="22"/>
                <w:szCs w:val="22"/>
              </w:rPr>
              <w:t>Valproate</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Alkaline phosphatase</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39A">
              <w:rPr>
                <w:rFonts w:ascii="Arial" w:hAnsi="Arial" w:cs="Arial"/>
                <w:sz w:val="22"/>
                <w:szCs w:val="22"/>
              </w:rPr>
              <w:t>Theophylline</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Ammonia</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39A">
              <w:rPr>
                <w:rFonts w:ascii="Arial" w:hAnsi="Arial" w:cs="Arial"/>
                <w:sz w:val="22"/>
                <w:szCs w:val="22"/>
              </w:rPr>
              <w:t>Salicylate</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Amylase</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39A">
              <w:rPr>
                <w:rFonts w:ascii="Arial" w:hAnsi="Arial" w:cs="Arial"/>
                <w:sz w:val="22"/>
                <w:szCs w:val="22"/>
              </w:rPr>
              <w:t>Phenytoin</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AST</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39A">
              <w:rPr>
                <w:rFonts w:ascii="Arial" w:hAnsi="Arial" w:cs="Arial"/>
                <w:sz w:val="22"/>
                <w:szCs w:val="22"/>
              </w:rPr>
              <w:t>Paracetamol ( &gt; 4 hours post overdose</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ALT</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39A">
              <w:rPr>
                <w:rFonts w:ascii="Arial" w:hAnsi="Arial" w:cs="Arial"/>
                <w:sz w:val="22"/>
                <w:szCs w:val="22"/>
              </w:rPr>
              <w:t>Lithium</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Bilirubin</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39A">
              <w:rPr>
                <w:rFonts w:ascii="Arial" w:hAnsi="Arial" w:cs="Arial"/>
                <w:sz w:val="22"/>
                <w:szCs w:val="22"/>
              </w:rPr>
              <w:t>Iron</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Carboxyhaemoglobin (use ward based blood gas instruments)</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39A">
              <w:rPr>
                <w:rFonts w:ascii="Arial" w:hAnsi="Arial" w:cs="Arial"/>
                <w:sz w:val="22"/>
                <w:szCs w:val="22"/>
              </w:rPr>
              <w:t>Ethanol</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Chloride</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39A">
              <w:rPr>
                <w:rFonts w:ascii="Arial" w:hAnsi="Arial" w:cs="Arial"/>
                <w:sz w:val="22"/>
                <w:szCs w:val="22"/>
              </w:rPr>
              <w:t>Digoxin</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CRP</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39A">
              <w:rPr>
                <w:rFonts w:ascii="Arial" w:hAnsi="Arial" w:cs="Arial"/>
                <w:sz w:val="22"/>
                <w:szCs w:val="22"/>
              </w:rPr>
              <w:t>Carbamazepine (following requesting consultant and duty biochemist discussion)</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Creatine kinase (CK)</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Creatinine</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Glucose</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39A">
              <w:rPr>
                <w:rFonts w:ascii="Arial" w:hAnsi="Arial" w:cs="Arial"/>
                <w:b/>
                <w:sz w:val="22"/>
                <w:szCs w:val="22"/>
              </w:rPr>
              <w:t>Urine</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HCG (according to protocol)</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41039A">
              <w:rPr>
                <w:rFonts w:ascii="Arial" w:hAnsi="Arial" w:cs="Arial"/>
                <w:sz w:val="22"/>
                <w:szCs w:val="22"/>
              </w:rPr>
              <w:t>Sodium</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Lactate</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39A">
              <w:rPr>
                <w:rFonts w:ascii="Arial" w:hAnsi="Arial" w:cs="Arial"/>
                <w:sz w:val="22"/>
                <w:szCs w:val="22"/>
              </w:rPr>
              <w:t>Potassium</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Magnesium</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39A">
              <w:rPr>
                <w:rFonts w:ascii="Arial" w:hAnsi="Arial" w:cs="Arial"/>
                <w:sz w:val="22"/>
                <w:szCs w:val="22"/>
              </w:rPr>
              <w:t>Osmolality</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Osmolality</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Phosphate</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39A">
              <w:rPr>
                <w:rFonts w:ascii="Arial" w:hAnsi="Arial" w:cs="Arial"/>
                <w:b/>
                <w:sz w:val="22"/>
                <w:szCs w:val="22"/>
              </w:rPr>
              <w:t>CSF</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Potassium</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41039A">
              <w:rPr>
                <w:rFonts w:ascii="Arial" w:hAnsi="Arial" w:cs="Arial"/>
                <w:sz w:val="22"/>
                <w:szCs w:val="22"/>
              </w:rPr>
              <w:t>Glucose</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Sodium</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039A">
              <w:rPr>
                <w:rFonts w:ascii="Arial" w:hAnsi="Arial" w:cs="Arial"/>
                <w:sz w:val="22"/>
                <w:szCs w:val="22"/>
              </w:rPr>
              <w:t>Total protein</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Total protein</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 xml:space="preserve">Troponin </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Urate (pre-eclampsia)</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229" w:type="dxa"/>
          </w:tcPr>
          <w:p w:rsidR="00F214CF" w:rsidRPr="00F214CF" w:rsidRDefault="00F214CF" w:rsidP="00F214CF">
            <w:pPr>
              <w:rPr>
                <w:rFonts w:ascii="Arial" w:hAnsi="Arial" w:cs="Arial"/>
                <w:b w:val="0"/>
                <w:sz w:val="22"/>
                <w:szCs w:val="22"/>
              </w:rPr>
            </w:pPr>
            <w:r w:rsidRPr="00F214CF">
              <w:rPr>
                <w:rFonts w:ascii="Arial" w:hAnsi="Arial" w:cs="Arial"/>
                <w:b w:val="0"/>
                <w:sz w:val="22"/>
                <w:szCs w:val="22"/>
              </w:rPr>
              <w:t>Urea</w:t>
            </w:r>
          </w:p>
        </w:tc>
        <w:tc>
          <w:tcPr>
            <w:tcW w:w="4701" w:type="dxa"/>
          </w:tcPr>
          <w:p w:rsidR="00F214CF" w:rsidRPr="0041039A" w:rsidRDefault="00F214CF" w:rsidP="00F214C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rsidR="00FE63BE" w:rsidRDefault="00FE63BE" w:rsidP="00FE63BE">
      <w:pPr>
        <w:widowControl/>
        <w:spacing w:after="160" w:line="259" w:lineRule="auto"/>
        <w:rPr>
          <w:rFonts w:ascii="Calibri" w:eastAsia="Calibri" w:hAnsi="Calibri"/>
          <w:snapToGrid/>
          <w:sz w:val="22"/>
          <w:szCs w:val="22"/>
        </w:rPr>
      </w:pPr>
    </w:p>
    <w:p w:rsidR="0041039A" w:rsidRPr="0041039A" w:rsidRDefault="00915AB3" w:rsidP="00D545C8">
      <w:pPr>
        <w:widowControl/>
        <w:autoSpaceDE w:val="0"/>
        <w:autoSpaceDN w:val="0"/>
        <w:adjustRightInd w:val="0"/>
        <w:spacing w:line="233" w:lineRule="atLeast"/>
        <w:jc w:val="both"/>
        <w:rPr>
          <w:rFonts w:ascii="Arial" w:hAnsi="Arial" w:cs="Arial"/>
          <w:sz w:val="22"/>
          <w:szCs w:val="22"/>
        </w:rPr>
      </w:pPr>
      <w:r>
        <w:rPr>
          <w:rFonts w:ascii="Arial" w:hAnsi="Arial" w:cs="Arial"/>
          <w:sz w:val="22"/>
          <w:szCs w:val="22"/>
        </w:rPr>
        <w:t xml:space="preserve">      </w:t>
      </w:r>
    </w:p>
    <w:p w:rsidR="0041039A" w:rsidRPr="00D8441A" w:rsidRDefault="0041039A" w:rsidP="00D8441A">
      <w:pPr>
        <w:keepNext/>
        <w:numPr>
          <w:ilvl w:val="0"/>
          <w:numId w:val="44"/>
        </w:numPr>
        <w:spacing w:before="240" w:after="60"/>
        <w:outlineLvl w:val="0"/>
        <w:rPr>
          <w:rFonts w:ascii="Arial" w:hAnsi="Arial" w:cs="Arial"/>
        </w:rPr>
      </w:pPr>
      <w:r w:rsidRPr="0041039A">
        <w:rPr>
          <w:rFonts w:ascii="Arial" w:hAnsi="Arial"/>
          <w:b/>
          <w:kern w:val="28"/>
          <w:sz w:val="28"/>
        </w:rPr>
        <w:t>TESTS THAT CANNOT BE COLLECTED AT THE GP SURGERY</w:t>
      </w:r>
    </w:p>
    <w:p w:rsidR="0041039A" w:rsidRPr="0041039A" w:rsidRDefault="0041039A" w:rsidP="00791728">
      <w:pPr>
        <w:spacing w:line="360" w:lineRule="auto"/>
        <w:contextualSpacing/>
        <w:jc w:val="both"/>
        <w:rPr>
          <w:rFonts w:ascii="Arial" w:hAnsi="Arial" w:cs="Arial"/>
          <w:sz w:val="22"/>
          <w:szCs w:val="22"/>
        </w:rPr>
      </w:pPr>
      <w:r w:rsidRPr="0041039A">
        <w:rPr>
          <w:rFonts w:ascii="Arial" w:hAnsi="Arial" w:cs="Arial"/>
          <w:sz w:val="22"/>
          <w:szCs w:val="22"/>
        </w:rPr>
        <w:t>There are certain tests that are unsuitable for collection outside the hospital setting. Often these are tests requested by a secondary care physician. There are several reasons for this including:</w:t>
      </w:r>
    </w:p>
    <w:p w:rsidR="0041039A" w:rsidRPr="0041039A" w:rsidRDefault="0041039A" w:rsidP="00791728">
      <w:pPr>
        <w:numPr>
          <w:ilvl w:val="0"/>
          <w:numId w:val="48"/>
        </w:numPr>
        <w:spacing w:line="360" w:lineRule="auto"/>
        <w:contextualSpacing/>
        <w:jc w:val="both"/>
        <w:rPr>
          <w:rFonts w:ascii="Arial" w:hAnsi="Arial" w:cs="Arial"/>
          <w:sz w:val="22"/>
          <w:szCs w:val="22"/>
        </w:rPr>
      </w:pPr>
      <w:r w:rsidRPr="0041039A">
        <w:rPr>
          <w:rFonts w:ascii="Arial" w:hAnsi="Arial" w:cs="Arial"/>
          <w:sz w:val="22"/>
          <w:szCs w:val="22"/>
        </w:rPr>
        <w:t xml:space="preserve">the sample is unstable and must reach the laboratory quickly </w:t>
      </w:r>
    </w:p>
    <w:p w:rsidR="0041039A" w:rsidRPr="0041039A" w:rsidRDefault="0041039A" w:rsidP="00791728">
      <w:pPr>
        <w:numPr>
          <w:ilvl w:val="0"/>
          <w:numId w:val="48"/>
        </w:numPr>
        <w:spacing w:line="360" w:lineRule="auto"/>
        <w:contextualSpacing/>
        <w:jc w:val="both"/>
        <w:rPr>
          <w:rFonts w:ascii="Arial" w:hAnsi="Arial" w:cs="Arial"/>
          <w:sz w:val="22"/>
          <w:szCs w:val="22"/>
        </w:rPr>
      </w:pPr>
      <w:r w:rsidRPr="0041039A">
        <w:rPr>
          <w:rFonts w:ascii="Arial" w:hAnsi="Arial" w:cs="Arial"/>
          <w:sz w:val="22"/>
          <w:szCs w:val="22"/>
        </w:rPr>
        <w:t>there are funding restrictions around the use of the test</w:t>
      </w:r>
    </w:p>
    <w:p w:rsidR="0041039A" w:rsidRPr="0041039A" w:rsidRDefault="0041039A" w:rsidP="00791728">
      <w:pPr>
        <w:numPr>
          <w:ilvl w:val="0"/>
          <w:numId w:val="48"/>
        </w:numPr>
        <w:spacing w:line="360" w:lineRule="auto"/>
        <w:contextualSpacing/>
        <w:jc w:val="both"/>
        <w:rPr>
          <w:rFonts w:ascii="Arial" w:hAnsi="Arial" w:cs="Arial"/>
          <w:sz w:val="22"/>
          <w:szCs w:val="22"/>
        </w:rPr>
      </w:pPr>
      <w:r w:rsidRPr="0041039A">
        <w:rPr>
          <w:rFonts w:ascii="Arial" w:hAnsi="Arial" w:cs="Arial"/>
          <w:sz w:val="22"/>
          <w:szCs w:val="22"/>
        </w:rPr>
        <w:t>testing will only be carried out following prior discussion with the laboratory</w:t>
      </w:r>
    </w:p>
    <w:p w:rsidR="0041039A" w:rsidRPr="0041039A" w:rsidRDefault="0041039A" w:rsidP="00791728">
      <w:pPr>
        <w:spacing w:line="360" w:lineRule="auto"/>
        <w:contextualSpacing/>
        <w:jc w:val="both"/>
        <w:rPr>
          <w:rFonts w:ascii="Arial" w:hAnsi="Arial" w:cs="Arial"/>
          <w:sz w:val="22"/>
          <w:szCs w:val="22"/>
        </w:rPr>
      </w:pPr>
    </w:p>
    <w:p w:rsidR="0041039A" w:rsidRDefault="0041039A" w:rsidP="00791728">
      <w:pPr>
        <w:spacing w:line="360" w:lineRule="auto"/>
        <w:contextualSpacing/>
        <w:jc w:val="both"/>
        <w:rPr>
          <w:rFonts w:ascii="Arial" w:hAnsi="Arial" w:cs="Arial"/>
          <w:sz w:val="22"/>
          <w:szCs w:val="22"/>
        </w:rPr>
      </w:pPr>
      <w:r w:rsidRPr="0041039A">
        <w:rPr>
          <w:rFonts w:ascii="Arial" w:hAnsi="Arial" w:cs="Arial"/>
          <w:sz w:val="22"/>
          <w:szCs w:val="22"/>
        </w:rPr>
        <w:t xml:space="preserve">Samples that cannot be tested will be rejected which frustrates doctors and any repeat testing worries </w:t>
      </w:r>
      <w:r w:rsidR="00F214CF">
        <w:rPr>
          <w:rFonts w:ascii="Arial" w:hAnsi="Arial" w:cs="Arial"/>
          <w:sz w:val="22"/>
          <w:szCs w:val="22"/>
        </w:rPr>
        <w:t>patients. Please share the table</w:t>
      </w:r>
      <w:r w:rsidRPr="0041039A">
        <w:rPr>
          <w:rFonts w:ascii="Arial" w:hAnsi="Arial" w:cs="Arial"/>
          <w:sz w:val="22"/>
          <w:szCs w:val="22"/>
        </w:rPr>
        <w:t xml:space="preserve"> below with your practice phlebotomists so that we can reduce unnecessary repeat testing and worry.</w:t>
      </w:r>
    </w:p>
    <w:p w:rsidR="00F214CF" w:rsidRDefault="00F214CF" w:rsidP="00791728">
      <w:pPr>
        <w:spacing w:line="360" w:lineRule="auto"/>
        <w:contextualSpacing/>
        <w:jc w:val="both"/>
        <w:rPr>
          <w:rFonts w:ascii="Arial" w:hAnsi="Arial" w:cs="Arial"/>
          <w:sz w:val="22"/>
          <w:szCs w:val="22"/>
        </w:rPr>
      </w:pPr>
    </w:p>
    <w:tbl>
      <w:tblPr>
        <w:tblStyle w:val="GridTable1Light-Accent1"/>
        <w:tblW w:w="0" w:type="auto"/>
        <w:tblLook w:val="01E0" w:firstRow="1" w:lastRow="1" w:firstColumn="1" w:lastColumn="1" w:noHBand="0" w:noVBand="0"/>
        <w:tblCaption w:val="reasons for test unavailability "/>
      </w:tblPr>
      <w:tblGrid>
        <w:gridCol w:w="4953"/>
        <w:gridCol w:w="4560"/>
      </w:tblGrid>
      <w:tr w:rsidR="00F214CF" w:rsidRPr="0041039A" w:rsidTr="00F214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53" w:type="dxa"/>
          </w:tcPr>
          <w:p w:rsidR="00F214CF" w:rsidRPr="00F214CF" w:rsidRDefault="00F214CF" w:rsidP="00F214CF">
            <w:pPr>
              <w:jc w:val="center"/>
              <w:rPr>
                <w:rFonts w:ascii="Arial" w:hAnsi="Arial" w:cs="Arial"/>
                <w:sz w:val="22"/>
                <w:szCs w:val="22"/>
              </w:rPr>
            </w:pPr>
            <w:r w:rsidRPr="00F214CF">
              <w:rPr>
                <w:rFonts w:ascii="Arial" w:hAnsi="Arial" w:cs="Arial"/>
                <w:sz w:val="22"/>
                <w:szCs w:val="22"/>
              </w:rPr>
              <w:t>Tests</w:t>
            </w:r>
          </w:p>
        </w:tc>
        <w:tc>
          <w:tcPr>
            <w:cnfStyle w:val="000100000000" w:firstRow="0" w:lastRow="0" w:firstColumn="0" w:lastColumn="1" w:oddVBand="0" w:evenVBand="0" w:oddHBand="0" w:evenHBand="0" w:firstRowFirstColumn="0" w:firstRowLastColumn="0" w:lastRowFirstColumn="0" w:lastRowLastColumn="0"/>
            <w:tcW w:w="4560" w:type="dxa"/>
          </w:tcPr>
          <w:p w:rsidR="00F214CF" w:rsidRPr="00F214CF" w:rsidRDefault="00F214CF" w:rsidP="00F214CF">
            <w:pPr>
              <w:jc w:val="center"/>
              <w:rPr>
                <w:rFonts w:ascii="Arial" w:hAnsi="Arial" w:cs="Arial"/>
                <w:sz w:val="22"/>
                <w:szCs w:val="22"/>
              </w:rPr>
            </w:pPr>
            <w:r w:rsidRPr="00F214CF">
              <w:rPr>
                <w:rFonts w:ascii="Arial" w:hAnsi="Arial" w:cs="Arial"/>
                <w:sz w:val="22"/>
                <w:szCs w:val="22"/>
              </w:rPr>
              <w:t>Reason for unavailability</w:t>
            </w:r>
          </w:p>
          <w:p w:rsidR="00F214CF" w:rsidRPr="00F214CF" w:rsidRDefault="00F214CF" w:rsidP="00F214CF">
            <w:pPr>
              <w:jc w:val="center"/>
              <w:rPr>
                <w:rFonts w:ascii="Arial" w:hAnsi="Arial" w:cs="Arial"/>
                <w:sz w:val="22"/>
                <w:szCs w:val="22"/>
              </w:rPr>
            </w:pP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953" w:type="dxa"/>
          </w:tcPr>
          <w:p w:rsidR="00F214CF" w:rsidRPr="00F214CF" w:rsidRDefault="00F214CF" w:rsidP="00DC1C3E">
            <w:pPr>
              <w:jc w:val="both"/>
              <w:rPr>
                <w:rFonts w:ascii="Arial" w:hAnsi="Arial" w:cs="Arial"/>
                <w:b w:val="0"/>
                <w:sz w:val="22"/>
                <w:szCs w:val="22"/>
              </w:rPr>
            </w:pPr>
            <w:r w:rsidRPr="00F214CF">
              <w:rPr>
                <w:rFonts w:ascii="Arial" w:hAnsi="Arial" w:cs="Arial"/>
                <w:b w:val="0"/>
                <w:sz w:val="22"/>
                <w:szCs w:val="22"/>
              </w:rPr>
              <w:t>Blood adrenocorticotrophic hormone (ACTH), ammonia, biotinidase, calcitonin, chromogranin A and B, cold agglutinins, cryoglobulins, free fatty acids, gastrin, glucagon, gut hormone profile, pancreatic pol</w:t>
            </w:r>
            <w:r w:rsidR="00DC1C3E">
              <w:rPr>
                <w:rFonts w:ascii="Arial" w:hAnsi="Arial" w:cs="Arial"/>
                <w:b w:val="0"/>
                <w:sz w:val="22"/>
                <w:szCs w:val="22"/>
              </w:rPr>
              <w:t>ypeptide, plasma metanephrines,</w:t>
            </w:r>
            <w:r w:rsidRPr="00F214CF">
              <w:rPr>
                <w:rFonts w:ascii="Arial" w:hAnsi="Arial" w:cs="Arial"/>
                <w:b w:val="0"/>
                <w:sz w:val="22"/>
                <w:szCs w:val="22"/>
              </w:rPr>
              <w:t xml:space="preserve"> somatostatin, vasoactive intestinal polypeptide (VIP), white cell enzymes</w:t>
            </w:r>
          </w:p>
        </w:tc>
        <w:tc>
          <w:tcPr>
            <w:cnfStyle w:val="000100000000" w:firstRow="0" w:lastRow="0" w:firstColumn="0" w:lastColumn="1" w:oddVBand="0" w:evenVBand="0" w:oddHBand="0" w:evenHBand="0" w:firstRowFirstColumn="0" w:firstRowLastColumn="0" w:lastRowFirstColumn="0" w:lastRowLastColumn="0"/>
            <w:tcW w:w="4560" w:type="dxa"/>
          </w:tcPr>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Analyte unstable</w:t>
            </w:r>
          </w:p>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Must be taken at K&amp;CH, QEQMH or WHH</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953" w:type="dxa"/>
          </w:tcPr>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Urine bilirubin, urobilinogen, glucose, ketones</w:t>
            </w:r>
          </w:p>
        </w:tc>
        <w:tc>
          <w:tcPr>
            <w:cnfStyle w:val="000100000000" w:firstRow="0" w:lastRow="0" w:firstColumn="0" w:lastColumn="1" w:oddVBand="0" w:evenVBand="0" w:oddHBand="0" w:evenHBand="0" w:firstRowFirstColumn="0" w:firstRowLastColumn="0" w:lastRowFirstColumn="0" w:lastRowLastColumn="0"/>
            <w:tcW w:w="4560" w:type="dxa"/>
          </w:tcPr>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Analyte unstable</w:t>
            </w:r>
          </w:p>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Test using reagent strip analysis on a fresh urine sample at the surgery</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953" w:type="dxa"/>
          </w:tcPr>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Anti-mullerian hormone (AMH)</w:t>
            </w:r>
          </w:p>
        </w:tc>
        <w:tc>
          <w:tcPr>
            <w:cnfStyle w:val="000100000000" w:firstRow="0" w:lastRow="0" w:firstColumn="0" w:lastColumn="1" w:oddVBand="0" w:evenVBand="0" w:oddHBand="0" w:evenHBand="0" w:firstRowFirstColumn="0" w:firstRowLastColumn="0" w:lastRowFirstColumn="0" w:lastRowLastColumn="0"/>
            <w:tcW w:w="4560" w:type="dxa"/>
          </w:tcPr>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Test not funded for primary care</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953" w:type="dxa"/>
          </w:tcPr>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Citrullinated cyclic peptide (CCP) antibodies</w:t>
            </w:r>
          </w:p>
        </w:tc>
        <w:tc>
          <w:tcPr>
            <w:cnfStyle w:val="000100000000" w:firstRow="0" w:lastRow="0" w:firstColumn="0" w:lastColumn="1" w:oddVBand="0" w:evenVBand="0" w:oddHBand="0" w:evenHBand="0" w:firstRowFirstColumn="0" w:firstRowLastColumn="0" w:lastRowFirstColumn="0" w:lastRowLastColumn="0"/>
            <w:tcW w:w="4560" w:type="dxa"/>
          </w:tcPr>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Test not funded for primary care</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953" w:type="dxa"/>
          </w:tcPr>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Chromium, cobalt, manganese</w:t>
            </w:r>
          </w:p>
        </w:tc>
        <w:tc>
          <w:tcPr>
            <w:cnfStyle w:val="000100000000" w:firstRow="0" w:lastRow="0" w:firstColumn="0" w:lastColumn="1" w:oddVBand="0" w:evenVBand="0" w:oddHBand="0" w:evenHBand="0" w:firstRowFirstColumn="0" w:firstRowLastColumn="0" w:lastRowFirstColumn="0" w:lastRowLastColumn="0"/>
            <w:tcW w:w="4560" w:type="dxa"/>
          </w:tcPr>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Risk of sample contamination</w:t>
            </w:r>
          </w:p>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Must be taken at K&amp;CH, QEQMH or WHH</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953" w:type="dxa"/>
          </w:tcPr>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Clozapine</w:t>
            </w:r>
          </w:p>
        </w:tc>
        <w:tc>
          <w:tcPr>
            <w:cnfStyle w:val="000100000000" w:firstRow="0" w:lastRow="0" w:firstColumn="0" w:lastColumn="1" w:oddVBand="0" w:evenVBand="0" w:oddHBand="0" w:evenHBand="0" w:firstRowFirstColumn="0" w:firstRowLastColumn="0" w:lastRowFirstColumn="0" w:lastRowLastColumn="0"/>
            <w:tcW w:w="4560" w:type="dxa"/>
          </w:tcPr>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Sample must be sent directly to Clozaril Monitoring Service</w:t>
            </w:r>
          </w:p>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May be taken and posted from GP surgery</w:t>
            </w:r>
          </w:p>
        </w:tc>
      </w:tr>
      <w:tr w:rsidR="00F214CF" w:rsidRPr="0041039A" w:rsidTr="00F214CF">
        <w:tc>
          <w:tcPr>
            <w:cnfStyle w:val="001000000000" w:firstRow="0" w:lastRow="0" w:firstColumn="1" w:lastColumn="0" w:oddVBand="0" w:evenVBand="0" w:oddHBand="0" w:evenHBand="0" w:firstRowFirstColumn="0" w:firstRowLastColumn="0" w:lastRowFirstColumn="0" w:lastRowLastColumn="0"/>
            <w:tcW w:w="4953" w:type="dxa"/>
          </w:tcPr>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Carnitine and acyl carnitine profile</w:t>
            </w:r>
          </w:p>
        </w:tc>
        <w:tc>
          <w:tcPr>
            <w:cnfStyle w:val="000100000000" w:firstRow="0" w:lastRow="0" w:firstColumn="0" w:lastColumn="1" w:oddVBand="0" w:evenVBand="0" w:oddHBand="0" w:evenHBand="0" w:firstRowFirstColumn="0" w:firstRowLastColumn="0" w:lastRowFirstColumn="0" w:lastRowLastColumn="0"/>
            <w:tcW w:w="4560" w:type="dxa"/>
          </w:tcPr>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 xml:space="preserve">May be taken on children’s wards </w:t>
            </w:r>
          </w:p>
        </w:tc>
      </w:tr>
      <w:tr w:rsidR="00F214CF" w:rsidRPr="0041039A" w:rsidTr="00F214C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3" w:type="dxa"/>
          </w:tcPr>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Troponin</w:t>
            </w:r>
          </w:p>
        </w:tc>
        <w:tc>
          <w:tcPr>
            <w:cnfStyle w:val="000100000000" w:firstRow="0" w:lastRow="0" w:firstColumn="0" w:lastColumn="1" w:oddVBand="0" w:evenVBand="0" w:oddHBand="0" w:evenHBand="0" w:firstRowFirstColumn="0" w:firstRowLastColumn="0" w:lastRowFirstColumn="0" w:lastRowLastColumn="0"/>
            <w:tcW w:w="4560" w:type="dxa"/>
          </w:tcPr>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Patients with chest pain should attend A&amp;E or Emergency Care Centre</w:t>
            </w:r>
          </w:p>
          <w:p w:rsidR="00F214CF" w:rsidRPr="00F214CF" w:rsidRDefault="00F214CF" w:rsidP="00F214CF">
            <w:pPr>
              <w:jc w:val="both"/>
              <w:rPr>
                <w:rFonts w:ascii="Arial" w:hAnsi="Arial" w:cs="Arial"/>
                <w:b w:val="0"/>
                <w:sz w:val="22"/>
                <w:szCs w:val="22"/>
              </w:rPr>
            </w:pPr>
            <w:r w:rsidRPr="00F214CF">
              <w:rPr>
                <w:rFonts w:ascii="Arial" w:hAnsi="Arial" w:cs="Arial"/>
                <w:b w:val="0"/>
                <w:sz w:val="22"/>
                <w:szCs w:val="22"/>
              </w:rPr>
              <w:t>Other requests MUST be arranged with the Duty Biochemist 01233 616060 and relevant clinical details included with the request</w:t>
            </w:r>
          </w:p>
        </w:tc>
      </w:tr>
    </w:tbl>
    <w:p w:rsidR="0041039A" w:rsidRPr="00834711" w:rsidRDefault="0041039A" w:rsidP="00834711">
      <w:pPr>
        <w:pStyle w:val="ListParagraph"/>
        <w:keepNext/>
        <w:numPr>
          <w:ilvl w:val="0"/>
          <w:numId w:val="44"/>
        </w:numPr>
        <w:spacing w:before="240" w:after="60"/>
        <w:outlineLvl w:val="0"/>
        <w:rPr>
          <w:rFonts w:cs="Arial"/>
          <w:b/>
          <w:kern w:val="28"/>
          <w:sz w:val="28"/>
          <w:szCs w:val="22"/>
        </w:rPr>
      </w:pPr>
      <w:r w:rsidRPr="00834711">
        <w:rPr>
          <w:rFonts w:cs="Arial"/>
          <w:b/>
          <w:kern w:val="28"/>
          <w:sz w:val="28"/>
          <w:lang w:eastAsia="en-GB"/>
        </w:rPr>
        <w:t>HIGH RISK SAMPLES</w:t>
      </w:r>
    </w:p>
    <w:p w:rsidR="0041039A" w:rsidRPr="0041039A" w:rsidRDefault="0041039A" w:rsidP="00D8441A">
      <w:pPr>
        <w:spacing w:line="360" w:lineRule="auto"/>
        <w:ind w:left="357"/>
        <w:contextualSpacing/>
        <w:jc w:val="both"/>
        <w:rPr>
          <w:rFonts w:ascii="Arial" w:hAnsi="Arial" w:cs="Arial"/>
          <w:sz w:val="22"/>
          <w:szCs w:val="22"/>
        </w:rPr>
      </w:pPr>
      <w:r w:rsidRPr="0041039A">
        <w:rPr>
          <w:rFonts w:ascii="Arial" w:hAnsi="Arial" w:cs="Arial"/>
          <w:sz w:val="22"/>
          <w:szCs w:val="22"/>
        </w:rPr>
        <w:t xml:space="preserve">The laboratory operates a policy of universal safety precautions for all samples and we recommend that you regard all blood as being potentially infectious. High risk labelling of samples is </w:t>
      </w:r>
      <w:r w:rsidRPr="0041039A">
        <w:rPr>
          <w:rFonts w:ascii="Arial" w:hAnsi="Arial" w:cs="Arial"/>
          <w:b/>
          <w:sz w:val="22"/>
          <w:szCs w:val="22"/>
        </w:rPr>
        <w:t>not required</w:t>
      </w:r>
      <w:r w:rsidRPr="0041039A">
        <w:rPr>
          <w:rFonts w:ascii="Arial" w:hAnsi="Arial" w:cs="Arial"/>
          <w:sz w:val="22"/>
          <w:szCs w:val="22"/>
        </w:rPr>
        <w:t>.</w:t>
      </w:r>
    </w:p>
    <w:p w:rsidR="0041039A" w:rsidRPr="0041039A" w:rsidRDefault="0041039A" w:rsidP="0041039A">
      <w:pPr>
        <w:ind w:left="360"/>
        <w:rPr>
          <w:rFonts w:ascii="Arial" w:hAnsi="Arial" w:cs="Arial"/>
          <w:sz w:val="22"/>
          <w:szCs w:val="22"/>
        </w:rPr>
      </w:pPr>
    </w:p>
    <w:p w:rsidR="0041039A" w:rsidRPr="00FB3727" w:rsidRDefault="0041039A" w:rsidP="00FB3727">
      <w:pPr>
        <w:pStyle w:val="ListParagraph"/>
        <w:keepNext/>
        <w:numPr>
          <w:ilvl w:val="0"/>
          <w:numId w:val="44"/>
        </w:numPr>
        <w:spacing w:before="240" w:after="60"/>
        <w:outlineLvl w:val="0"/>
        <w:rPr>
          <w:b/>
          <w:kern w:val="28"/>
          <w:sz w:val="28"/>
        </w:rPr>
      </w:pPr>
      <w:r w:rsidRPr="00FB3727">
        <w:rPr>
          <w:b/>
          <w:kern w:val="28"/>
          <w:sz w:val="28"/>
        </w:rPr>
        <w:t>INFORMED CONSENT</w:t>
      </w:r>
    </w:p>
    <w:p w:rsidR="0041039A" w:rsidRPr="0041039A" w:rsidRDefault="0041039A" w:rsidP="00D8441A">
      <w:pPr>
        <w:autoSpaceDE w:val="0"/>
        <w:autoSpaceDN w:val="0"/>
        <w:adjustRightInd w:val="0"/>
        <w:spacing w:line="360" w:lineRule="auto"/>
        <w:ind w:left="357"/>
        <w:contextualSpacing/>
        <w:jc w:val="both"/>
        <w:rPr>
          <w:rFonts w:ascii="Arial" w:hAnsi="Arial" w:cs="Arial"/>
          <w:sz w:val="22"/>
          <w:szCs w:val="22"/>
          <w:lang w:eastAsia="en-GB"/>
        </w:rPr>
      </w:pPr>
      <w:r w:rsidRPr="0041039A">
        <w:rPr>
          <w:rFonts w:ascii="Arial" w:hAnsi="Arial" w:cs="Arial"/>
          <w:sz w:val="22"/>
          <w:szCs w:val="22"/>
        </w:rPr>
        <w:t xml:space="preserve">When a patient presents to a GP surgery or clinic and submits to a collecting procedure, consent is inferred. The EKHUFT policy; </w:t>
      </w:r>
      <w:r w:rsidRPr="0041039A">
        <w:rPr>
          <w:rFonts w:ascii="Arial" w:hAnsi="Arial" w:cs="Arial"/>
          <w:sz w:val="22"/>
          <w:szCs w:val="22"/>
          <w:lang w:eastAsia="en-GB"/>
        </w:rPr>
        <w:t>Patient Information and Consent to Examination or Treatment</w:t>
      </w:r>
      <w:r w:rsidRPr="0041039A">
        <w:rPr>
          <w:rFonts w:ascii="Arial" w:hAnsi="Arial" w:cs="Arial"/>
          <w:color w:val="4F81BD"/>
          <w:sz w:val="22"/>
          <w:szCs w:val="22"/>
          <w:lang w:eastAsia="en-GB"/>
        </w:rPr>
        <w:t xml:space="preserve"> </w:t>
      </w:r>
      <w:r w:rsidRPr="0041039A">
        <w:rPr>
          <w:rFonts w:ascii="Arial" w:hAnsi="Arial" w:cs="Arial"/>
          <w:sz w:val="22"/>
          <w:szCs w:val="22"/>
          <w:lang w:eastAsia="en-GB"/>
        </w:rPr>
        <w:t>is available via the staff zone of the intranet, and for patients there is a web link to the DH web site regarding medical consent.</w:t>
      </w:r>
    </w:p>
    <w:p w:rsidR="0041039A" w:rsidRPr="0041039A" w:rsidRDefault="0041039A" w:rsidP="00FB3727">
      <w:pPr>
        <w:keepNext/>
        <w:numPr>
          <w:ilvl w:val="0"/>
          <w:numId w:val="44"/>
        </w:numPr>
        <w:spacing w:before="240" w:after="60"/>
        <w:ind w:left="567"/>
        <w:outlineLvl w:val="0"/>
        <w:rPr>
          <w:rFonts w:ascii="Arial" w:hAnsi="Arial"/>
          <w:b/>
          <w:snapToGrid/>
          <w:kern w:val="28"/>
          <w:sz w:val="28"/>
        </w:rPr>
      </w:pPr>
      <w:r w:rsidRPr="0041039A">
        <w:rPr>
          <w:rFonts w:ascii="Arial" w:hAnsi="Arial"/>
          <w:b/>
          <w:snapToGrid/>
          <w:kern w:val="28"/>
          <w:sz w:val="28"/>
        </w:rPr>
        <w:t>TRANSPORT OF SPECIMENS TO THE LABORATORY</w:t>
      </w:r>
    </w:p>
    <w:p w:rsidR="0041039A" w:rsidRPr="0041039A" w:rsidRDefault="0041039A" w:rsidP="0041039A">
      <w:pPr>
        <w:rPr>
          <w:rFonts w:ascii="Arial" w:hAnsi="Arial" w:cs="Arial"/>
          <w:b/>
          <w:i/>
          <w:sz w:val="22"/>
          <w:szCs w:val="22"/>
        </w:rPr>
      </w:pPr>
    </w:p>
    <w:p w:rsidR="00D545C8" w:rsidRPr="00E61534" w:rsidRDefault="0041039A" w:rsidP="00E61534">
      <w:pPr>
        <w:spacing w:line="360" w:lineRule="auto"/>
        <w:ind w:left="426"/>
        <w:contextualSpacing/>
        <w:jc w:val="both"/>
        <w:rPr>
          <w:rFonts w:ascii="Arial" w:hAnsi="Arial" w:cs="Arial"/>
          <w:sz w:val="22"/>
          <w:szCs w:val="22"/>
        </w:rPr>
      </w:pPr>
      <w:r w:rsidRPr="0041039A">
        <w:rPr>
          <w:rFonts w:ascii="Arial" w:hAnsi="Arial" w:cs="Arial"/>
          <w:sz w:val="22"/>
          <w:szCs w:val="22"/>
        </w:rPr>
        <w:t>The Pathology department holds an SLA with EKHUFT transport services in order to cover all of the primary care sites in our catchment on a daily basis and provide assurance that samples will be delivered to pathology within 4 hours of collection. The pattern of delivery from GP surgery to laboratory will be dependent upon locality and based upon distance to the local hospital Pathology service laboratories in order to ensure optimum turnaround times and efficiency.</w:t>
      </w:r>
    </w:p>
    <w:p w:rsidR="0041039A" w:rsidRPr="0041039A" w:rsidRDefault="0041039A" w:rsidP="00D8441A">
      <w:pPr>
        <w:spacing w:line="360" w:lineRule="auto"/>
        <w:contextualSpacing/>
        <w:jc w:val="both"/>
        <w:rPr>
          <w:rFonts w:ascii="Arial" w:hAnsi="Arial" w:cs="Arial"/>
          <w:b/>
          <w:sz w:val="22"/>
          <w:szCs w:val="22"/>
        </w:rPr>
      </w:pPr>
      <w:r w:rsidRPr="0041039A">
        <w:rPr>
          <w:rFonts w:ascii="Arial" w:hAnsi="Arial" w:cs="Arial"/>
          <w:b/>
          <w:sz w:val="22"/>
          <w:szCs w:val="22"/>
        </w:rPr>
        <w:t>INTERNAL LOGISITICS</w:t>
      </w:r>
    </w:p>
    <w:p w:rsidR="0041039A" w:rsidRDefault="0041039A" w:rsidP="00D8441A">
      <w:pPr>
        <w:spacing w:line="360" w:lineRule="auto"/>
        <w:contextualSpacing/>
        <w:jc w:val="both"/>
        <w:rPr>
          <w:rFonts w:ascii="Arial" w:hAnsi="Arial" w:cs="Arial"/>
          <w:sz w:val="22"/>
          <w:szCs w:val="22"/>
        </w:rPr>
      </w:pPr>
      <w:r w:rsidRPr="0041039A">
        <w:rPr>
          <w:rFonts w:ascii="Arial" w:hAnsi="Arial" w:cs="Arial"/>
          <w:sz w:val="22"/>
          <w:szCs w:val="22"/>
        </w:rPr>
        <w:t>Some pathology specimens are transferred to other sites within EKHUFT in order to be processed or to be collated centrally and sent off site to external pathology providers for analysis.</w:t>
      </w:r>
    </w:p>
    <w:p w:rsidR="00D545C8" w:rsidRPr="0041039A" w:rsidRDefault="00D545C8" w:rsidP="00D8441A">
      <w:pPr>
        <w:spacing w:line="360" w:lineRule="auto"/>
        <w:contextualSpacing/>
        <w:jc w:val="both"/>
        <w:rPr>
          <w:rFonts w:ascii="Arial" w:hAnsi="Arial" w:cs="Arial"/>
          <w:b/>
          <w:bCs/>
          <w:caps/>
          <w:snapToGrid/>
          <w:kern w:val="32"/>
          <w:sz w:val="22"/>
          <w:szCs w:val="32"/>
        </w:rPr>
      </w:pPr>
    </w:p>
    <w:p w:rsidR="0041039A" w:rsidRPr="0041039A" w:rsidRDefault="0041039A" w:rsidP="00D8441A">
      <w:pPr>
        <w:autoSpaceDE w:val="0"/>
        <w:autoSpaceDN w:val="0"/>
        <w:adjustRightInd w:val="0"/>
        <w:spacing w:line="360" w:lineRule="auto"/>
        <w:contextualSpacing/>
        <w:jc w:val="both"/>
        <w:rPr>
          <w:rFonts w:ascii="Arial" w:hAnsi="Arial" w:cs="Arial"/>
          <w:b/>
          <w:bCs/>
          <w:snapToGrid/>
          <w:sz w:val="22"/>
          <w:lang w:eastAsia="en-GB"/>
        </w:rPr>
      </w:pPr>
      <w:r w:rsidRPr="0041039A">
        <w:rPr>
          <w:rFonts w:ascii="Arial" w:hAnsi="Arial" w:cs="Arial"/>
          <w:b/>
          <w:bCs/>
          <w:snapToGrid/>
          <w:sz w:val="22"/>
          <w:lang w:eastAsia="en-GB"/>
        </w:rPr>
        <w:t>TRANSPORT WITHIN THE HOSPITAL</w:t>
      </w:r>
    </w:p>
    <w:p w:rsidR="0041039A" w:rsidRPr="0041039A" w:rsidRDefault="0041039A" w:rsidP="00D8441A">
      <w:pPr>
        <w:autoSpaceDE w:val="0"/>
        <w:autoSpaceDN w:val="0"/>
        <w:adjustRightInd w:val="0"/>
        <w:spacing w:line="360" w:lineRule="auto"/>
        <w:contextualSpacing/>
        <w:jc w:val="both"/>
        <w:rPr>
          <w:rFonts w:ascii="Arial" w:hAnsi="Arial" w:cs="Arial"/>
          <w:bCs/>
          <w:snapToGrid/>
          <w:sz w:val="22"/>
          <w:lang w:eastAsia="en-GB"/>
        </w:rPr>
      </w:pPr>
      <w:r w:rsidRPr="0041039A">
        <w:rPr>
          <w:rFonts w:ascii="Arial" w:hAnsi="Arial" w:cs="Arial"/>
          <w:bCs/>
          <w:snapToGrid/>
          <w:sz w:val="22"/>
          <w:lang w:eastAsia="en-GB"/>
        </w:rPr>
        <w:t xml:space="preserve">All specimens should be placed in the appropriate combined request form and specimen transport bag: transport bags must not be used more than once. </w:t>
      </w:r>
    </w:p>
    <w:p w:rsidR="0041039A" w:rsidRPr="0041039A" w:rsidRDefault="0041039A" w:rsidP="00D8441A">
      <w:pPr>
        <w:autoSpaceDE w:val="0"/>
        <w:autoSpaceDN w:val="0"/>
        <w:adjustRightInd w:val="0"/>
        <w:spacing w:line="360" w:lineRule="auto"/>
        <w:contextualSpacing/>
        <w:jc w:val="both"/>
        <w:rPr>
          <w:rFonts w:ascii="Arial" w:hAnsi="Arial" w:cs="Arial"/>
          <w:bCs/>
          <w:snapToGrid/>
          <w:sz w:val="22"/>
          <w:lang w:eastAsia="en-GB"/>
        </w:rPr>
      </w:pPr>
    </w:p>
    <w:p w:rsidR="0041039A" w:rsidRPr="0041039A" w:rsidRDefault="0041039A" w:rsidP="00D8441A">
      <w:pPr>
        <w:spacing w:line="360" w:lineRule="auto"/>
        <w:contextualSpacing/>
        <w:jc w:val="both"/>
        <w:rPr>
          <w:rFonts w:ascii="Arial" w:hAnsi="Arial" w:cs="Arial"/>
          <w:sz w:val="22"/>
          <w:szCs w:val="22"/>
        </w:rPr>
      </w:pPr>
      <w:r w:rsidRPr="0041039A">
        <w:rPr>
          <w:rFonts w:ascii="Arial" w:hAnsi="Arial" w:cs="Arial"/>
          <w:sz w:val="22"/>
          <w:szCs w:val="22"/>
        </w:rPr>
        <w:t>Specimens can be transported to the laboratory using one of the following methods:</w:t>
      </w:r>
    </w:p>
    <w:p w:rsidR="0041039A" w:rsidRPr="00D8441A" w:rsidRDefault="0041039A" w:rsidP="00D8441A">
      <w:pPr>
        <w:widowControl/>
        <w:numPr>
          <w:ilvl w:val="0"/>
          <w:numId w:val="46"/>
        </w:numPr>
        <w:spacing w:line="360" w:lineRule="auto"/>
        <w:contextualSpacing/>
        <w:jc w:val="both"/>
        <w:rPr>
          <w:rFonts w:ascii="Arial" w:hAnsi="Arial" w:cs="Arial"/>
          <w:sz w:val="22"/>
          <w:szCs w:val="22"/>
        </w:rPr>
      </w:pPr>
      <w:r w:rsidRPr="0041039A">
        <w:rPr>
          <w:rFonts w:ascii="Arial" w:hAnsi="Arial" w:cs="Arial"/>
          <w:sz w:val="22"/>
          <w:szCs w:val="22"/>
        </w:rPr>
        <w:t>In person from ward to laboratory reception</w:t>
      </w:r>
    </w:p>
    <w:p w:rsidR="0041039A" w:rsidRPr="00D8441A" w:rsidRDefault="0041039A" w:rsidP="00D8441A">
      <w:pPr>
        <w:widowControl/>
        <w:numPr>
          <w:ilvl w:val="0"/>
          <w:numId w:val="46"/>
        </w:numPr>
        <w:spacing w:line="360" w:lineRule="auto"/>
        <w:contextualSpacing/>
        <w:jc w:val="both"/>
        <w:rPr>
          <w:rFonts w:ascii="Arial" w:hAnsi="Arial" w:cs="Arial"/>
          <w:sz w:val="22"/>
          <w:szCs w:val="22"/>
        </w:rPr>
      </w:pPr>
      <w:r w:rsidRPr="0041039A">
        <w:rPr>
          <w:rFonts w:ascii="Arial" w:hAnsi="Arial" w:cs="Arial"/>
          <w:sz w:val="22"/>
          <w:szCs w:val="22"/>
        </w:rPr>
        <w:t>Through use of the Trusts pneumatic tube system within a secure air-pod - where this option exists</w:t>
      </w:r>
    </w:p>
    <w:p w:rsidR="0041039A" w:rsidRPr="0041039A" w:rsidRDefault="0041039A" w:rsidP="00D8441A">
      <w:pPr>
        <w:widowControl/>
        <w:spacing w:line="360" w:lineRule="auto"/>
        <w:ind w:left="360"/>
        <w:contextualSpacing/>
        <w:jc w:val="both"/>
        <w:rPr>
          <w:rFonts w:ascii="Arial" w:hAnsi="Arial" w:cs="Arial"/>
          <w:sz w:val="22"/>
          <w:szCs w:val="22"/>
        </w:rPr>
      </w:pPr>
      <w:r w:rsidRPr="0041039A">
        <w:rPr>
          <w:rFonts w:ascii="Arial" w:hAnsi="Arial" w:cs="Arial"/>
          <w:sz w:val="22"/>
          <w:szCs w:val="22"/>
        </w:rPr>
        <w:t>Through the hospital porters</w:t>
      </w:r>
    </w:p>
    <w:p w:rsidR="0041039A" w:rsidRPr="0041039A" w:rsidRDefault="0041039A" w:rsidP="00D8441A">
      <w:pPr>
        <w:autoSpaceDE w:val="0"/>
        <w:autoSpaceDN w:val="0"/>
        <w:adjustRightInd w:val="0"/>
        <w:spacing w:line="360" w:lineRule="auto"/>
        <w:contextualSpacing/>
        <w:jc w:val="both"/>
        <w:rPr>
          <w:rFonts w:ascii="Arial" w:hAnsi="Arial" w:cs="Arial"/>
          <w:b/>
          <w:bCs/>
          <w:snapToGrid/>
          <w:sz w:val="22"/>
          <w:lang w:eastAsia="en-GB"/>
        </w:rPr>
      </w:pPr>
    </w:p>
    <w:p w:rsidR="0041039A" w:rsidRPr="0041039A" w:rsidRDefault="0041039A" w:rsidP="00D8441A">
      <w:pPr>
        <w:autoSpaceDE w:val="0"/>
        <w:autoSpaceDN w:val="0"/>
        <w:adjustRightInd w:val="0"/>
        <w:spacing w:line="360" w:lineRule="auto"/>
        <w:contextualSpacing/>
        <w:jc w:val="both"/>
        <w:rPr>
          <w:rFonts w:ascii="Arial" w:hAnsi="Arial" w:cs="Arial"/>
          <w:b/>
          <w:bCs/>
          <w:snapToGrid/>
          <w:sz w:val="22"/>
          <w:lang w:eastAsia="en-GB"/>
        </w:rPr>
      </w:pPr>
      <w:r w:rsidRPr="0041039A">
        <w:rPr>
          <w:rFonts w:ascii="Arial" w:hAnsi="Arial" w:cs="Arial"/>
          <w:b/>
          <w:bCs/>
          <w:snapToGrid/>
          <w:sz w:val="22"/>
          <w:lang w:eastAsia="en-GB"/>
        </w:rPr>
        <w:t>TRANSPORT OUTSIDE THE HOSPITAL (OTHER THAN BY POST e.g. TAXI)</w:t>
      </w:r>
    </w:p>
    <w:p w:rsidR="0041039A" w:rsidRPr="0041039A" w:rsidRDefault="0041039A" w:rsidP="00D8441A">
      <w:pPr>
        <w:autoSpaceDE w:val="0"/>
        <w:autoSpaceDN w:val="0"/>
        <w:adjustRightInd w:val="0"/>
        <w:spacing w:line="360" w:lineRule="auto"/>
        <w:contextualSpacing/>
        <w:jc w:val="both"/>
        <w:rPr>
          <w:rFonts w:ascii="Arial" w:hAnsi="Arial" w:cs="Arial"/>
          <w:b/>
          <w:bCs/>
          <w:caps/>
          <w:snapToGrid/>
          <w:kern w:val="32"/>
          <w:sz w:val="22"/>
          <w:szCs w:val="32"/>
        </w:rPr>
      </w:pPr>
      <w:r w:rsidRPr="0041039A">
        <w:rPr>
          <w:rFonts w:ascii="Arial" w:hAnsi="Arial" w:cs="Arial"/>
          <w:bCs/>
          <w:snapToGrid/>
          <w:sz w:val="22"/>
          <w:lang w:eastAsia="en-GB"/>
        </w:rPr>
        <w:t>The laboratory can provide advice to users on where to obtain containers, labels and transport boxes. Specimens must be transported in specially provided transport boxes. Unless all specimens are in individual transport bags, the carrier box or tray must be designed to ensure that specimens are kept upright and secure. Specimen transport boxes or trays should not be used for any purpose other than carrying specimens.</w:t>
      </w:r>
    </w:p>
    <w:p w:rsidR="0041039A" w:rsidRPr="0041039A" w:rsidRDefault="0041039A" w:rsidP="00FB3727">
      <w:pPr>
        <w:keepNext/>
        <w:numPr>
          <w:ilvl w:val="0"/>
          <w:numId w:val="44"/>
        </w:numPr>
        <w:spacing w:before="240" w:after="60"/>
        <w:ind w:left="567"/>
        <w:outlineLvl w:val="0"/>
        <w:rPr>
          <w:rFonts w:ascii="Arial" w:hAnsi="Arial"/>
          <w:b/>
          <w:kern w:val="28"/>
          <w:sz w:val="28"/>
          <w:lang w:eastAsia="en-GB"/>
        </w:rPr>
      </w:pPr>
      <w:r w:rsidRPr="0041039A">
        <w:rPr>
          <w:rFonts w:ascii="Arial" w:hAnsi="Arial"/>
          <w:b/>
          <w:kern w:val="28"/>
          <w:sz w:val="28"/>
          <w:lang w:eastAsia="en-GB"/>
        </w:rPr>
        <w:t>ACCESS TO RESULTS</w:t>
      </w:r>
    </w:p>
    <w:p w:rsidR="0041039A" w:rsidRPr="0041039A" w:rsidRDefault="0041039A" w:rsidP="00D8441A">
      <w:pPr>
        <w:spacing w:line="360" w:lineRule="auto"/>
        <w:contextualSpacing/>
        <w:jc w:val="both"/>
        <w:rPr>
          <w:rFonts w:ascii="Arial" w:hAnsi="Arial" w:cs="Arial"/>
          <w:sz w:val="22"/>
          <w:szCs w:val="22"/>
        </w:rPr>
      </w:pPr>
      <w:r w:rsidRPr="0041039A">
        <w:rPr>
          <w:rFonts w:ascii="Arial" w:hAnsi="Arial"/>
          <w:sz w:val="22"/>
          <w:szCs w:val="22"/>
        </w:rPr>
        <w:t xml:space="preserve">All results are available electronically through </w:t>
      </w:r>
      <w:r w:rsidRPr="0041039A">
        <w:rPr>
          <w:rFonts w:ascii="Arial" w:hAnsi="Arial" w:cs="Arial"/>
          <w:sz w:val="22"/>
          <w:szCs w:val="22"/>
        </w:rPr>
        <w:t>Sunrise and/or DART OCM</w:t>
      </w:r>
      <w:r w:rsidRPr="0041039A">
        <w:rPr>
          <w:rFonts w:ascii="Arial" w:hAnsi="Arial"/>
          <w:sz w:val="22"/>
          <w:szCs w:val="22"/>
        </w:rPr>
        <w:t xml:space="preserve"> shortly after they are verified in the laboratory.</w:t>
      </w:r>
      <w:r w:rsidRPr="0041039A">
        <w:rPr>
          <w:rFonts w:ascii="Arial" w:hAnsi="Arial" w:cs="Arial"/>
          <w:sz w:val="22"/>
          <w:szCs w:val="22"/>
        </w:rPr>
        <w:t xml:space="preserve"> All clinical staff who</w:t>
      </w:r>
      <w:r w:rsidR="00183F4B">
        <w:rPr>
          <w:rFonts w:ascii="Arial" w:hAnsi="Arial" w:cs="Arial"/>
          <w:sz w:val="22"/>
          <w:szCs w:val="22"/>
        </w:rPr>
        <w:t xml:space="preserve"> are required to access patient</w:t>
      </w:r>
      <w:r w:rsidRPr="0041039A">
        <w:rPr>
          <w:rFonts w:ascii="Arial" w:hAnsi="Arial" w:cs="Arial"/>
          <w:sz w:val="22"/>
          <w:szCs w:val="22"/>
        </w:rPr>
        <w:t xml:space="preserve"> results should obtain logins and passwords and appropriate training for both Sunrise and/or DART OCM. </w:t>
      </w:r>
    </w:p>
    <w:p w:rsidR="0041039A" w:rsidRPr="0041039A" w:rsidRDefault="0041039A" w:rsidP="00D8441A">
      <w:pPr>
        <w:spacing w:line="360" w:lineRule="auto"/>
        <w:contextualSpacing/>
        <w:jc w:val="both"/>
        <w:rPr>
          <w:rFonts w:ascii="Arial" w:hAnsi="Arial"/>
          <w:sz w:val="22"/>
          <w:szCs w:val="22"/>
        </w:rPr>
      </w:pPr>
    </w:p>
    <w:p w:rsidR="0041039A" w:rsidRPr="00D8441A" w:rsidRDefault="0041039A" w:rsidP="00D8441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cs="Arial"/>
          <w:b/>
          <w:sz w:val="22"/>
          <w:szCs w:val="22"/>
        </w:rPr>
      </w:pPr>
      <w:r w:rsidRPr="0041039A">
        <w:rPr>
          <w:rFonts w:ascii="Arial" w:hAnsi="Arial" w:cs="Arial"/>
          <w:b/>
          <w:sz w:val="22"/>
          <w:szCs w:val="22"/>
        </w:rPr>
        <w:t>Please attempt to find patient results on the computer terminals (Sunrise and/or DART OCM) before telephoning the laboratory. You are reminded that it is a breach of the Data Protection Act to access any computer using someone else’s password</w:t>
      </w:r>
      <w:r w:rsidR="001753F1">
        <w:rPr>
          <w:rFonts w:ascii="Arial" w:hAnsi="Arial" w:cs="Arial"/>
          <w:b/>
          <w:sz w:val="22"/>
          <w:szCs w:val="22"/>
        </w:rPr>
        <w:t xml:space="preserve">. </w:t>
      </w:r>
    </w:p>
    <w:p w:rsidR="0041039A" w:rsidRPr="0041039A" w:rsidRDefault="0041039A" w:rsidP="00FB3727">
      <w:pPr>
        <w:keepNext/>
        <w:numPr>
          <w:ilvl w:val="0"/>
          <w:numId w:val="44"/>
        </w:numPr>
        <w:spacing w:before="240" w:after="60"/>
        <w:ind w:left="567"/>
        <w:outlineLvl w:val="0"/>
        <w:rPr>
          <w:rFonts w:ascii="Arial" w:hAnsi="Arial"/>
          <w:b/>
          <w:kern w:val="28"/>
          <w:sz w:val="20"/>
        </w:rPr>
      </w:pPr>
      <w:r w:rsidRPr="0041039A">
        <w:rPr>
          <w:rFonts w:ascii="Arial" w:hAnsi="Arial"/>
          <w:b/>
          <w:kern w:val="28"/>
          <w:sz w:val="28"/>
        </w:rPr>
        <w:t>COMMUNICATION OF CRITICAL AND UNEXPECTED RESULTS</w:t>
      </w:r>
    </w:p>
    <w:p w:rsidR="0041039A" w:rsidRPr="0041039A" w:rsidRDefault="0041039A" w:rsidP="00D8441A">
      <w:pPr>
        <w:spacing w:line="360" w:lineRule="auto"/>
        <w:contextualSpacing/>
        <w:jc w:val="both"/>
        <w:rPr>
          <w:rFonts w:ascii="Arial" w:hAnsi="Arial" w:cs="Arial"/>
          <w:sz w:val="22"/>
          <w:szCs w:val="22"/>
        </w:rPr>
      </w:pPr>
      <w:r w:rsidRPr="0041039A">
        <w:rPr>
          <w:rFonts w:ascii="Arial" w:hAnsi="Arial" w:cs="Arial"/>
          <w:sz w:val="22"/>
          <w:szCs w:val="22"/>
        </w:rPr>
        <w:t xml:space="preserve">It is our policy to telephone </w:t>
      </w:r>
      <w:r w:rsidRPr="0041039A">
        <w:rPr>
          <w:rFonts w:ascii="Arial" w:hAnsi="Arial" w:cs="Arial"/>
          <w:b/>
          <w:sz w:val="22"/>
          <w:szCs w:val="22"/>
        </w:rPr>
        <w:t>apparently unexpected</w:t>
      </w:r>
      <w:r w:rsidRPr="0041039A">
        <w:rPr>
          <w:rFonts w:ascii="Arial" w:hAnsi="Arial" w:cs="Arial"/>
          <w:sz w:val="22"/>
          <w:szCs w:val="22"/>
        </w:rPr>
        <w:t xml:space="preserve"> critical results which may immediately affect patient management following the limits in the table below. The BMS or Clinical Scientist can telephone any abnormal result at their discretion e.g. this may be considered if there has been a significant change from previous results.</w:t>
      </w:r>
    </w:p>
    <w:p w:rsidR="0041039A" w:rsidRPr="0041039A" w:rsidRDefault="0041039A" w:rsidP="00D8441A">
      <w:pPr>
        <w:spacing w:line="360" w:lineRule="auto"/>
        <w:contextualSpacing/>
        <w:jc w:val="both"/>
        <w:rPr>
          <w:rFonts w:ascii="Arial" w:hAnsi="Arial" w:cs="Arial"/>
          <w:sz w:val="22"/>
          <w:szCs w:val="22"/>
        </w:rPr>
      </w:pPr>
    </w:p>
    <w:p w:rsidR="0041039A" w:rsidRPr="0041039A" w:rsidRDefault="0041039A" w:rsidP="00D8441A">
      <w:pPr>
        <w:spacing w:line="360" w:lineRule="auto"/>
        <w:contextualSpacing/>
        <w:jc w:val="both"/>
        <w:rPr>
          <w:rFonts w:ascii="Arial" w:hAnsi="Arial" w:cs="Arial"/>
          <w:bCs/>
          <w:color w:val="000000"/>
          <w:sz w:val="22"/>
          <w:szCs w:val="22"/>
        </w:rPr>
      </w:pPr>
      <w:r w:rsidRPr="0041039A">
        <w:rPr>
          <w:rFonts w:ascii="Arial" w:hAnsi="Arial" w:cs="Arial"/>
          <w:bCs/>
          <w:color w:val="000000"/>
          <w:sz w:val="22"/>
          <w:szCs w:val="22"/>
        </w:rPr>
        <w:t>Please note it may not be possible to communicate critical results on GUM patients out of hours if the only patient identifier is the GUM reference.  Such results must be communicated at the first available opportunity.</w:t>
      </w:r>
    </w:p>
    <w:p w:rsidR="0041039A" w:rsidRPr="0041039A" w:rsidRDefault="0041039A" w:rsidP="00D8441A">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cs="Arial"/>
          <w:sz w:val="22"/>
          <w:szCs w:val="22"/>
        </w:rPr>
      </w:pPr>
    </w:p>
    <w:p w:rsidR="0041039A" w:rsidRPr="0041039A" w:rsidRDefault="0041039A" w:rsidP="00D8441A">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b/>
          <w:sz w:val="22"/>
          <w:szCs w:val="22"/>
        </w:rPr>
      </w:pPr>
      <w:r w:rsidRPr="0041039A">
        <w:rPr>
          <w:rFonts w:ascii="Arial" w:hAnsi="Arial"/>
          <w:sz w:val="22"/>
          <w:szCs w:val="22"/>
        </w:rPr>
        <w:t xml:space="preserve">We are required to log telephoned results. Therefore, you will be asked to confirm the patients name, date of birth and hospital number and to give your name and grade.  You will also be asked to read back the results transmitted to you to ensure they have been transcribed correctly.  </w:t>
      </w:r>
      <w:r w:rsidRPr="0041039A">
        <w:rPr>
          <w:rFonts w:ascii="Arial" w:hAnsi="Arial"/>
          <w:b/>
          <w:sz w:val="22"/>
          <w:szCs w:val="22"/>
        </w:rPr>
        <w:t>All telephoned results should be written in the ward results diary (or telephone result pads) or in the patient’s notes; not on a loose scrap of paper. Telephoned results must be relayed as a matter of priority to the clinician responsible for the patients care.</w:t>
      </w:r>
    </w:p>
    <w:p w:rsidR="0041039A" w:rsidRPr="0041039A" w:rsidRDefault="0041039A" w:rsidP="00D8441A">
      <w:pPr>
        <w:spacing w:line="360" w:lineRule="auto"/>
        <w:contextualSpacing/>
        <w:jc w:val="both"/>
        <w:rPr>
          <w:b/>
          <w:sz w:val="20"/>
        </w:rPr>
      </w:pPr>
    </w:p>
    <w:p w:rsidR="00365C54" w:rsidRPr="0041039A" w:rsidRDefault="0041039A" w:rsidP="00D8441A">
      <w:pPr>
        <w:spacing w:line="360" w:lineRule="auto"/>
        <w:contextualSpacing/>
        <w:jc w:val="both"/>
        <w:rPr>
          <w:rFonts w:ascii="Arial" w:hAnsi="Arial" w:cs="Arial"/>
          <w:bCs/>
          <w:sz w:val="22"/>
          <w:szCs w:val="22"/>
        </w:rPr>
      </w:pPr>
      <w:r w:rsidRPr="0041039A">
        <w:rPr>
          <w:rFonts w:ascii="Arial" w:hAnsi="Arial" w:cs="Arial"/>
          <w:bCs/>
          <w:sz w:val="22"/>
          <w:szCs w:val="22"/>
        </w:rPr>
        <w:t xml:space="preserve">For  Emergency Department, </w:t>
      </w:r>
      <w:r w:rsidR="00000B95">
        <w:rPr>
          <w:rFonts w:ascii="Arial" w:hAnsi="Arial" w:cs="Arial"/>
          <w:bCs/>
          <w:sz w:val="22"/>
          <w:szCs w:val="22"/>
        </w:rPr>
        <w:t>(</w:t>
      </w:r>
      <w:r w:rsidRPr="0041039A">
        <w:rPr>
          <w:rFonts w:ascii="Arial" w:hAnsi="Arial" w:cs="Arial"/>
          <w:bCs/>
          <w:sz w:val="22"/>
          <w:szCs w:val="22"/>
        </w:rPr>
        <w:t xml:space="preserve">ED) there is generally no need to telephone certain critical results (those highlighted blue in the tables below): critical results will be displayed on the PTL/whiteboards within A&amp;E as soon as they are released from the laboratory, and will flash to highlight them to A&amp;E staff. </w:t>
      </w:r>
      <w:r w:rsidR="00000B95" w:rsidRPr="0041039A">
        <w:rPr>
          <w:rFonts w:ascii="Arial" w:hAnsi="Arial" w:cs="Arial"/>
          <w:bCs/>
          <w:sz w:val="22"/>
          <w:szCs w:val="22"/>
        </w:rPr>
        <w:t>However,</w:t>
      </w:r>
      <w:r w:rsidRPr="0041039A">
        <w:rPr>
          <w:rFonts w:ascii="Arial" w:hAnsi="Arial" w:cs="Arial"/>
          <w:bCs/>
          <w:sz w:val="22"/>
          <w:szCs w:val="22"/>
        </w:rPr>
        <w:t xml:space="preserve"> should the PTL become unavailable (e.g. due to a service interruption) or a software fault within the laboratory’s IT systems prevents transmission of results, then it will be necessary to telephone critical results to A&amp;E as per other clinical areas. The A&amp;E staff will inform the laboratory should a PTL failure occur.</w:t>
      </w:r>
    </w:p>
    <w:p w:rsidR="0041039A" w:rsidRPr="0041039A" w:rsidRDefault="0041039A" w:rsidP="0041039A">
      <w:pPr>
        <w:jc w:val="both"/>
        <w:rPr>
          <w:rFonts w:ascii="Arial" w:hAnsi="Arial" w:cs="Arial"/>
          <w:b/>
          <w:sz w:val="22"/>
          <w:szCs w:val="22"/>
        </w:rPr>
      </w:pPr>
    </w:p>
    <w:tbl>
      <w:tblPr>
        <w:tblStyle w:val="GridTable1Light-Accent1"/>
        <w:tblW w:w="10284" w:type="dxa"/>
        <w:tblLayout w:type="fixed"/>
        <w:tblLook w:val="06A0" w:firstRow="1" w:lastRow="0" w:firstColumn="1" w:lastColumn="0" w:noHBand="1" w:noVBand="1"/>
        <w:tblDescription w:val="list of phoning limits "/>
      </w:tblPr>
      <w:tblGrid>
        <w:gridCol w:w="3069"/>
        <w:gridCol w:w="2693"/>
        <w:gridCol w:w="4522"/>
      </w:tblGrid>
      <w:tr w:rsidR="0041039A" w:rsidRPr="0041039A" w:rsidTr="006F71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 xml:space="preserve">Lower phoning limit </w:t>
            </w:r>
          </w:p>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(phone if less than or equal to)</w:t>
            </w:r>
          </w:p>
        </w:tc>
        <w:tc>
          <w:tcPr>
            <w:tcW w:w="2693" w:type="dxa"/>
          </w:tcPr>
          <w:p w:rsidR="0041039A" w:rsidRPr="0041039A" w:rsidRDefault="0041039A" w:rsidP="0041039A">
            <w:pPr>
              <w:widowControl/>
              <w:jc w:val="both"/>
              <w:cnfStyle w:val="100000000000" w:firstRow="1" w:lastRow="0" w:firstColumn="0" w:lastColumn="0" w:oddVBand="0" w:evenVBand="0" w:oddHBand="0" w:evenHBand="0" w:firstRowFirstColumn="0" w:firstRowLastColumn="0" w:lastRowFirstColumn="0" w:lastRowLastColumn="0"/>
              <w:rPr>
                <w:rFonts w:ascii="Arial" w:hAnsi="Arial"/>
                <w:bCs w:val="0"/>
                <w:snapToGrid/>
                <w:sz w:val="22"/>
                <w:szCs w:val="22"/>
              </w:rPr>
            </w:pPr>
            <w:r w:rsidRPr="0041039A">
              <w:rPr>
                <w:rFonts w:ascii="Arial" w:hAnsi="Arial"/>
                <w:bCs w:val="0"/>
                <w:snapToGrid/>
                <w:sz w:val="22"/>
                <w:szCs w:val="22"/>
              </w:rPr>
              <w:t>Analyte</w:t>
            </w:r>
          </w:p>
        </w:tc>
        <w:tc>
          <w:tcPr>
            <w:tcW w:w="4522" w:type="dxa"/>
          </w:tcPr>
          <w:p w:rsidR="0041039A" w:rsidRPr="0041039A" w:rsidRDefault="0041039A" w:rsidP="0041039A">
            <w:pPr>
              <w:widowControl/>
              <w:jc w:val="both"/>
              <w:cnfStyle w:val="100000000000" w:firstRow="1"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Upper phoning limit</w:t>
            </w:r>
          </w:p>
          <w:p w:rsidR="0041039A" w:rsidRPr="0041039A" w:rsidRDefault="0041039A" w:rsidP="0041039A">
            <w:pPr>
              <w:widowControl/>
              <w:jc w:val="both"/>
              <w:cnfStyle w:val="100000000000" w:firstRow="1"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(phone if greater than or equal to)</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AKI *</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 xml:space="preserve">AKI-3 </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AKI *</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AKI-2 (GP B see note) *</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ALT (U/L)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900 (unexpected inpatient/GP/out-patients)</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Amikacin (mg/L)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5.0</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Ammonia (</w:t>
            </w:r>
            <w:r w:rsidRPr="0041039A">
              <w:rPr>
                <w:rFonts w:ascii="Arial" w:hAnsi="Arial"/>
                <w:b/>
                <w:snapToGrid/>
                <w:sz w:val="22"/>
                <w:szCs w:val="22"/>
              </w:rPr>
              <w:sym w:font="Symbol" w:char="F06D"/>
            </w:r>
            <w:r w:rsidRPr="0041039A">
              <w:rPr>
                <w:rFonts w:ascii="Arial" w:hAnsi="Arial"/>
                <w:b/>
                <w:snapToGrid/>
                <w:sz w:val="22"/>
                <w:szCs w:val="22"/>
              </w:rPr>
              <w:t>mol/L)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100 (paediatric &lt;16 y only)</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Amylase (U/L)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625 (GP/out-patients only)</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AST (U/L)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750 (unexpected inpatient/GP/out-patients)</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10</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Bicarbonate (mmol/L)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n/a</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Bile acids (umol/L)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40</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Bilirubin, total (µmol/L)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300 (paediatric &lt;16 y only)</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Bilirubin, conjugated (µmol/L)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25 (paediatric only)</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1.8 (GP B see note)</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Calcium (adjusted) (mmol/L)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3.2</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Carbamazepine (mg/L)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25</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50</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Ciclosporin (</w:t>
            </w:r>
            <w:r w:rsidRPr="0041039A">
              <w:rPr>
                <w:rFonts w:ascii="Arial" w:hAnsi="Arial"/>
                <w:b/>
                <w:snapToGrid/>
                <w:sz w:val="22"/>
                <w:szCs w:val="22"/>
              </w:rPr>
              <w:sym w:font="Symbol" w:char="F06D"/>
            </w:r>
            <w:r w:rsidRPr="0041039A">
              <w:rPr>
                <w:rFonts w:ascii="Arial" w:hAnsi="Arial"/>
                <w:b/>
                <w:snapToGrid/>
                <w:sz w:val="22"/>
                <w:szCs w:val="22"/>
              </w:rPr>
              <w:t>g/L)**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250</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CK (U/L)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5000</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50 (unless post-dex.)</w:t>
            </w:r>
          </w:p>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200 (if post-synacthen)</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Cortisol (nmol/L)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n/a</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Creatinine (umol/L)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350 (200 if less than 16 years old  and adults with no previous result  or no result in the previous year)</w:t>
            </w:r>
          </w:p>
        </w:tc>
      </w:tr>
      <w:tr w:rsidR="0041039A" w:rsidRPr="0041039A" w:rsidTr="006F71DA">
        <w:trPr>
          <w:trHeight w:val="260"/>
        </w:trPr>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CRP</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200 (GP only)</w:t>
            </w:r>
          </w:p>
        </w:tc>
      </w:tr>
      <w:tr w:rsidR="0041039A" w:rsidRPr="0041039A" w:rsidTr="006F71DA">
        <w:trPr>
          <w:trHeight w:val="260"/>
        </w:trPr>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Digoxin (g/L)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2.5 (GP B see note)</w:t>
            </w:r>
          </w:p>
        </w:tc>
      </w:tr>
      <w:tr w:rsidR="0041039A" w:rsidRPr="0041039A" w:rsidTr="006F71DA">
        <w:trPr>
          <w:trHeight w:val="260"/>
        </w:trPr>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Ethanol (mg/L)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4000</w:t>
            </w:r>
          </w:p>
        </w:tc>
      </w:tr>
      <w:tr w:rsidR="007F0DC2" w:rsidRPr="0041039A" w:rsidTr="006F71DA">
        <w:trPr>
          <w:trHeight w:val="260"/>
        </w:trPr>
        <w:tc>
          <w:tcPr>
            <w:cnfStyle w:val="001000000000" w:firstRow="0" w:lastRow="0" w:firstColumn="1" w:lastColumn="0" w:oddVBand="0" w:evenVBand="0" w:oddHBand="0" w:evenHBand="0" w:firstRowFirstColumn="0" w:firstRowLastColumn="0" w:lastRowFirstColumn="0" w:lastRowLastColumn="0"/>
            <w:tcW w:w="3069" w:type="dxa"/>
          </w:tcPr>
          <w:p w:rsidR="007F0DC2" w:rsidRPr="0041039A" w:rsidRDefault="007F0DC2" w:rsidP="0041039A">
            <w:pPr>
              <w:widowControl/>
              <w:jc w:val="both"/>
              <w:rPr>
                <w:rFonts w:ascii="Arial" w:hAnsi="Arial"/>
                <w:snapToGrid/>
                <w:sz w:val="22"/>
                <w:szCs w:val="22"/>
              </w:rPr>
            </w:pPr>
            <w:r>
              <w:rPr>
                <w:rFonts w:ascii="Arial" w:hAnsi="Arial"/>
                <w:snapToGrid/>
                <w:sz w:val="22"/>
                <w:szCs w:val="22"/>
              </w:rPr>
              <w:t>n/a</w:t>
            </w:r>
          </w:p>
        </w:tc>
        <w:tc>
          <w:tcPr>
            <w:tcW w:w="2693" w:type="dxa"/>
          </w:tcPr>
          <w:p w:rsidR="007F0DC2" w:rsidRPr="0041039A" w:rsidRDefault="007F0DC2"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Pr>
                <w:rFonts w:ascii="Arial" w:hAnsi="Arial"/>
                <w:b/>
                <w:snapToGrid/>
                <w:sz w:val="22"/>
                <w:szCs w:val="22"/>
              </w:rPr>
              <w:t>Ferritin (ug/L)</w:t>
            </w:r>
          </w:p>
        </w:tc>
        <w:tc>
          <w:tcPr>
            <w:tcW w:w="4522" w:type="dxa"/>
          </w:tcPr>
          <w:p w:rsidR="007F0DC2" w:rsidRPr="0041039A" w:rsidRDefault="007F0DC2"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Pr>
                <w:rFonts w:ascii="Arial" w:hAnsi="Arial"/>
                <w:snapToGrid/>
                <w:sz w:val="22"/>
                <w:szCs w:val="22"/>
              </w:rPr>
              <w:t>10,000</w:t>
            </w:r>
          </w:p>
        </w:tc>
      </w:tr>
      <w:tr w:rsidR="0041039A" w:rsidRPr="0041039A" w:rsidTr="006F71DA">
        <w:trPr>
          <w:trHeight w:val="260"/>
        </w:trPr>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Gentamicin (mg/L)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2.0</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2.0</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Glucose (CSF) (mmol/L)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n/a</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2.5</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lang w:val="pt-PT"/>
              </w:rPr>
            </w:pPr>
            <w:r w:rsidRPr="0041039A">
              <w:rPr>
                <w:rFonts w:ascii="Arial" w:hAnsi="Arial"/>
                <w:b/>
                <w:snapToGrid/>
                <w:sz w:val="22"/>
                <w:szCs w:val="22"/>
                <w:lang w:val="pt-PT"/>
              </w:rPr>
              <w:t>Glucose (mmol/L)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15.0 (in children &lt;16 y)</w:t>
            </w:r>
          </w:p>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25.0 (adult not known to be DM)</w:t>
            </w:r>
          </w:p>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30.0 (adult known to be DM)</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Lithium (mmol/L)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1.5 (GP B see note)</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0.40</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Magnesium (mmol/L)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4.00</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260 (unexplained)</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Osmolality (serum)(mOsm/Kg H</w:t>
            </w:r>
            <w:r w:rsidRPr="0041039A">
              <w:rPr>
                <w:rFonts w:ascii="Arial" w:hAnsi="Arial"/>
                <w:b/>
                <w:snapToGrid/>
                <w:sz w:val="22"/>
                <w:szCs w:val="22"/>
                <w:vertAlign w:val="subscript"/>
              </w:rPr>
              <w:t>2</w:t>
            </w:r>
            <w:r w:rsidRPr="0041039A">
              <w:rPr>
                <w:rFonts w:ascii="Arial" w:hAnsi="Arial"/>
                <w:b/>
                <w:snapToGrid/>
                <w:sz w:val="22"/>
                <w:szCs w:val="22"/>
              </w:rPr>
              <w:t>O)</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305 (unexplained)</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Paracetamol (mg/L)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30</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Phenobarbital (mg/L)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70 (adults),  40 (paediatrics)</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Phenytoin (mg/L)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25 (GP B see note)</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0.30</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Phosphate (mmol/L)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n/a</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2.5</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Potassium (mmol/L)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6.0 (only if AKI)</w:t>
            </w:r>
          </w:p>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6.5 (all except neonates and pre-dialysis)</w:t>
            </w:r>
          </w:p>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7.0 (all)</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Salicylate (mg/L)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300</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2</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Sirolimus (</w:t>
            </w:r>
            <w:r w:rsidRPr="0041039A">
              <w:rPr>
                <w:rFonts w:ascii="Arial" w:hAnsi="Arial"/>
                <w:b/>
                <w:snapToGrid/>
                <w:sz w:val="22"/>
                <w:szCs w:val="22"/>
              </w:rPr>
              <w:sym w:font="Symbol" w:char="F06D"/>
            </w:r>
            <w:r w:rsidRPr="0041039A">
              <w:rPr>
                <w:rFonts w:ascii="Arial" w:hAnsi="Arial"/>
                <w:b/>
                <w:snapToGrid/>
                <w:sz w:val="22"/>
                <w:szCs w:val="22"/>
              </w:rPr>
              <w:t>g/L)**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10</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130 (paediatric only)</w:t>
            </w:r>
          </w:p>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120 (unexpected inpatient results/all out-patients &amp; GP's)</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Sodium (mmol/L)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150 (unexpected inpatient results/all out-patients &amp; GP's)</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Sweat chloride</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All positive tests</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3</w:t>
            </w:r>
          </w:p>
        </w:tc>
        <w:tc>
          <w:tcPr>
            <w:tcW w:w="2693" w:type="dxa"/>
          </w:tcPr>
          <w:p w:rsidR="0041039A" w:rsidRPr="0041039A" w:rsidRDefault="00582760"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Tacrolimus (</w:t>
            </w:r>
            <w:r w:rsidR="0041039A" w:rsidRPr="0041039A">
              <w:rPr>
                <w:rFonts w:ascii="Arial" w:hAnsi="Arial"/>
                <w:b/>
                <w:snapToGrid/>
                <w:sz w:val="22"/>
                <w:szCs w:val="22"/>
              </w:rPr>
              <w:t>FK506) (</w:t>
            </w:r>
            <w:r w:rsidR="0041039A" w:rsidRPr="0041039A">
              <w:rPr>
                <w:rFonts w:ascii="Arial" w:hAnsi="Arial"/>
                <w:b/>
                <w:snapToGrid/>
                <w:sz w:val="22"/>
                <w:szCs w:val="22"/>
              </w:rPr>
              <w:sym w:font="Symbol" w:char="F06D"/>
            </w:r>
            <w:r w:rsidR="0041039A" w:rsidRPr="0041039A">
              <w:rPr>
                <w:rFonts w:ascii="Arial" w:hAnsi="Arial"/>
                <w:b/>
                <w:snapToGrid/>
                <w:sz w:val="22"/>
                <w:szCs w:val="22"/>
              </w:rPr>
              <w:t>g/L)**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14</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Theophylline (mg/L)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25 (GP B see note)</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Thyroid stimulating hormone</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100 (GP only)</w:t>
            </w:r>
          </w:p>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50 (when unexpected, GP only)</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Thyroxine (T4, free)</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50 (when unexpected, GP only)</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Tobramycin (mg/L)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2.0</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Triglycerides</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20.0 (when unexpected, GP only)</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Vancomycin (mg/L)</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 xml:space="preserve">25.0 (pre dose) </w:t>
            </w:r>
          </w:p>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80 .0 (post dose)</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MPO, PR3, GBM antibodies</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New positives</w:t>
            </w:r>
          </w:p>
        </w:tc>
      </w:tr>
      <w:tr w:rsidR="0041039A" w:rsidRPr="0041039A" w:rsidTr="006F71DA">
        <w:tc>
          <w:tcPr>
            <w:cnfStyle w:val="001000000000" w:firstRow="0" w:lastRow="0" w:firstColumn="1" w:lastColumn="0" w:oddVBand="0" w:evenVBand="0" w:oddHBand="0" w:evenHBand="0" w:firstRowFirstColumn="0" w:firstRowLastColumn="0" w:lastRowFirstColumn="0" w:lastRowLastColumn="0"/>
            <w:tcW w:w="3069" w:type="dxa"/>
          </w:tcPr>
          <w:p w:rsidR="0041039A" w:rsidRPr="0041039A" w:rsidRDefault="0041039A" w:rsidP="0041039A">
            <w:pPr>
              <w:widowControl/>
              <w:jc w:val="both"/>
              <w:rPr>
                <w:rFonts w:ascii="Arial" w:hAnsi="Arial"/>
                <w:snapToGrid/>
                <w:sz w:val="22"/>
                <w:szCs w:val="22"/>
              </w:rPr>
            </w:pPr>
            <w:r w:rsidRPr="0041039A">
              <w:rPr>
                <w:rFonts w:ascii="Arial" w:hAnsi="Arial"/>
                <w:snapToGrid/>
                <w:sz w:val="22"/>
                <w:szCs w:val="22"/>
              </w:rPr>
              <w:t>n/a</w:t>
            </w:r>
          </w:p>
        </w:tc>
        <w:tc>
          <w:tcPr>
            <w:tcW w:w="2693"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b/>
                <w:snapToGrid/>
                <w:sz w:val="22"/>
                <w:szCs w:val="22"/>
              </w:rPr>
            </w:pPr>
            <w:r w:rsidRPr="0041039A">
              <w:rPr>
                <w:rFonts w:ascii="Arial" w:hAnsi="Arial"/>
                <w:b/>
                <w:snapToGrid/>
                <w:sz w:val="22"/>
                <w:szCs w:val="22"/>
              </w:rPr>
              <w:t>Paraproteins</w:t>
            </w:r>
          </w:p>
        </w:tc>
        <w:tc>
          <w:tcPr>
            <w:tcW w:w="4522" w:type="dxa"/>
          </w:tcPr>
          <w:p w:rsidR="0041039A" w:rsidRPr="0041039A" w:rsidRDefault="0041039A" w:rsidP="0041039A">
            <w:pPr>
              <w:widowControl/>
              <w:jc w:val="both"/>
              <w:cnfStyle w:val="000000000000" w:firstRow="0" w:lastRow="0" w:firstColumn="0" w:lastColumn="0" w:oddVBand="0" w:evenVBand="0" w:oddHBand="0" w:evenHBand="0" w:firstRowFirstColumn="0" w:firstRowLastColumn="0" w:lastRowFirstColumn="0" w:lastRowLastColumn="0"/>
              <w:rPr>
                <w:rFonts w:ascii="Arial" w:hAnsi="Arial"/>
                <w:snapToGrid/>
                <w:sz w:val="22"/>
                <w:szCs w:val="22"/>
              </w:rPr>
            </w:pPr>
            <w:r w:rsidRPr="0041039A">
              <w:rPr>
                <w:rFonts w:ascii="Arial" w:hAnsi="Arial"/>
                <w:snapToGrid/>
                <w:sz w:val="22"/>
                <w:szCs w:val="22"/>
              </w:rPr>
              <w:t xml:space="preserve">New cases at discretion of clinical scientist </w:t>
            </w:r>
          </w:p>
        </w:tc>
      </w:tr>
    </w:tbl>
    <w:p w:rsidR="0041039A" w:rsidRPr="0041039A" w:rsidRDefault="0041039A" w:rsidP="0041039A"/>
    <w:p w:rsidR="0041039A" w:rsidRPr="0041039A" w:rsidRDefault="0041039A" w:rsidP="0041039A">
      <w:pPr>
        <w:jc w:val="both"/>
        <w:rPr>
          <w:rFonts w:ascii="Arial" w:hAnsi="Arial" w:cs="Arial"/>
          <w:bCs/>
          <w:sz w:val="22"/>
        </w:rPr>
      </w:pPr>
      <w:r w:rsidRPr="0041039A">
        <w:rPr>
          <w:rFonts w:ascii="Arial" w:hAnsi="Arial" w:cs="Arial"/>
          <w:sz w:val="22"/>
          <w:szCs w:val="22"/>
        </w:rPr>
        <w:t xml:space="preserve">*It is not necessary to telephone AKI scores for patients on dialysis. </w:t>
      </w:r>
      <w:r w:rsidRPr="0041039A">
        <w:rPr>
          <w:rFonts w:ascii="Arial" w:hAnsi="Arial" w:cs="Arial"/>
          <w:bCs/>
          <w:sz w:val="22"/>
        </w:rPr>
        <w:t>AKI (or other) critical alerts relating to radiology patients awaiting or following contrast injection for CT must be telephoned to the duty radiologist (via the X-ray viewing extension 722-2829 between 08:00 and 17:00 Monday to Friday, or via switchboard between 17:00 and 20:00 Monday to Friday and between 08:00 to 20:00 at weekends and on public holidays). Outside of these hours such results must be telephoned to the on call medical registrar.</w:t>
      </w:r>
    </w:p>
    <w:p w:rsidR="0041039A" w:rsidRPr="0041039A" w:rsidRDefault="0041039A" w:rsidP="0041039A">
      <w:pPr>
        <w:widowControl/>
        <w:jc w:val="both"/>
        <w:rPr>
          <w:rFonts w:ascii="Arial" w:hAnsi="Arial" w:cs="Arial"/>
          <w:snapToGrid/>
          <w:sz w:val="22"/>
          <w:szCs w:val="22"/>
        </w:rPr>
      </w:pPr>
      <w:r w:rsidRPr="0041039A">
        <w:rPr>
          <w:rFonts w:ascii="Arial" w:hAnsi="Arial" w:cs="Arial"/>
          <w:snapToGrid/>
          <w:sz w:val="22"/>
          <w:szCs w:val="22"/>
        </w:rPr>
        <w:t xml:space="preserve"> </w:t>
      </w:r>
    </w:p>
    <w:p w:rsidR="0041039A" w:rsidRDefault="0041039A" w:rsidP="0041039A">
      <w:pPr>
        <w:widowControl/>
        <w:jc w:val="both"/>
        <w:rPr>
          <w:rFonts w:ascii="Arial" w:hAnsi="Arial" w:cs="Arial"/>
          <w:snapToGrid/>
          <w:sz w:val="22"/>
          <w:szCs w:val="22"/>
        </w:rPr>
      </w:pPr>
      <w:r w:rsidRPr="0041039A">
        <w:rPr>
          <w:rFonts w:ascii="Arial" w:hAnsi="Arial" w:cs="Arial"/>
          <w:snapToGrid/>
          <w:sz w:val="22"/>
          <w:szCs w:val="22"/>
        </w:rPr>
        <w:t>**Telephone all critical immunosuppressant results to the renal transplant office (</w:t>
      </w:r>
      <w:r w:rsidR="00D545C8" w:rsidRPr="0041039A">
        <w:rPr>
          <w:rFonts w:ascii="Arial" w:hAnsi="Arial" w:cs="Arial"/>
          <w:snapToGrid/>
          <w:sz w:val="22"/>
          <w:szCs w:val="22"/>
        </w:rPr>
        <w:t>ext.</w:t>
      </w:r>
      <w:r w:rsidRPr="0041039A">
        <w:rPr>
          <w:rFonts w:ascii="Arial" w:hAnsi="Arial" w:cs="Arial"/>
          <w:snapToGrid/>
          <w:sz w:val="22"/>
          <w:szCs w:val="22"/>
        </w:rPr>
        <w:t xml:space="preserve"> 722-6443) in addition to the requesting location if not a renal ward/renal unit.</w:t>
      </w:r>
    </w:p>
    <w:p w:rsidR="00834711" w:rsidRPr="0041039A" w:rsidRDefault="00834711" w:rsidP="0041039A">
      <w:pPr>
        <w:widowControl/>
        <w:jc w:val="both"/>
        <w:rPr>
          <w:rFonts w:ascii="Arial" w:hAnsi="Arial" w:cs="Arial"/>
          <w:snapToGrid/>
          <w:sz w:val="22"/>
          <w:szCs w:val="22"/>
        </w:rPr>
      </w:pPr>
    </w:p>
    <w:p w:rsidR="00834711" w:rsidRPr="00834711" w:rsidRDefault="00834711" w:rsidP="00834711">
      <w:pPr>
        <w:widowControl/>
        <w:jc w:val="both"/>
        <w:rPr>
          <w:rFonts w:ascii="Arial" w:hAnsi="Arial"/>
          <w:b/>
          <w:snapToGrid/>
          <w:sz w:val="20"/>
        </w:rPr>
      </w:pPr>
      <w:r w:rsidRPr="00834711">
        <w:rPr>
          <w:rFonts w:ascii="Arial" w:hAnsi="Arial"/>
          <w:b/>
          <w:snapToGrid/>
          <w:sz w:val="20"/>
        </w:rPr>
        <w:t>Note GP B: if primary care and out of surgery hours then telephone the GP the next day unless the next day is a Saturday, Sunday or Public Holiday in which case telephone the out of hours service</w:t>
      </w:r>
    </w:p>
    <w:p w:rsidR="0041039A" w:rsidRPr="0041039A" w:rsidRDefault="0041039A" w:rsidP="0041039A">
      <w:pPr>
        <w:widowControl/>
        <w:jc w:val="both"/>
        <w:rPr>
          <w:rFonts w:ascii="Arial" w:hAnsi="Arial"/>
          <w:b/>
          <w:snapToGrid/>
          <w:sz w:val="20"/>
        </w:rPr>
      </w:pPr>
    </w:p>
    <w:p w:rsidR="00834711" w:rsidRPr="00834711" w:rsidRDefault="00834711" w:rsidP="00834711">
      <w:pPr>
        <w:jc w:val="both"/>
        <w:rPr>
          <w:rFonts w:ascii="Arial" w:hAnsi="Arial"/>
          <w:b/>
          <w:snapToGrid/>
          <w:sz w:val="20"/>
        </w:rPr>
      </w:pPr>
      <w:r w:rsidRPr="00834711">
        <w:rPr>
          <w:rFonts w:ascii="Arial" w:hAnsi="Arial"/>
          <w:b/>
          <w:snapToGrid/>
          <w:sz w:val="20"/>
        </w:rPr>
        <w:t>Note: tests in cells with blue shading do not need to be telephoned to A&amp;E (Emergency Department, ED), unless the laboratory has been informed that the PTL is out of operation.</w:t>
      </w:r>
    </w:p>
    <w:p w:rsidR="0041039A" w:rsidRDefault="0041039A" w:rsidP="0041039A">
      <w:pPr>
        <w:jc w:val="both"/>
        <w:rPr>
          <w:szCs w:val="22"/>
        </w:rPr>
      </w:pPr>
    </w:p>
    <w:p w:rsidR="00D545C8" w:rsidRDefault="00D545C8" w:rsidP="0041039A">
      <w:pPr>
        <w:jc w:val="both"/>
        <w:rPr>
          <w:szCs w:val="22"/>
        </w:rPr>
      </w:pPr>
    </w:p>
    <w:p w:rsidR="00D545C8" w:rsidRPr="0041039A" w:rsidRDefault="00D545C8" w:rsidP="0041039A">
      <w:pPr>
        <w:jc w:val="both"/>
        <w:rPr>
          <w:szCs w:val="22"/>
        </w:rPr>
      </w:pPr>
    </w:p>
    <w:p w:rsidR="0041039A" w:rsidRPr="0041039A" w:rsidRDefault="0041039A" w:rsidP="00FB3727">
      <w:pPr>
        <w:keepNext/>
        <w:numPr>
          <w:ilvl w:val="0"/>
          <w:numId w:val="44"/>
        </w:numPr>
        <w:spacing w:before="240" w:after="60"/>
        <w:ind w:left="567"/>
        <w:outlineLvl w:val="0"/>
        <w:rPr>
          <w:rFonts w:ascii="Arial" w:hAnsi="Arial"/>
          <w:b/>
          <w:kern w:val="28"/>
          <w:sz w:val="28"/>
        </w:rPr>
      </w:pPr>
      <w:r w:rsidRPr="0041039A">
        <w:rPr>
          <w:rFonts w:ascii="Arial" w:hAnsi="Arial"/>
          <w:b/>
          <w:kern w:val="28"/>
          <w:sz w:val="28"/>
        </w:rPr>
        <w:t>INTERPRETATION OF RESULTS/UNCERTAINTY OF MEASUREMENT</w:t>
      </w:r>
    </w:p>
    <w:p w:rsidR="0041039A" w:rsidRPr="0041039A" w:rsidRDefault="0041039A" w:rsidP="0041039A"/>
    <w:p w:rsidR="0041039A" w:rsidRPr="0041039A" w:rsidRDefault="0041039A" w:rsidP="0041039A">
      <w:pPr>
        <w:widowControl/>
        <w:suppressAutoHyphens/>
        <w:autoSpaceDE w:val="0"/>
        <w:autoSpaceDN w:val="0"/>
        <w:textAlignment w:val="baseline"/>
        <w:rPr>
          <w:rFonts w:ascii="Arial" w:eastAsia="Calibri" w:hAnsi="Arial" w:cs="Arial"/>
          <w:b/>
          <w:bCs/>
          <w:snapToGrid/>
          <w:color w:val="000000"/>
          <w:sz w:val="22"/>
          <w:szCs w:val="22"/>
        </w:rPr>
      </w:pPr>
      <w:r w:rsidRPr="0041039A">
        <w:rPr>
          <w:rFonts w:ascii="Arial" w:eastAsia="Calibri" w:hAnsi="Arial" w:cs="Arial"/>
          <w:b/>
          <w:bCs/>
          <w:snapToGrid/>
          <w:color w:val="000000"/>
          <w:sz w:val="22"/>
          <w:szCs w:val="22"/>
        </w:rPr>
        <w:t xml:space="preserve">Physiological factors affecting test results </w:t>
      </w:r>
    </w:p>
    <w:p w:rsidR="0041039A" w:rsidRPr="0041039A" w:rsidRDefault="0041039A" w:rsidP="0041039A">
      <w:pPr>
        <w:widowControl/>
        <w:suppressAutoHyphens/>
        <w:autoSpaceDE w:val="0"/>
        <w:autoSpaceDN w:val="0"/>
        <w:textAlignment w:val="baseline"/>
        <w:rPr>
          <w:rFonts w:ascii="Cambria" w:eastAsia="Calibri" w:hAnsi="Cambria" w:cs="Cambria"/>
          <w:snapToGrid/>
          <w:color w:val="000000"/>
          <w:szCs w:val="24"/>
        </w:rPr>
      </w:pPr>
    </w:p>
    <w:p w:rsidR="0041039A" w:rsidRPr="00D8441A" w:rsidRDefault="0041039A" w:rsidP="00D8441A">
      <w:pPr>
        <w:widowControl/>
        <w:numPr>
          <w:ilvl w:val="0"/>
          <w:numId w:val="63"/>
        </w:numPr>
        <w:suppressAutoHyphens/>
        <w:autoSpaceDE w:val="0"/>
        <w:autoSpaceDN w:val="0"/>
        <w:spacing w:line="360" w:lineRule="auto"/>
        <w:contextualSpacing/>
        <w:jc w:val="both"/>
        <w:textAlignment w:val="baseline"/>
        <w:rPr>
          <w:rFonts w:ascii="Arial" w:hAnsi="Arial" w:cs="Arial"/>
          <w:sz w:val="22"/>
          <w:szCs w:val="22"/>
        </w:rPr>
      </w:pPr>
      <w:r w:rsidRPr="0041039A">
        <w:rPr>
          <w:rFonts w:ascii="Arial" w:eastAsia="Calibri" w:hAnsi="Arial" w:cs="Arial"/>
          <w:snapToGrid/>
          <w:color w:val="000000"/>
          <w:sz w:val="22"/>
          <w:szCs w:val="22"/>
        </w:rPr>
        <w:t>Many factors other than disease affect the value and the interpretation of a variety of tests. Common factors (i.e. age, gender) are often accounted for with the use of appropriate reference ranges.</w:t>
      </w:r>
    </w:p>
    <w:p w:rsidR="0041039A" w:rsidRPr="00D8441A" w:rsidRDefault="0041039A" w:rsidP="00D8441A">
      <w:pPr>
        <w:numPr>
          <w:ilvl w:val="0"/>
          <w:numId w:val="47"/>
        </w:numPr>
        <w:spacing w:line="360" w:lineRule="auto"/>
        <w:contextualSpacing/>
        <w:jc w:val="both"/>
        <w:rPr>
          <w:rFonts w:ascii="Arial" w:hAnsi="Arial" w:cs="Arial"/>
          <w:sz w:val="22"/>
          <w:szCs w:val="22"/>
        </w:rPr>
      </w:pPr>
      <w:r w:rsidRPr="0041039A">
        <w:rPr>
          <w:rFonts w:ascii="Arial" w:hAnsi="Arial" w:cs="Arial"/>
          <w:sz w:val="22"/>
          <w:szCs w:val="22"/>
        </w:rPr>
        <w:t xml:space="preserve">Parameters such as the time of sampling (e.g. serum cortisol results will be highest at approximately 9 a.m. in the morning and will reach a nadir at midnight). </w:t>
      </w:r>
    </w:p>
    <w:p w:rsidR="0041039A" w:rsidRPr="00D8441A" w:rsidRDefault="0041039A" w:rsidP="00D8441A">
      <w:pPr>
        <w:numPr>
          <w:ilvl w:val="0"/>
          <w:numId w:val="47"/>
        </w:numPr>
        <w:spacing w:line="360" w:lineRule="auto"/>
        <w:contextualSpacing/>
        <w:jc w:val="both"/>
        <w:rPr>
          <w:rFonts w:ascii="Arial" w:hAnsi="Arial" w:cs="Arial"/>
          <w:sz w:val="22"/>
          <w:szCs w:val="22"/>
        </w:rPr>
      </w:pPr>
      <w:r w:rsidRPr="0041039A">
        <w:rPr>
          <w:rFonts w:ascii="Arial" w:hAnsi="Arial" w:cs="Arial"/>
          <w:sz w:val="22"/>
          <w:szCs w:val="22"/>
        </w:rPr>
        <w:t xml:space="preserve">Sample handling may also affect analytes (e.g. bilirubin and porphyrins may be destroyed by exposure to light; bicarbonate may be lost to the atmosphere; haemolysis will increase plasma potassium and phosphate concentrations.) </w:t>
      </w:r>
    </w:p>
    <w:p w:rsidR="0041039A" w:rsidRPr="00D8441A" w:rsidRDefault="0041039A" w:rsidP="00D8441A">
      <w:pPr>
        <w:numPr>
          <w:ilvl w:val="0"/>
          <w:numId w:val="47"/>
        </w:numPr>
        <w:spacing w:line="360" w:lineRule="auto"/>
        <w:contextualSpacing/>
        <w:jc w:val="both"/>
        <w:rPr>
          <w:rFonts w:ascii="Arial" w:hAnsi="Arial" w:cs="Arial"/>
          <w:sz w:val="22"/>
          <w:szCs w:val="22"/>
        </w:rPr>
      </w:pPr>
      <w:r w:rsidRPr="0041039A">
        <w:rPr>
          <w:rFonts w:ascii="Arial" w:hAnsi="Arial" w:cs="Arial"/>
          <w:sz w:val="22"/>
          <w:szCs w:val="22"/>
        </w:rPr>
        <w:t xml:space="preserve">Drugs may have effects in vivo on the measurands of interest (e.g. phenytoin and phenobarbitone induce gamma glutamyl transferase and alkaline phosphatase synthesis; oral contraceptives will induce alpha-1 antitrypsin synthesis.) </w:t>
      </w:r>
    </w:p>
    <w:p w:rsidR="0041039A" w:rsidRPr="0041039A" w:rsidRDefault="0041039A" w:rsidP="00D8441A">
      <w:pPr>
        <w:numPr>
          <w:ilvl w:val="0"/>
          <w:numId w:val="47"/>
        </w:numPr>
        <w:spacing w:line="360" w:lineRule="auto"/>
        <w:contextualSpacing/>
        <w:jc w:val="both"/>
        <w:rPr>
          <w:rFonts w:ascii="Arial" w:hAnsi="Arial" w:cs="Arial"/>
          <w:sz w:val="22"/>
          <w:szCs w:val="22"/>
        </w:rPr>
      </w:pPr>
      <w:r w:rsidRPr="0041039A">
        <w:rPr>
          <w:rFonts w:ascii="Arial" w:hAnsi="Arial" w:cs="Arial"/>
          <w:sz w:val="22"/>
          <w:szCs w:val="22"/>
        </w:rPr>
        <w:t>Interpretation of results should take into account biological differences between individuals. For example, serum creatinine concentration is higher in African-Caribbeans than Caucasians for the same level of glomerular filtration rate; in pregnancy serum alkaline phosphatase activity is increased and serum urea concentration decreased.</w:t>
      </w:r>
    </w:p>
    <w:p w:rsidR="0041039A" w:rsidRPr="0041039A" w:rsidRDefault="0041039A" w:rsidP="0041039A">
      <w:pPr>
        <w:widowControl/>
        <w:suppressAutoHyphens/>
        <w:autoSpaceDE w:val="0"/>
        <w:autoSpaceDN w:val="0"/>
        <w:textAlignment w:val="baseline"/>
        <w:rPr>
          <w:rFonts w:ascii="Arial" w:eastAsia="Calibri" w:hAnsi="Arial" w:cs="Arial"/>
          <w:snapToGrid/>
          <w:sz w:val="22"/>
          <w:szCs w:val="22"/>
        </w:rPr>
      </w:pPr>
    </w:p>
    <w:p w:rsidR="0041039A" w:rsidRPr="0041039A" w:rsidRDefault="0041039A" w:rsidP="0041039A">
      <w:pPr>
        <w:widowControl/>
        <w:suppressAutoHyphens/>
        <w:autoSpaceDE w:val="0"/>
        <w:autoSpaceDN w:val="0"/>
        <w:textAlignment w:val="baseline"/>
        <w:rPr>
          <w:rFonts w:ascii="Arial" w:eastAsia="Calibri" w:hAnsi="Arial" w:cs="Arial"/>
          <w:b/>
          <w:bCs/>
          <w:snapToGrid/>
          <w:sz w:val="22"/>
          <w:szCs w:val="22"/>
        </w:rPr>
      </w:pPr>
      <w:r w:rsidRPr="0041039A">
        <w:rPr>
          <w:rFonts w:ascii="Arial" w:eastAsia="Calibri" w:hAnsi="Arial" w:cs="Arial"/>
          <w:b/>
          <w:bCs/>
          <w:snapToGrid/>
          <w:sz w:val="22"/>
          <w:szCs w:val="22"/>
        </w:rPr>
        <w:t>Pre analytical factors affecting test results</w:t>
      </w:r>
    </w:p>
    <w:p w:rsidR="0041039A" w:rsidRPr="0041039A" w:rsidRDefault="0041039A" w:rsidP="0041039A">
      <w:pPr>
        <w:widowControl/>
        <w:suppressAutoHyphens/>
        <w:autoSpaceDE w:val="0"/>
        <w:autoSpaceDN w:val="0"/>
        <w:textAlignment w:val="baseline"/>
        <w:rPr>
          <w:rFonts w:ascii="Arial" w:eastAsia="Calibri" w:hAnsi="Arial" w:cs="Arial"/>
          <w:b/>
          <w:bCs/>
          <w:snapToGrid/>
          <w:sz w:val="22"/>
          <w:szCs w:val="22"/>
        </w:rPr>
      </w:pPr>
    </w:p>
    <w:p w:rsidR="0041039A" w:rsidRPr="0041039A" w:rsidRDefault="0041039A" w:rsidP="00D8441A">
      <w:pPr>
        <w:widowControl/>
        <w:suppressAutoHyphens/>
        <w:autoSpaceDE w:val="0"/>
        <w:autoSpaceDN w:val="0"/>
        <w:spacing w:line="360" w:lineRule="auto"/>
        <w:contextualSpacing/>
        <w:jc w:val="both"/>
        <w:textAlignment w:val="baseline"/>
        <w:rPr>
          <w:rFonts w:ascii="Arial" w:eastAsia="Calibri" w:hAnsi="Arial" w:cs="Arial"/>
          <w:bCs/>
          <w:snapToGrid/>
          <w:sz w:val="22"/>
          <w:szCs w:val="22"/>
        </w:rPr>
      </w:pPr>
      <w:r w:rsidRPr="0041039A">
        <w:rPr>
          <w:rFonts w:ascii="Arial" w:eastAsia="Calibri" w:hAnsi="Arial" w:cs="Arial"/>
          <w:bCs/>
          <w:snapToGrid/>
          <w:sz w:val="22"/>
          <w:szCs w:val="22"/>
        </w:rPr>
        <w:t>Common analytical factors that are known to affect the performance of a test or the interpretation of results are described below:</w:t>
      </w:r>
    </w:p>
    <w:p w:rsidR="0041039A" w:rsidRPr="0041039A" w:rsidRDefault="0041039A" w:rsidP="0041039A">
      <w:pPr>
        <w:widowControl/>
        <w:suppressAutoHyphens/>
        <w:autoSpaceDE w:val="0"/>
        <w:autoSpaceDN w:val="0"/>
        <w:textAlignment w:val="baseline"/>
        <w:rPr>
          <w:rFonts w:ascii="Arial" w:eastAsia="Calibri" w:hAnsi="Arial" w:cs="Arial"/>
          <w:bCs/>
          <w:snapToGrid/>
          <w:sz w:val="22"/>
          <w:szCs w:val="22"/>
        </w:rPr>
      </w:pPr>
    </w:p>
    <w:p w:rsidR="00652042" w:rsidRDefault="00652042" w:rsidP="00652042">
      <w:pPr>
        <w:widowControl/>
        <w:spacing w:after="160" w:line="259" w:lineRule="auto"/>
        <w:rPr>
          <w:rFonts w:ascii="Arial" w:eastAsia="Calibri" w:hAnsi="Arial" w:cs="Arial"/>
          <w:b/>
          <w:snapToGrid/>
          <w:sz w:val="22"/>
          <w:szCs w:val="22"/>
        </w:rPr>
      </w:pPr>
      <w:r w:rsidRPr="00652042">
        <w:rPr>
          <w:rFonts w:ascii="Arial" w:eastAsia="Calibri" w:hAnsi="Arial" w:cs="Arial"/>
          <w:b/>
          <w:snapToGrid/>
          <w:sz w:val="22"/>
          <w:szCs w:val="22"/>
        </w:rPr>
        <w:t>Factors Precautions</w:t>
      </w:r>
    </w:p>
    <w:p w:rsidR="00652042" w:rsidRPr="00652042" w:rsidRDefault="00652042" w:rsidP="00652042">
      <w:pPr>
        <w:widowControl/>
        <w:spacing w:after="160" w:line="259" w:lineRule="auto"/>
        <w:rPr>
          <w:rFonts w:ascii="Arial" w:eastAsia="Calibri" w:hAnsi="Arial" w:cs="Arial"/>
          <w:snapToGrid/>
          <w:sz w:val="22"/>
          <w:szCs w:val="22"/>
        </w:rPr>
      </w:pPr>
      <w:r w:rsidRPr="00652042">
        <w:rPr>
          <w:rFonts w:ascii="Arial" w:eastAsia="Calibri" w:hAnsi="Arial" w:cs="Arial"/>
          <w:b/>
          <w:snapToGrid/>
          <w:sz w:val="22"/>
          <w:szCs w:val="22"/>
        </w:rPr>
        <w:t>Mixing</w:t>
      </w:r>
      <w:r>
        <w:rPr>
          <w:rFonts w:ascii="Arial" w:eastAsia="Calibri" w:hAnsi="Arial" w:cs="Arial"/>
          <w:b/>
          <w:snapToGrid/>
          <w:sz w:val="22"/>
          <w:szCs w:val="22"/>
        </w:rPr>
        <w:t>:</w:t>
      </w:r>
      <w:r>
        <w:rPr>
          <w:rFonts w:ascii="Arial" w:eastAsia="Calibri" w:hAnsi="Arial" w:cs="Arial"/>
          <w:snapToGrid/>
          <w:sz w:val="22"/>
          <w:szCs w:val="22"/>
        </w:rPr>
        <w:t xml:space="preserve"> </w:t>
      </w:r>
      <w:r w:rsidRPr="00652042">
        <w:rPr>
          <w:rFonts w:ascii="Arial" w:eastAsia="Calibri" w:hAnsi="Arial" w:cs="Arial"/>
          <w:snapToGrid/>
          <w:sz w:val="22"/>
          <w:szCs w:val="22"/>
        </w:rPr>
        <w:t>Thorough but gentle mixing of blood with anti-coagulant must be carried out by gently inverting the tube at least three times, immediately on collection.</w:t>
      </w:r>
    </w:p>
    <w:p w:rsidR="00652042" w:rsidRPr="00652042" w:rsidRDefault="00652042" w:rsidP="00652042">
      <w:pPr>
        <w:widowControl/>
        <w:spacing w:after="160" w:line="259" w:lineRule="auto"/>
        <w:rPr>
          <w:rFonts w:ascii="Arial" w:eastAsia="Calibri" w:hAnsi="Arial" w:cs="Arial"/>
          <w:snapToGrid/>
          <w:sz w:val="22"/>
          <w:szCs w:val="22"/>
        </w:rPr>
      </w:pPr>
      <w:r w:rsidRPr="00652042">
        <w:rPr>
          <w:rFonts w:ascii="Arial" w:eastAsia="Calibri" w:hAnsi="Arial" w:cs="Arial"/>
          <w:b/>
          <w:snapToGrid/>
          <w:sz w:val="22"/>
          <w:szCs w:val="22"/>
        </w:rPr>
        <w:t>Haemolysis</w:t>
      </w:r>
      <w:r>
        <w:rPr>
          <w:rFonts w:ascii="Arial" w:eastAsia="Calibri" w:hAnsi="Arial" w:cs="Arial"/>
          <w:snapToGrid/>
          <w:sz w:val="22"/>
          <w:szCs w:val="22"/>
        </w:rPr>
        <w:t xml:space="preserve">: </w:t>
      </w:r>
      <w:r w:rsidRPr="00652042">
        <w:rPr>
          <w:rFonts w:ascii="Arial" w:eastAsia="Calibri" w:hAnsi="Arial" w:cs="Arial"/>
          <w:snapToGrid/>
          <w:sz w:val="22"/>
          <w:szCs w:val="22"/>
        </w:rPr>
        <w:t>Avoid mechanical trauma to red cells. Never inject blood through a syringe needle into a specimen collection tube. Avoid extremes of temperature.</w:t>
      </w:r>
    </w:p>
    <w:p w:rsidR="00652042" w:rsidRPr="00652042" w:rsidRDefault="00652042" w:rsidP="00652042">
      <w:pPr>
        <w:widowControl/>
        <w:spacing w:after="160" w:line="259" w:lineRule="auto"/>
        <w:rPr>
          <w:rFonts w:ascii="Arial" w:eastAsia="Calibri" w:hAnsi="Arial" w:cs="Arial"/>
          <w:snapToGrid/>
          <w:sz w:val="22"/>
          <w:szCs w:val="22"/>
        </w:rPr>
      </w:pPr>
      <w:r w:rsidRPr="00652042">
        <w:rPr>
          <w:rFonts w:ascii="Arial" w:eastAsia="Calibri" w:hAnsi="Arial" w:cs="Arial"/>
          <w:b/>
          <w:snapToGrid/>
          <w:sz w:val="22"/>
          <w:szCs w:val="22"/>
        </w:rPr>
        <w:t>Contamination</w:t>
      </w:r>
      <w:r>
        <w:rPr>
          <w:rFonts w:ascii="Arial" w:eastAsia="Calibri" w:hAnsi="Arial" w:cs="Arial"/>
          <w:snapToGrid/>
          <w:sz w:val="22"/>
          <w:szCs w:val="22"/>
        </w:rPr>
        <w:t xml:space="preserve">: </w:t>
      </w:r>
      <w:r w:rsidRPr="00652042">
        <w:rPr>
          <w:rFonts w:ascii="Arial" w:eastAsia="Calibri" w:hAnsi="Arial" w:cs="Arial"/>
          <w:snapToGrid/>
          <w:sz w:val="22"/>
          <w:szCs w:val="22"/>
        </w:rPr>
        <w:t>Do not take blood from the same limb being used for infusion of fluids or decant blood from one container to another. Always follow the correct order of drawn, taking blood into a purple top (EDTA) tube last.</w:t>
      </w:r>
    </w:p>
    <w:p w:rsidR="00652042" w:rsidRPr="00652042" w:rsidRDefault="00652042" w:rsidP="00652042">
      <w:pPr>
        <w:widowControl/>
        <w:spacing w:after="160" w:line="259" w:lineRule="auto"/>
        <w:rPr>
          <w:rFonts w:ascii="Arial" w:eastAsia="Calibri" w:hAnsi="Arial" w:cs="Arial"/>
          <w:snapToGrid/>
          <w:sz w:val="22"/>
          <w:szCs w:val="22"/>
        </w:rPr>
      </w:pPr>
      <w:r w:rsidRPr="00652042">
        <w:rPr>
          <w:rFonts w:ascii="Arial" w:eastAsia="Calibri" w:hAnsi="Arial" w:cs="Arial"/>
          <w:b/>
          <w:snapToGrid/>
          <w:sz w:val="22"/>
          <w:szCs w:val="22"/>
        </w:rPr>
        <w:t>Venous constriction</w:t>
      </w:r>
      <w:r>
        <w:rPr>
          <w:rFonts w:ascii="Arial" w:eastAsia="Calibri" w:hAnsi="Arial" w:cs="Arial"/>
          <w:snapToGrid/>
          <w:sz w:val="22"/>
          <w:szCs w:val="22"/>
        </w:rPr>
        <w:t xml:space="preserve">: </w:t>
      </w:r>
      <w:r w:rsidRPr="00652042">
        <w:rPr>
          <w:rFonts w:ascii="Arial" w:eastAsia="Calibri" w:hAnsi="Arial" w:cs="Arial"/>
          <w:snapToGrid/>
          <w:sz w:val="22"/>
          <w:szCs w:val="22"/>
        </w:rPr>
        <w:t>It is essential that there should be no venous constriction (tourniquet) or active muscle movement during the collection of blood for the estimation of such constituents as calcium, protein, lactate and electrolytes, as this can lead to considerable alteration in levels. If avoidance of constriction is not practicable, its duration must be kept to an absolute minimum.</w:t>
      </w:r>
    </w:p>
    <w:p w:rsidR="00652042" w:rsidRPr="00652042" w:rsidRDefault="00652042" w:rsidP="00652042">
      <w:pPr>
        <w:widowControl/>
        <w:spacing w:after="160" w:line="259" w:lineRule="auto"/>
        <w:rPr>
          <w:rFonts w:ascii="Arial" w:eastAsia="Calibri" w:hAnsi="Arial" w:cs="Arial"/>
          <w:snapToGrid/>
          <w:sz w:val="22"/>
          <w:szCs w:val="22"/>
        </w:rPr>
      </w:pPr>
      <w:r w:rsidRPr="00652042">
        <w:rPr>
          <w:rFonts w:ascii="Arial" w:eastAsia="Calibri" w:hAnsi="Arial" w:cs="Arial"/>
          <w:b/>
          <w:snapToGrid/>
          <w:sz w:val="22"/>
          <w:szCs w:val="22"/>
        </w:rPr>
        <w:t>Delay in transport of specimens to laboratory</w:t>
      </w:r>
      <w:r>
        <w:rPr>
          <w:rFonts w:ascii="Arial" w:eastAsia="Calibri" w:hAnsi="Arial" w:cs="Arial"/>
          <w:b/>
          <w:snapToGrid/>
          <w:sz w:val="22"/>
          <w:szCs w:val="22"/>
        </w:rPr>
        <w:t>:</w:t>
      </w:r>
      <w:r>
        <w:rPr>
          <w:rFonts w:ascii="Arial" w:eastAsia="Calibri" w:hAnsi="Arial" w:cs="Arial"/>
          <w:snapToGrid/>
          <w:sz w:val="22"/>
          <w:szCs w:val="22"/>
        </w:rPr>
        <w:t xml:space="preserve"> </w:t>
      </w:r>
      <w:r w:rsidRPr="00652042">
        <w:rPr>
          <w:rFonts w:ascii="Arial" w:eastAsia="Calibri" w:hAnsi="Arial" w:cs="Arial"/>
          <w:snapToGrid/>
          <w:sz w:val="22"/>
          <w:szCs w:val="22"/>
        </w:rPr>
        <w:t>Considerable changes in the concentration of some blood constituents may occur if the blood is allowed to stand for any length of time before analysis begins, or separation of serum or plasma occurs. Samples must be transported to the laboratory in a timely fashion and are not stored prior to delivery. All samples must reach the laboratory within 4 hours.</w:t>
      </w:r>
    </w:p>
    <w:p w:rsidR="00652042" w:rsidRPr="00652042" w:rsidRDefault="00652042" w:rsidP="00652042">
      <w:pPr>
        <w:widowControl/>
        <w:spacing w:after="160" w:line="259" w:lineRule="auto"/>
        <w:rPr>
          <w:rFonts w:ascii="Arial" w:eastAsia="Calibri" w:hAnsi="Arial" w:cs="Arial"/>
          <w:snapToGrid/>
          <w:sz w:val="22"/>
          <w:szCs w:val="22"/>
        </w:rPr>
      </w:pPr>
      <w:r w:rsidRPr="00652042">
        <w:rPr>
          <w:rFonts w:ascii="Arial" w:eastAsia="Calibri" w:hAnsi="Arial" w:cs="Arial"/>
          <w:b/>
          <w:snapToGrid/>
          <w:sz w:val="22"/>
          <w:szCs w:val="22"/>
        </w:rPr>
        <w:t>Interfering substances</w:t>
      </w:r>
      <w:r>
        <w:rPr>
          <w:rFonts w:ascii="Arial" w:eastAsia="Calibri" w:hAnsi="Arial" w:cs="Arial"/>
          <w:snapToGrid/>
          <w:sz w:val="22"/>
          <w:szCs w:val="22"/>
        </w:rPr>
        <w:t xml:space="preserve">: </w:t>
      </w:r>
      <w:r w:rsidRPr="00652042">
        <w:rPr>
          <w:rFonts w:ascii="Arial" w:eastAsia="Calibri" w:hAnsi="Arial" w:cs="Arial"/>
          <w:snapToGrid/>
          <w:sz w:val="22"/>
          <w:szCs w:val="22"/>
        </w:rPr>
        <w:t>Previous administration of a substance or drug may cause interference in analysis. It is impossible to list all such potential interferences and advice should be sought from the duty biochemist if required.</w:t>
      </w:r>
    </w:p>
    <w:p w:rsidR="00652042" w:rsidRDefault="00652042" w:rsidP="0041039A">
      <w:pPr>
        <w:widowControl/>
        <w:suppressAutoHyphens/>
        <w:autoSpaceDE w:val="0"/>
        <w:autoSpaceDN w:val="0"/>
        <w:textAlignment w:val="baseline"/>
        <w:rPr>
          <w:rFonts w:ascii="Arial" w:eastAsia="Calibri" w:hAnsi="Arial" w:cs="Arial"/>
          <w:b/>
          <w:snapToGrid/>
          <w:sz w:val="22"/>
          <w:szCs w:val="22"/>
        </w:rPr>
      </w:pPr>
    </w:p>
    <w:p w:rsidR="0041039A" w:rsidRPr="0041039A" w:rsidRDefault="0041039A" w:rsidP="0041039A">
      <w:pPr>
        <w:widowControl/>
        <w:suppressAutoHyphens/>
        <w:autoSpaceDE w:val="0"/>
        <w:autoSpaceDN w:val="0"/>
        <w:textAlignment w:val="baseline"/>
        <w:rPr>
          <w:rFonts w:ascii="Arial" w:eastAsia="Calibri" w:hAnsi="Arial" w:cs="Arial"/>
          <w:b/>
          <w:bCs/>
          <w:snapToGrid/>
          <w:color w:val="000000"/>
          <w:sz w:val="22"/>
          <w:szCs w:val="22"/>
        </w:rPr>
      </w:pPr>
      <w:r w:rsidRPr="0041039A">
        <w:rPr>
          <w:rFonts w:ascii="Arial" w:eastAsia="Calibri" w:hAnsi="Arial" w:cs="Arial"/>
          <w:b/>
          <w:bCs/>
          <w:snapToGrid/>
          <w:color w:val="000000"/>
          <w:sz w:val="22"/>
          <w:szCs w:val="22"/>
        </w:rPr>
        <w:t xml:space="preserve">Uncertainty of measurement </w:t>
      </w:r>
    </w:p>
    <w:p w:rsidR="0041039A" w:rsidRPr="0041039A" w:rsidRDefault="0041039A" w:rsidP="0041039A">
      <w:pPr>
        <w:widowControl/>
        <w:suppressAutoHyphens/>
        <w:autoSpaceDE w:val="0"/>
        <w:autoSpaceDN w:val="0"/>
        <w:textAlignment w:val="baseline"/>
        <w:rPr>
          <w:rFonts w:ascii="Arial" w:eastAsia="Calibri" w:hAnsi="Arial" w:cs="Arial"/>
          <w:b/>
          <w:bCs/>
          <w:snapToGrid/>
          <w:color w:val="000000"/>
          <w:sz w:val="22"/>
          <w:szCs w:val="22"/>
        </w:rPr>
      </w:pPr>
    </w:p>
    <w:p w:rsidR="0041039A" w:rsidRPr="0041039A" w:rsidRDefault="0041039A" w:rsidP="00C56402">
      <w:pPr>
        <w:tabs>
          <w:tab w:val="left" w:pos="709"/>
        </w:tabs>
        <w:spacing w:line="360" w:lineRule="auto"/>
        <w:contextualSpacing/>
        <w:jc w:val="both"/>
        <w:rPr>
          <w:rFonts w:ascii="Arial" w:hAnsi="Arial" w:cs="Arial"/>
          <w:color w:val="000000"/>
          <w:sz w:val="22"/>
          <w:szCs w:val="22"/>
        </w:rPr>
      </w:pPr>
      <w:r w:rsidRPr="0041039A">
        <w:rPr>
          <w:rFonts w:ascii="Arial" w:hAnsi="Arial" w:cs="Arial"/>
          <w:sz w:val="22"/>
          <w:szCs w:val="22"/>
        </w:rPr>
        <w:t>When interpreting any laboratory result factors such as those discussed above should be considered. When monitoring a patient’s status or disease it is important to consider how big a change in result is required before it can be considered significant. This value is known as the reference change value, and can be derived from knowledge of analytical and biological variation. For example, for serum sodium two results should differ by more than 4% before they can be said to have significantly changed; for serum creatinine</w:t>
      </w:r>
      <w:r w:rsidRPr="0041039A">
        <w:rPr>
          <w:rFonts w:ascii="Arial" w:hAnsi="Arial" w:cs="Arial"/>
          <w:color w:val="000000"/>
          <w:sz w:val="22"/>
          <w:szCs w:val="22"/>
        </w:rPr>
        <w:t xml:space="preserve"> the value is approximately 13%. </w:t>
      </w:r>
    </w:p>
    <w:p w:rsidR="0041039A" w:rsidRPr="0041039A" w:rsidRDefault="0041039A" w:rsidP="00D8441A">
      <w:pPr>
        <w:widowControl/>
        <w:suppressAutoHyphens/>
        <w:autoSpaceDE w:val="0"/>
        <w:autoSpaceDN w:val="0"/>
        <w:spacing w:line="360" w:lineRule="auto"/>
        <w:contextualSpacing/>
        <w:jc w:val="both"/>
        <w:textAlignment w:val="baseline"/>
        <w:rPr>
          <w:rFonts w:ascii="Arial" w:eastAsia="Calibri" w:hAnsi="Arial" w:cs="Arial"/>
          <w:snapToGrid/>
          <w:color w:val="000000"/>
          <w:sz w:val="22"/>
          <w:szCs w:val="22"/>
        </w:rPr>
      </w:pPr>
    </w:p>
    <w:p w:rsidR="0041039A" w:rsidRPr="0041039A" w:rsidRDefault="0041039A" w:rsidP="00D8441A">
      <w:pPr>
        <w:widowControl/>
        <w:suppressAutoHyphens/>
        <w:autoSpaceDE w:val="0"/>
        <w:autoSpaceDN w:val="0"/>
        <w:spacing w:line="360" w:lineRule="auto"/>
        <w:contextualSpacing/>
        <w:jc w:val="both"/>
        <w:textAlignment w:val="baseline"/>
        <w:rPr>
          <w:rFonts w:ascii="Arial" w:eastAsia="Calibri" w:hAnsi="Arial" w:cs="Arial"/>
          <w:snapToGrid/>
          <w:color w:val="000000"/>
          <w:sz w:val="22"/>
          <w:szCs w:val="22"/>
        </w:rPr>
      </w:pPr>
      <w:r w:rsidRPr="0041039A">
        <w:rPr>
          <w:rFonts w:ascii="Arial" w:eastAsia="Calibri" w:hAnsi="Arial" w:cs="Arial"/>
          <w:snapToGrid/>
          <w:color w:val="000000"/>
          <w:sz w:val="22"/>
          <w:szCs w:val="22"/>
        </w:rPr>
        <w:t xml:space="preserve">All biochemical results are subject to a degree of uncertainty of measurement. This may be due to a range of factors, including: </w:t>
      </w:r>
    </w:p>
    <w:p w:rsidR="0041039A" w:rsidRPr="0041039A" w:rsidRDefault="0041039A" w:rsidP="00D8441A">
      <w:pPr>
        <w:widowControl/>
        <w:numPr>
          <w:ilvl w:val="0"/>
          <w:numId w:val="62"/>
        </w:numPr>
        <w:suppressAutoHyphens/>
        <w:autoSpaceDE w:val="0"/>
        <w:autoSpaceDN w:val="0"/>
        <w:spacing w:line="360" w:lineRule="auto"/>
        <w:contextualSpacing/>
        <w:jc w:val="both"/>
        <w:textAlignment w:val="baseline"/>
        <w:rPr>
          <w:rFonts w:ascii="Arial" w:eastAsia="Calibri" w:hAnsi="Arial" w:cs="Arial"/>
          <w:snapToGrid/>
          <w:color w:val="000000"/>
          <w:sz w:val="22"/>
          <w:szCs w:val="22"/>
        </w:rPr>
      </w:pPr>
      <w:r w:rsidRPr="0041039A">
        <w:rPr>
          <w:rFonts w:ascii="Arial" w:eastAsia="Calibri" w:hAnsi="Arial" w:cs="Arial"/>
          <w:snapToGrid/>
          <w:color w:val="000000"/>
          <w:sz w:val="22"/>
          <w:szCs w:val="22"/>
        </w:rPr>
        <w:t xml:space="preserve">Biological variation within individuals </w:t>
      </w:r>
    </w:p>
    <w:p w:rsidR="0041039A" w:rsidRPr="0041039A" w:rsidRDefault="0041039A" w:rsidP="00D8441A">
      <w:pPr>
        <w:widowControl/>
        <w:numPr>
          <w:ilvl w:val="0"/>
          <w:numId w:val="62"/>
        </w:numPr>
        <w:suppressAutoHyphens/>
        <w:autoSpaceDE w:val="0"/>
        <w:autoSpaceDN w:val="0"/>
        <w:spacing w:line="360" w:lineRule="auto"/>
        <w:contextualSpacing/>
        <w:jc w:val="both"/>
        <w:textAlignment w:val="baseline"/>
        <w:rPr>
          <w:rFonts w:ascii="Arial" w:eastAsia="Calibri" w:hAnsi="Arial" w:cs="Arial"/>
          <w:snapToGrid/>
          <w:color w:val="000000"/>
          <w:sz w:val="22"/>
          <w:szCs w:val="22"/>
        </w:rPr>
      </w:pPr>
      <w:r w:rsidRPr="0041039A">
        <w:rPr>
          <w:rFonts w:ascii="Arial" w:eastAsia="Calibri" w:hAnsi="Arial" w:cs="Arial"/>
          <w:snapToGrid/>
          <w:color w:val="000000"/>
          <w:sz w:val="22"/>
          <w:szCs w:val="22"/>
        </w:rPr>
        <w:t xml:space="preserve">Analytical measurement imprecision </w:t>
      </w:r>
    </w:p>
    <w:p w:rsidR="0041039A" w:rsidRPr="0041039A" w:rsidRDefault="0041039A" w:rsidP="00D8441A">
      <w:pPr>
        <w:widowControl/>
        <w:numPr>
          <w:ilvl w:val="0"/>
          <w:numId w:val="62"/>
        </w:numPr>
        <w:suppressAutoHyphens/>
        <w:autoSpaceDE w:val="0"/>
        <w:autoSpaceDN w:val="0"/>
        <w:spacing w:line="360" w:lineRule="auto"/>
        <w:contextualSpacing/>
        <w:jc w:val="both"/>
        <w:textAlignment w:val="baseline"/>
        <w:rPr>
          <w:rFonts w:ascii="Arial" w:eastAsia="Calibri" w:hAnsi="Arial" w:cs="Arial"/>
          <w:snapToGrid/>
          <w:color w:val="000000"/>
          <w:sz w:val="22"/>
          <w:szCs w:val="22"/>
        </w:rPr>
      </w:pPr>
      <w:r w:rsidRPr="0041039A">
        <w:rPr>
          <w:rFonts w:ascii="Arial" w:eastAsia="Calibri" w:hAnsi="Arial" w:cs="Arial"/>
          <w:snapToGrid/>
          <w:color w:val="000000"/>
          <w:sz w:val="22"/>
          <w:szCs w:val="22"/>
        </w:rPr>
        <w:t xml:space="preserve">Pre-analytical factors </w:t>
      </w:r>
    </w:p>
    <w:p w:rsidR="0041039A" w:rsidRPr="0041039A" w:rsidRDefault="0041039A" w:rsidP="00D8441A">
      <w:pPr>
        <w:widowControl/>
        <w:suppressAutoHyphens/>
        <w:autoSpaceDE w:val="0"/>
        <w:autoSpaceDN w:val="0"/>
        <w:spacing w:line="360" w:lineRule="auto"/>
        <w:contextualSpacing/>
        <w:jc w:val="both"/>
        <w:textAlignment w:val="baseline"/>
        <w:rPr>
          <w:rFonts w:ascii="Arial" w:eastAsia="Calibri" w:hAnsi="Arial" w:cs="Arial"/>
          <w:snapToGrid/>
          <w:color w:val="000000"/>
          <w:sz w:val="22"/>
          <w:szCs w:val="22"/>
        </w:rPr>
      </w:pPr>
    </w:p>
    <w:p w:rsidR="006F664F" w:rsidRPr="0041039A" w:rsidRDefault="0041039A" w:rsidP="006F664F">
      <w:pPr>
        <w:spacing w:line="360" w:lineRule="auto"/>
        <w:contextualSpacing/>
        <w:jc w:val="both"/>
      </w:pPr>
      <w:r w:rsidRPr="0041039A">
        <w:rPr>
          <w:rFonts w:ascii="Arial" w:hAnsi="Arial" w:cs="Arial"/>
          <w:sz w:val="22"/>
          <w:szCs w:val="22"/>
        </w:rPr>
        <w:t>If you require more information regarding the effects of these factors on the outcome of an individual test result please contact the Duty Bioch</w:t>
      </w:r>
      <w:r w:rsidR="00FD56FE">
        <w:rPr>
          <w:rFonts w:ascii="Arial" w:hAnsi="Arial" w:cs="Arial"/>
          <w:sz w:val="22"/>
          <w:szCs w:val="22"/>
        </w:rPr>
        <w:t>emist on 01233 616287 (723-6287)</w:t>
      </w:r>
    </w:p>
    <w:p w:rsidR="0041039A" w:rsidRPr="0041039A" w:rsidRDefault="0041039A" w:rsidP="00FB3727">
      <w:pPr>
        <w:keepNext/>
        <w:numPr>
          <w:ilvl w:val="0"/>
          <w:numId w:val="44"/>
        </w:numPr>
        <w:spacing w:before="240" w:after="60"/>
        <w:ind w:left="567"/>
        <w:outlineLvl w:val="0"/>
        <w:rPr>
          <w:rFonts w:ascii="Arial" w:hAnsi="Arial"/>
          <w:b/>
          <w:kern w:val="28"/>
          <w:sz w:val="28"/>
        </w:rPr>
      </w:pPr>
      <w:r w:rsidRPr="0041039A">
        <w:rPr>
          <w:rFonts w:ascii="Arial" w:hAnsi="Arial"/>
          <w:b/>
          <w:kern w:val="28"/>
          <w:sz w:val="28"/>
        </w:rPr>
        <w:t>MANAGEMENT OF DATA AND INFORMATION</w:t>
      </w:r>
    </w:p>
    <w:p w:rsidR="0041039A" w:rsidRPr="0041039A" w:rsidRDefault="0041039A" w:rsidP="0041039A"/>
    <w:p w:rsidR="0041039A" w:rsidRPr="0041039A" w:rsidRDefault="0041039A" w:rsidP="00D8441A">
      <w:pPr>
        <w:overflowPunct w:val="0"/>
        <w:autoSpaceDE w:val="0"/>
        <w:autoSpaceDN w:val="0"/>
        <w:adjustRightInd w:val="0"/>
        <w:spacing w:line="360" w:lineRule="auto"/>
        <w:contextualSpacing/>
        <w:jc w:val="both"/>
        <w:textAlignment w:val="baseline"/>
        <w:outlineLvl w:val="0"/>
        <w:rPr>
          <w:rFonts w:ascii="Arial" w:hAnsi="Arial" w:cs="Arial"/>
          <w:sz w:val="22"/>
          <w:szCs w:val="22"/>
        </w:rPr>
      </w:pPr>
      <w:r w:rsidRPr="0041039A">
        <w:rPr>
          <w:rFonts w:ascii="Arial" w:hAnsi="Arial" w:cs="Arial"/>
          <w:sz w:val="22"/>
          <w:szCs w:val="22"/>
        </w:rPr>
        <w:t xml:space="preserve">The proper management of data and information in the laboratory is essential for the provision of the service. </w:t>
      </w:r>
    </w:p>
    <w:p w:rsidR="0041039A" w:rsidRPr="0041039A" w:rsidRDefault="0041039A" w:rsidP="00D8441A">
      <w:pPr>
        <w:overflowPunct w:val="0"/>
        <w:autoSpaceDE w:val="0"/>
        <w:autoSpaceDN w:val="0"/>
        <w:adjustRightInd w:val="0"/>
        <w:spacing w:line="360" w:lineRule="auto"/>
        <w:contextualSpacing/>
        <w:jc w:val="both"/>
        <w:textAlignment w:val="baseline"/>
        <w:outlineLvl w:val="0"/>
        <w:rPr>
          <w:rFonts w:ascii="Arial" w:hAnsi="Arial" w:cs="Arial"/>
          <w:sz w:val="22"/>
          <w:szCs w:val="22"/>
        </w:rPr>
      </w:pPr>
      <w:r w:rsidRPr="0041039A">
        <w:rPr>
          <w:rFonts w:ascii="Arial" w:hAnsi="Arial" w:cs="Arial"/>
          <w:sz w:val="22"/>
          <w:szCs w:val="22"/>
        </w:rPr>
        <w:t>Clinical Biochemistry and Immunology is committed to meeting its information security obligations to meet the needs of users, clients, patients and staff with respect to confidentiality, integrity and availability, which are defined as follows:</w:t>
      </w:r>
    </w:p>
    <w:p w:rsidR="0041039A" w:rsidRPr="0041039A" w:rsidRDefault="0041039A" w:rsidP="00D8441A">
      <w:pPr>
        <w:overflowPunct w:val="0"/>
        <w:autoSpaceDE w:val="0"/>
        <w:autoSpaceDN w:val="0"/>
        <w:adjustRightInd w:val="0"/>
        <w:spacing w:line="360" w:lineRule="auto"/>
        <w:contextualSpacing/>
        <w:jc w:val="both"/>
        <w:textAlignment w:val="baseline"/>
        <w:outlineLvl w:val="0"/>
        <w:rPr>
          <w:rFonts w:ascii="Arial" w:hAnsi="Arial" w:cs="Arial"/>
          <w:sz w:val="22"/>
          <w:szCs w:val="22"/>
        </w:rPr>
      </w:pPr>
      <w:r w:rsidRPr="0041039A">
        <w:rPr>
          <w:rFonts w:ascii="Arial" w:hAnsi="Arial" w:cs="Arial"/>
          <w:sz w:val="22"/>
          <w:szCs w:val="22"/>
        </w:rPr>
        <w:t>Confidentiality:</w:t>
      </w:r>
      <w:r w:rsidRPr="0041039A">
        <w:rPr>
          <w:rFonts w:ascii="Arial" w:hAnsi="Arial" w:cs="Arial"/>
          <w:sz w:val="22"/>
          <w:szCs w:val="22"/>
        </w:rPr>
        <w:tab/>
        <w:t>protecting information from unauthorised disclosure</w:t>
      </w:r>
    </w:p>
    <w:p w:rsidR="0041039A" w:rsidRPr="0041039A" w:rsidRDefault="0041039A" w:rsidP="00D8441A">
      <w:pPr>
        <w:overflowPunct w:val="0"/>
        <w:autoSpaceDE w:val="0"/>
        <w:autoSpaceDN w:val="0"/>
        <w:adjustRightInd w:val="0"/>
        <w:spacing w:line="360" w:lineRule="auto"/>
        <w:contextualSpacing/>
        <w:jc w:val="both"/>
        <w:textAlignment w:val="baseline"/>
        <w:outlineLvl w:val="0"/>
        <w:rPr>
          <w:rFonts w:ascii="Arial" w:hAnsi="Arial" w:cs="Arial"/>
          <w:sz w:val="22"/>
          <w:szCs w:val="22"/>
        </w:rPr>
      </w:pPr>
      <w:r w:rsidRPr="0041039A">
        <w:rPr>
          <w:rFonts w:ascii="Arial" w:hAnsi="Arial" w:cs="Arial"/>
          <w:sz w:val="22"/>
          <w:szCs w:val="22"/>
        </w:rPr>
        <w:t>Integrity:</w:t>
      </w:r>
      <w:r w:rsidRPr="0041039A">
        <w:rPr>
          <w:rFonts w:ascii="Arial" w:hAnsi="Arial" w:cs="Arial"/>
          <w:sz w:val="22"/>
          <w:szCs w:val="22"/>
        </w:rPr>
        <w:tab/>
        <w:t>safeguarding the accuracy and completeness of information and software</w:t>
      </w:r>
    </w:p>
    <w:p w:rsidR="0041039A" w:rsidRPr="0041039A" w:rsidRDefault="0041039A" w:rsidP="00D8441A">
      <w:pPr>
        <w:overflowPunct w:val="0"/>
        <w:autoSpaceDE w:val="0"/>
        <w:autoSpaceDN w:val="0"/>
        <w:adjustRightInd w:val="0"/>
        <w:spacing w:line="360" w:lineRule="auto"/>
        <w:contextualSpacing/>
        <w:jc w:val="both"/>
        <w:textAlignment w:val="baseline"/>
        <w:outlineLvl w:val="0"/>
        <w:rPr>
          <w:rFonts w:ascii="Arial" w:hAnsi="Arial" w:cs="Arial"/>
          <w:sz w:val="22"/>
          <w:szCs w:val="22"/>
        </w:rPr>
      </w:pPr>
      <w:r w:rsidRPr="0041039A">
        <w:rPr>
          <w:rFonts w:ascii="Arial" w:hAnsi="Arial" w:cs="Arial"/>
          <w:sz w:val="22"/>
          <w:szCs w:val="22"/>
        </w:rPr>
        <w:t>Availability:</w:t>
      </w:r>
      <w:r w:rsidRPr="0041039A">
        <w:rPr>
          <w:rFonts w:ascii="Arial" w:hAnsi="Arial" w:cs="Arial"/>
          <w:sz w:val="22"/>
          <w:szCs w:val="22"/>
        </w:rPr>
        <w:tab/>
        <w:t xml:space="preserve">ensuring information and vital services are available to users when required  </w:t>
      </w:r>
    </w:p>
    <w:p w:rsidR="0041039A" w:rsidRPr="0041039A" w:rsidRDefault="0041039A" w:rsidP="00D8441A">
      <w:pPr>
        <w:overflowPunct w:val="0"/>
        <w:autoSpaceDE w:val="0"/>
        <w:autoSpaceDN w:val="0"/>
        <w:adjustRightInd w:val="0"/>
        <w:spacing w:line="360" w:lineRule="auto"/>
        <w:contextualSpacing/>
        <w:jc w:val="both"/>
        <w:textAlignment w:val="baseline"/>
        <w:outlineLvl w:val="0"/>
        <w:rPr>
          <w:rFonts w:ascii="Arial" w:hAnsi="Arial" w:cs="Arial"/>
          <w:sz w:val="22"/>
          <w:szCs w:val="22"/>
        </w:rPr>
      </w:pPr>
    </w:p>
    <w:p w:rsidR="0041039A" w:rsidRPr="0041039A" w:rsidRDefault="0041039A" w:rsidP="00D8441A">
      <w:pPr>
        <w:overflowPunct w:val="0"/>
        <w:autoSpaceDE w:val="0"/>
        <w:autoSpaceDN w:val="0"/>
        <w:adjustRightInd w:val="0"/>
        <w:spacing w:line="360" w:lineRule="auto"/>
        <w:contextualSpacing/>
        <w:jc w:val="both"/>
        <w:textAlignment w:val="baseline"/>
        <w:outlineLvl w:val="0"/>
        <w:rPr>
          <w:rFonts w:ascii="Arial" w:hAnsi="Arial" w:cs="Arial"/>
          <w:b/>
          <w:bCs/>
          <w:snapToGrid/>
          <w:sz w:val="22"/>
          <w:szCs w:val="22"/>
        </w:rPr>
      </w:pPr>
      <w:r w:rsidRPr="0041039A">
        <w:rPr>
          <w:rFonts w:ascii="Arial" w:hAnsi="Arial" w:cs="Arial"/>
          <w:b/>
          <w:bCs/>
          <w:sz w:val="22"/>
          <w:szCs w:val="22"/>
        </w:rPr>
        <w:t>DIR-MP-Q107</w:t>
      </w:r>
      <w:r w:rsidRPr="0041039A">
        <w:rPr>
          <w:rFonts w:ascii="Arial" w:hAnsi="Arial" w:cs="Arial"/>
          <w:sz w:val="22"/>
          <w:szCs w:val="22"/>
        </w:rPr>
        <w:t xml:space="preserve"> The Management of Data and Information</w:t>
      </w:r>
      <w:r w:rsidRPr="0041039A">
        <w:rPr>
          <w:rFonts w:ascii="Arial" w:hAnsi="Arial" w:cs="Arial"/>
          <w:color w:val="0070C0"/>
          <w:sz w:val="22"/>
          <w:szCs w:val="22"/>
        </w:rPr>
        <w:t xml:space="preserve"> </w:t>
      </w:r>
      <w:r w:rsidRPr="0041039A">
        <w:rPr>
          <w:rFonts w:ascii="Arial" w:hAnsi="Arial" w:cs="Arial"/>
          <w:sz w:val="22"/>
          <w:szCs w:val="22"/>
        </w:rPr>
        <w:t>describes the department’s adherence to this standard.</w:t>
      </w:r>
    </w:p>
    <w:p w:rsidR="006F664F" w:rsidRDefault="0041039A" w:rsidP="00D8441A">
      <w:pPr>
        <w:autoSpaceDE w:val="0"/>
        <w:autoSpaceDN w:val="0"/>
        <w:adjustRightInd w:val="0"/>
        <w:spacing w:line="360" w:lineRule="auto"/>
        <w:ind w:right="527"/>
        <w:contextualSpacing/>
        <w:jc w:val="both"/>
        <w:rPr>
          <w:rFonts w:ascii="Arial" w:hAnsi="Arial" w:cs="Arial"/>
          <w:sz w:val="22"/>
          <w:szCs w:val="22"/>
          <w:lang w:eastAsia="en-GB"/>
        </w:rPr>
      </w:pPr>
      <w:r w:rsidRPr="0041039A">
        <w:rPr>
          <w:rFonts w:ascii="Arial" w:hAnsi="Arial" w:cs="Arial"/>
          <w:sz w:val="22"/>
          <w:szCs w:val="22"/>
          <w:lang w:eastAsia="en-GB"/>
        </w:rPr>
        <w:t>Results cannot be given directly to patients. All test results must be obtained from the clinical requestor.</w:t>
      </w:r>
    </w:p>
    <w:p w:rsidR="00E61534" w:rsidRDefault="00E61534" w:rsidP="00D8441A">
      <w:pPr>
        <w:autoSpaceDE w:val="0"/>
        <w:autoSpaceDN w:val="0"/>
        <w:adjustRightInd w:val="0"/>
        <w:spacing w:line="360" w:lineRule="auto"/>
        <w:ind w:right="527"/>
        <w:contextualSpacing/>
        <w:jc w:val="both"/>
        <w:rPr>
          <w:rFonts w:ascii="Arial" w:hAnsi="Arial" w:cs="Arial"/>
          <w:sz w:val="22"/>
          <w:szCs w:val="22"/>
          <w:lang w:eastAsia="en-GB"/>
        </w:rPr>
      </w:pPr>
    </w:p>
    <w:p w:rsidR="00E61534" w:rsidRDefault="00E61534" w:rsidP="00D8441A">
      <w:pPr>
        <w:autoSpaceDE w:val="0"/>
        <w:autoSpaceDN w:val="0"/>
        <w:adjustRightInd w:val="0"/>
        <w:spacing w:line="360" w:lineRule="auto"/>
        <w:ind w:right="527"/>
        <w:contextualSpacing/>
        <w:jc w:val="both"/>
        <w:rPr>
          <w:rFonts w:ascii="Arial" w:hAnsi="Arial" w:cs="Arial"/>
          <w:sz w:val="22"/>
          <w:szCs w:val="22"/>
          <w:lang w:eastAsia="en-GB"/>
        </w:rPr>
      </w:pPr>
    </w:p>
    <w:p w:rsidR="00E61534" w:rsidRPr="006F664F" w:rsidRDefault="00E61534" w:rsidP="00D8441A">
      <w:pPr>
        <w:autoSpaceDE w:val="0"/>
        <w:autoSpaceDN w:val="0"/>
        <w:adjustRightInd w:val="0"/>
        <w:spacing w:line="360" w:lineRule="auto"/>
        <w:ind w:right="527"/>
        <w:contextualSpacing/>
        <w:jc w:val="both"/>
        <w:rPr>
          <w:rFonts w:ascii="Arial" w:hAnsi="Arial" w:cs="Arial"/>
          <w:sz w:val="22"/>
          <w:szCs w:val="22"/>
          <w:lang w:eastAsia="en-GB"/>
        </w:rPr>
      </w:pPr>
    </w:p>
    <w:p w:rsidR="0041039A" w:rsidRPr="0041039A" w:rsidRDefault="0041039A" w:rsidP="00FB3727">
      <w:pPr>
        <w:keepNext/>
        <w:numPr>
          <w:ilvl w:val="0"/>
          <w:numId w:val="44"/>
        </w:numPr>
        <w:spacing w:before="240" w:after="60"/>
        <w:ind w:left="567"/>
        <w:outlineLvl w:val="0"/>
        <w:rPr>
          <w:rFonts w:ascii="Arial" w:hAnsi="Arial"/>
          <w:b/>
          <w:kern w:val="28"/>
          <w:sz w:val="28"/>
        </w:rPr>
      </w:pPr>
      <w:r w:rsidRPr="0041039A">
        <w:rPr>
          <w:rFonts w:ascii="Arial" w:hAnsi="Arial"/>
          <w:b/>
          <w:kern w:val="28"/>
          <w:sz w:val="28"/>
        </w:rPr>
        <w:t>SERVICE COMPLIMENTS AND COMPLAINTS</w:t>
      </w:r>
    </w:p>
    <w:p w:rsidR="0041039A" w:rsidRPr="0041039A" w:rsidRDefault="0041039A" w:rsidP="00D8441A">
      <w:pPr>
        <w:spacing w:line="360" w:lineRule="auto"/>
        <w:contextualSpacing/>
        <w:jc w:val="both"/>
      </w:pPr>
      <w:r w:rsidRPr="0041039A">
        <w:rPr>
          <w:rFonts w:ascii="Arial" w:hAnsi="Arial" w:cs="Arial"/>
          <w:sz w:val="22"/>
          <w:szCs w:val="22"/>
        </w:rPr>
        <w:t>Should your experience of our services not reach the very high expectations we set out to achieve then we would appreciate you contacting a senior member of staff (see below) to discuss your complaint/concern:</w:t>
      </w:r>
    </w:p>
    <w:p w:rsidR="001753F1" w:rsidRDefault="001753F1" w:rsidP="00D8441A">
      <w:pPr>
        <w:spacing w:line="360" w:lineRule="auto"/>
        <w:contextualSpacing/>
        <w:jc w:val="both"/>
        <w:rPr>
          <w:rFonts w:ascii="Arial" w:hAnsi="Arial" w:cs="Arial"/>
          <w:b/>
          <w:sz w:val="22"/>
          <w:szCs w:val="22"/>
        </w:rPr>
      </w:pPr>
    </w:p>
    <w:p w:rsidR="0041039A" w:rsidRPr="0041039A" w:rsidRDefault="0041039A" w:rsidP="00D8441A">
      <w:pPr>
        <w:spacing w:line="360" w:lineRule="auto"/>
        <w:contextualSpacing/>
        <w:jc w:val="both"/>
        <w:rPr>
          <w:rFonts w:ascii="Arial" w:hAnsi="Arial" w:cs="Arial"/>
          <w:sz w:val="22"/>
          <w:szCs w:val="22"/>
        </w:rPr>
      </w:pPr>
      <w:r w:rsidRPr="0041039A">
        <w:rPr>
          <w:rFonts w:ascii="Arial" w:hAnsi="Arial" w:cs="Arial"/>
          <w:b/>
          <w:sz w:val="22"/>
          <w:szCs w:val="22"/>
        </w:rPr>
        <w:t>For Informal Complaints</w:t>
      </w:r>
    </w:p>
    <w:p w:rsidR="0041039A" w:rsidRPr="0041039A" w:rsidRDefault="0041039A" w:rsidP="00D8441A">
      <w:pPr>
        <w:spacing w:line="360" w:lineRule="auto"/>
        <w:contextualSpacing/>
        <w:jc w:val="both"/>
        <w:rPr>
          <w:rFonts w:ascii="Arial" w:hAnsi="Arial" w:cs="Arial"/>
          <w:sz w:val="22"/>
          <w:szCs w:val="22"/>
        </w:rPr>
      </w:pPr>
      <w:r w:rsidRPr="0041039A">
        <w:rPr>
          <w:rFonts w:ascii="Arial" w:hAnsi="Arial" w:cs="Arial"/>
          <w:sz w:val="22"/>
          <w:szCs w:val="22"/>
        </w:rPr>
        <w:t xml:space="preserve">Head Biomedical Scientist (Mr Phil Bates) </w:t>
      </w:r>
      <w:r w:rsidRPr="0041039A">
        <w:rPr>
          <w:rFonts w:ascii="Arial" w:hAnsi="Arial" w:cs="Arial"/>
          <w:sz w:val="22"/>
          <w:szCs w:val="22"/>
        </w:rPr>
        <w:tab/>
      </w:r>
      <w:r w:rsidRPr="0041039A">
        <w:rPr>
          <w:rFonts w:ascii="Arial" w:hAnsi="Arial" w:cs="Arial"/>
          <w:sz w:val="22"/>
          <w:szCs w:val="22"/>
        </w:rPr>
        <w:tab/>
      </w:r>
      <w:r w:rsidRPr="0041039A">
        <w:rPr>
          <w:rFonts w:ascii="Arial" w:hAnsi="Arial" w:cs="Arial"/>
          <w:sz w:val="22"/>
          <w:szCs w:val="22"/>
        </w:rPr>
        <w:tab/>
        <w:t xml:space="preserve">   </w:t>
      </w:r>
      <w:r w:rsidR="001753F1">
        <w:rPr>
          <w:rFonts w:ascii="Arial" w:hAnsi="Arial" w:cs="Arial"/>
          <w:sz w:val="22"/>
          <w:szCs w:val="22"/>
        </w:rPr>
        <w:t xml:space="preserve">       </w:t>
      </w:r>
      <w:hyperlink r:id="rId24" w:history="1">
        <w:r w:rsidRPr="0041039A">
          <w:rPr>
            <w:rFonts w:ascii="Arial" w:hAnsi="Arial" w:cs="Arial"/>
            <w:color w:val="0000FF"/>
            <w:sz w:val="22"/>
            <w:szCs w:val="22"/>
            <w:u w:val="single"/>
          </w:rPr>
          <w:t>philipbates@nhs.net</w:t>
        </w:r>
      </w:hyperlink>
      <w:r w:rsidRPr="0041039A">
        <w:rPr>
          <w:rFonts w:ascii="Arial" w:hAnsi="Arial" w:cs="Arial"/>
          <w:sz w:val="22"/>
          <w:szCs w:val="22"/>
        </w:rPr>
        <w:t xml:space="preserve"> or Ext 722-4368</w:t>
      </w:r>
    </w:p>
    <w:p w:rsidR="0041039A" w:rsidRPr="0041039A" w:rsidRDefault="0041039A" w:rsidP="00D8441A">
      <w:pPr>
        <w:spacing w:line="360" w:lineRule="auto"/>
        <w:contextualSpacing/>
        <w:jc w:val="both"/>
      </w:pPr>
      <w:r w:rsidRPr="0041039A">
        <w:rPr>
          <w:rFonts w:ascii="Arial" w:hAnsi="Arial" w:cs="Arial"/>
          <w:sz w:val="22"/>
          <w:szCs w:val="22"/>
        </w:rPr>
        <w:t xml:space="preserve">Head of Service (Dr Sally Stock) </w:t>
      </w:r>
      <w:r w:rsidRPr="0041039A">
        <w:rPr>
          <w:rFonts w:ascii="Arial" w:hAnsi="Arial" w:cs="Arial"/>
          <w:sz w:val="22"/>
          <w:szCs w:val="22"/>
        </w:rPr>
        <w:tab/>
      </w:r>
      <w:r w:rsidRPr="0041039A">
        <w:rPr>
          <w:rFonts w:ascii="Arial" w:hAnsi="Arial" w:cs="Arial"/>
          <w:sz w:val="22"/>
          <w:szCs w:val="22"/>
        </w:rPr>
        <w:tab/>
      </w:r>
      <w:r w:rsidRPr="0041039A">
        <w:rPr>
          <w:rFonts w:ascii="Arial" w:hAnsi="Arial" w:cs="Arial"/>
          <w:sz w:val="22"/>
          <w:szCs w:val="22"/>
        </w:rPr>
        <w:tab/>
      </w:r>
      <w:r w:rsidRPr="0041039A">
        <w:rPr>
          <w:rFonts w:ascii="Arial" w:hAnsi="Arial" w:cs="Arial"/>
          <w:sz w:val="22"/>
          <w:szCs w:val="22"/>
        </w:rPr>
        <w:tab/>
        <w:t xml:space="preserve">  </w:t>
      </w:r>
      <w:r w:rsidR="001753F1">
        <w:rPr>
          <w:rFonts w:ascii="Arial" w:hAnsi="Arial" w:cs="Arial"/>
          <w:sz w:val="22"/>
          <w:szCs w:val="22"/>
        </w:rPr>
        <w:t xml:space="preserve">        </w:t>
      </w:r>
      <w:hyperlink r:id="rId25" w:history="1">
        <w:r w:rsidRPr="0041039A">
          <w:rPr>
            <w:rFonts w:ascii="Arial" w:hAnsi="Arial" w:cs="Arial"/>
            <w:color w:val="0000FF"/>
            <w:sz w:val="22"/>
            <w:szCs w:val="22"/>
            <w:u w:val="single"/>
          </w:rPr>
          <w:t>sally.stock@nhs.net</w:t>
        </w:r>
      </w:hyperlink>
      <w:r w:rsidRPr="0041039A">
        <w:rPr>
          <w:rFonts w:ascii="Arial" w:hAnsi="Arial" w:cs="Arial"/>
          <w:sz w:val="22"/>
          <w:szCs w:val="22"/>
        </w:rPr>
        <w:t xml:space="preserve">  or Ext 723-6025 </w:t>
      </w:r>
    </w:p>
    <w:p w:rsidR="001C3559" w:rsidRDefault="001C3559" w:rsidP="00D8441A">
      <w:pPr>
        <w:spacing w:line="360" w:lineRule="auto"/>
        <w:contextualSpacing/>
        <w:jc w:val="both"/>
        <w:rPr>
          <w:rFonts w:ascii="Arial" w:hAnsi="Arial" w:cs="Arial"/>
          <w:b/>
          <w:sz w:val="22"/>
          <w:szCs w:val="22"/>
        </w:rPr>
      </w:pPr>
    </w:p>
    <w:p w:rsidR="001C3559" w:rsidRDefault="001C3559" w:rsidP="001C3559">
      <w:pPr>
        <w:pStyle w:val="NormalWeb"/>
        <w:shd w:val="clear" w:color="auto" w:fill="FFFFFF"/>
        <w:rPr>
          <w:rFonts w:ascii="Arial" w:hAnsi="Arial" w:cs="Arial"/>
          <w:b/>
          <w:sz w:val="22"/>
          <w:szCs w:val="22"/>
        </w:rPr>
      </w:pPr>
      <w:r>
        <w:rPr>
          <w:rFonts w:ascii="Arial" w:hAnsi="Arial" w:cs="Arial"/>
          <w:b/>
          <w:sz w:val="22"/>
          <w:szCs w:val="22"/>
        </w:rPr>
        <w:t>Patients or family members can contact the patient advice and Liaison Service:</w:t>
      </w:r>
    </w:p>
    <w:p w:rsidR="001C3559" w:rsidRPr="00FD56FE" w:rsidRDefault="001C3559" w:rsidP="001C3559">
      <w:pPr>
        <w:pStyle w:val="NormalWeb"/>
        <w:shd w:val="clear" w:color="auto" w:fill="FFFFFF"/>
        <w:rPr>
          <w:rFonts w:ascii="Arial" w:hAnsi="Arial" w:cs="Arial"/>
          <w:color w:val="383A42"/>
          <w:sz w:val="22"/>
          <w:szCs w:val="22"/>
        </w:rPr>
      </w:pPr>
      <w:r w:rsidRPr="00FD56FE">
        <w:rPr>
          <w:rStyle w:val="Strong"/>
          <w:rFonts w:ascii="Arial" w:hAnsi="Arial" w:cs="Arial"/>
          <w:color w:val="383A42"/>
          <w:sz w:val="22"/>
          <w:szCs w:val="22"/>
        </w:rPr>
        <w:t>Phone: </w:t>
      </w:r>
      <w:r w:rsidRPr="00FD56FE">
        <w:rPr>
          <w:rFonts w:ascii="Arial" w:hAnsi="Arial" w:cs="Arial"/>
          <w:color w:val="383A42"/>
          <w:sz w:val="22"/>
          <w:szCs w:val="22"/>
        </w:rPr>
        <w:t>01227 783145 9:00am to 4:00pm, every Monday to Friday</w:t>
      </w:r>
    </w:p>
    <w:p w:rsidR="001C3559" w:rsidRPr="00FD56FE" w:rsidRDefault="001C3559" w:rsidP="001C3559">
      <w:pPr>
        <w:pStyle w:val="NormalWeb"/>
        <w:shd w:val="clear" w:color="auto" w:fill="FFFFFF"/>
        <w:rPr>
          <w:rFonts w:ascii="Arial" w:hAnsi="Arial" w:cs="Arial"/>
          <w:color w:val="383A42"/>
          <w:sz w:val="22"/>
          <w:szCs w:val="22"/>
        </w:rPr>
      </w:pPr>
      <w:r w:rsidRPr="00FD56FE">
        <w:rPr>
          <w:rStyle w:val="Strong"/>
          <w:rFonts w:ascii="Arial" w:hAnsi="Arial" w:cs="Arial"/>
          <w:color w:val="383A42"/>
          <w:sz w:val="22"/>
          <w:szCs w:val="22"/>
        </w:rPr>
        <w:t>Email: </w:t>
      </w:r>
      <w:hyperlink r:id="rId26" w:history="1">
        <w:r w:rsidRPr="00CA5297">
          <w:rPr>
            <w:rStyle w:val="Hyperlink"/>
            <w:rFonts w:ascii="Arial" w:hAnsi="Arial" w:cs="Arial"/>
            <w:bCs/>
            <w:sz w:val="22"/>
            <w:szCs w:val="22"/>
          </w:rPr>
          <w:t>ekh-tr.pals@nhs.net</w:t>
        </w:r>
      </w:hyperlink>
    </w:p>
    <w:p w:rsidR="001C3559" w:rsidRPr="00CA5297" w:rsidRDefault="001C3559" w:rsidP="00D8441A">
      <w:pPr>
        <w:spacing w:line="360" w:lineRule="auto"/>
        <w:contextualSpacing/>
        <w:jc w:val="both"/>
        <w:rPr>
          <w:rFonts w:ascii="Arial" w:hAnsi="Arial" w:cs="Arial"/>
          <w:sz w:val="22"/>
          <w:szCs w:val="22"/>
        </w:rPr>
      </w:pPr>
    </w:p>
    <w:p w:rsidR="0041039A" w:rsidRPr="0041039A" w:rsidRDefault="0041039A" w:rsidP="00D8441A">
      <w:pPr>
        <w:spacing w:line="360" w:lineRule="auto"/>
        <w:contextualSpacing/>
        <w:jc w:val="both"/>
        <w:rPr>
          <w:rFonts w:ascii="Arial" w:hAnsi="Arial" w:cs="Arial"/>
          <w:sz w:val="22"/>
          <w:szCs w:val="22"/>
        </w:rPr>
      </w:pPr>
      <w:r w:rsidRPr="0041039A">
        <w:rPr>
          <w:rFonts w:ascii="Arial" w:hAnsi="Arial" w:cs="Arial"/>
          <w:b/>
          <w:sz w:val="22"/>
          <w:szCs w:val="22"/>
        </w:rPr>
        <w:t>For Formal Complaints</w:t>
      </w:r>
    </w:p>
    <w:p w:rsidR="0041039A" w:rsidRPr="0041039A" w:rsidRDefault="0041039A" w:rsidP="00D8441A">
      <w:pPr>
        <w:spacing w:line="360" w:lineRule="auto"/>
        <w:contextualSpacing/>
        <w:jc w:val="both"/>
        <w:rPr>
          <w:rFonts w:ascii="Arial" w:hAnsi="Arial" w:cs="Arial"/>
          <w:sz w:val="22"/>
          <w:szCs w:val="22"/>
        </w:rPr>
      </w:pPr>
      <w:r w:rsidRPr="0041039A">
        <w:rPr>
          <w:rFonts w:ascii="Arial" w:hAnsi="Arial" w:cs="Arial"/>
          <w:sz w:val="22"/>
          <w:szCs w:val="22"/>
        </w:rPr>
        <w:t>Please use the following contact:</w:t>
      </w:r>
    </w:p>
    <w:p w:rsidR="00BF1166" w:rsidRDefault="00BF1166" w:rsidP="00D8441A">
      <w:pPr>
        <w:spacing w:line="360" w:lineRule="auto"/>
        <w:contextualSpacing/>
        <w:jc w:val="both"/>
        <w:rPr>
          <w:rFonts w:ascii="Arial" w:hAnsi="Arial" w:cs="Arial"/>
          <w:color w:val="0000FF"/>
          <w:sz w:val="22"/>
          <w:szCs w:val="22"/>
          <w:u w:val="single"/>
        </w:rPr>
      </w:pPr>
      <w:r w:rsidRPr="00CA5297">
        <w:rPr>
          <w:rFonts w:ascii="Arial" w:hAnsi="Arial" w:cs="Arial"/>
          <w:b/>
          <w:sz w:val="22"/>
          <w:szCs w:val="22"/>
        </w:rPr>
        <w:t>EKHUFT</w:t>
      </w:r>
      <w:r w:rsidR="001C3559" w:rsidRPr="00CA5297">
        <w:rPr>
          <w:rFonts w:ascii="Arial" w:hAnsi="Arial" w:cs="Arial"/>
          <w:b/>
          <w:sz w:val="22"/>
          <w:szCs w:val="22"/>
        </w:rPr>
        <w:t xml:space="preserve"> Complaints team </w:t>
      </w:r>
      <w:r w:rsidR="0041039A" w:rsidRPr="00CA5297">
        <w:rPr>
          <w:rFonts w:ascii="Arial" w:hAnsi="Arial" w:cs="Arial"/>
          <w:sz w:val="22"/>
          <w:szCs w:val="22"/>
        </w:rPr>
        <w:t>Email</w:t>
      </w:r>
      <w:r w:rsidR="0041039A" w:rsidRPr="0041039A">
        <w:rPr>
          <w:rFonts w:ascii="Arial" w:hAnsi="Arial" w:cs="Arial"/>
          <w:sz w:val="22"/>
          <w:szCs w:val="22"/>
        </w:rPr>
        <w:t xml:space="preserve">: </w:t>
      </w:r>
      <w:hyperlink r:id="rId27" w:history="1">
        <w:r w:rsidRPr="00FB04C6">
          <w:rPr>
            <w:rStyle w:val="Hyperlink"/>
            <w:rFonts w:ascii="Arial" w:hAnsi="Arial" w:cs="Arial"/>
            <w:sz w:val="22"/>
            <w:szCs w:val="22"/>
          </w:rPr>
          <w:t>ekhuft.complaints@nhs.net</w:t>
        </w:r>
      </w:hyperlink>
      <w:r>
        <w:rPr>
          <w:rFonts w:ascii="Arial" w:hAnsi="Arial" w:cs="Arial"/>
          <w:color w:val="0000FF"/>
          <w:sz w:val="22"/>
          <w:szCs w:val="22"/>
          <w:u w:val="single"/>
        </w:rPr>
        <w:t xml:space="preserve"> </w:t>
      </w:r>
    </w:p>
    <w:p w:rsidR="00BF1166" w:rsidRDefault="00BF1166" w:rsidP="00D8441A">
      <w:pPr>
        <w:spacing w:line="360" w:lineRule="auto"/>
        <w:contextualSpacing/>
        <w:jc w:val="both"/>
        <w:rPr>
          <w:rFonts w:ascii="Arial" w:hAnsi="Arial" w:cs="Arial"/>
          <w:color w:val="0000FF"/>
          <w:sz w:val="22"/>
          <w:szCs w:val="22"/>
          <w:u w:val="single"/>
        </w:rPr>
      </w:pPr>
    </w:p>
    <w:p w:rsidR="00BF1166" w:rsidRPr="0041039A" w:rsidRDefault="00BF1166" w:rsidP="00D8441A">
      <w:pPr>
        <w:spacing w:line="360" w:lineRule="auto"/>
        <w:contextualSpacing/>
        <w:jc w:val="both"/>
        <w:rPr>
          <w:rFonts w:ascii="Arial" w:hAnsi="Arial" w:cs="Arial"/>
          <w:sz w:val="22"/>
          <w:szCs w:val="22"/>
        </w:rPr>
      </w:pPr>
    </w:p>
    <w:p w:rsidR="0041039A" w:rsidRPr="0041039A" w:rsidRDefault="0041039A" w:rsidP="00FB3727">
      <w:pPr>
        <w:numPr>
          <w:ilvl w:val="0"/>
          <w:numId w:val="44"/>
        </w:numPr>
        <w:spacing w:line="360" w:lineRule="auto"/>
        <w:contextualSpacing/>
        <w:jc w:val="both"/>
        <w:rPr>
          <w:rFonts w:ascii="Arial" w:hAnsi="Arial"/>
          <w:b/>
          <w:kern w:val="28"/>
          <w:sz w:val="28"/>
        </w:rPr>
      </w:pPr>
      <w:r w:rsidRPr="0041039A">
        <w:rPr>
          <w:rFonts w:ascii="Arial" w:hAnsi="Arial"/>
          <w:b/>
          <w:kern w:val="28"/>
          <w:sz w:val="28"/>
        </w:rPr>
        <w:t>RESEARCH, DEVELOPMENT AND TEACHING</w:t>
      </w:r>
    </w:p>
    <w:p w:rsidR="0041039A" w:rsidRPr="0041039A" w:rsidRDefault="0041039A" w:rsidP="0041039A">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outlineLvl w:val="4"/>
        <w:rPr>
          <w:rFonts w:ascii="Arial" w:hAnsi="Arial"/>
          <w:sz w:val="20"/>
        </w:rPr>
      </w:pPr>
    </w:p>
    <w:p w:rsidR="0041039A" w:rsidRPr="00D8441A" w:rsidRDefault="0041039A" w:rsidP="00D8441A">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outlineLvl w:val="4"/>
        <w:rPr>
          <w:rFonts w:ascii="Arial" w:hAnsi="Arial"/>
          <w:sz w:val="22"/>
          <w:szCs w:val="22"/>
        </w:rPr>
      </w:pPr>
      <w:r w:rsidRPr="0041039A">
        <w:rPr>
          <w:rFonts w:ascii="Arial" w:hAnsi="Arial"/>
          <w:sz w:val="22"/>
          <w:szCs w:val="22"/>
        </w:rPr>
        <w:t>The laboratory has an active research and development program. We are always interested in participating in research projects being undertaken by our clinical users. The laboratory actively participates in postgraduate teaching on all sites. We are always happy to talk to primary and secondary care user groups on specific topics. Enquiries should be directed to Dr Sally Stock, head of service (sally.stock@nhs.net).</w:t>
      </w:r>
    </w:p>
    <w:p w:rsidR="0041039A" w:rsidRPr="0041039A" w:rsidRDefault="0041039A" w:rsidP="00FB3727">
      <w:pPr>
        <w:keepNext/>
        <w:numPr>
          <w:ilvl w:val="0"/>
          <w:numId w:val="44"/>
        </w:numPr>
        <w:tabs>
          <w:tab w:val="left" w:pos="1134"/>
        </w:tabs>
        <w:spacing w:before="240" w:after="60"/>
        <w:ind w:left="426" w:firstLine="0"/>
        <w:outlineLvl w:val="0"/>
        <w:rPr>
          <w:rFonts w:ascii="Arial" w:hAnsi="Arial"/>
          <w:b/>
          <w:kern w:val="28"/>
          <w:sz w:val="28"/>
        </w:rPr>
      </w:pPr>
      <w:r w:rsidRPr="0041039A">
        <w:rPr>
          <w:rFonts w:ascii="Arial" w:hAnsi="Arial"/>
          <w:b/>
          <w:kern w:val="28"/>
          <w:sz w:val="28"/>
        </w:rPr>
        <w:t>POINT OF CARE TESTING</w:t>
      </w:r>
    </w:p>
    <w:p w:rsidR="0041039A" w:rsidRPr="0041039A" w:rsidRDefault="0041039A" w:rsidP="0041039A">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outlineLvl w:val="4"/>
        <w:rPr>
          <w:rFonts w:ascii="Arial" w:hAnsi="Arial"/>
          <w:sz w:val="20"/>
        </w:rPr>
      </w:pPr>
    </w:p>
    <w:p w:rsidR="00C56402" w:rsidRPr="00C56402" w:rsidRDefault="0041039A" w:rsidP="00C56402">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outlineLvl w:val="4"/>
        <w:rPr>
          <w:rFonts w:ascii="Arial" w:hAnsi="Arial"/>
          <w:kern w:val="28"/>
          <w:sz w:val="22"/>
        </w:rPr>
      </w:pPr>
      <w:r w:rsidRPr="0041039A">
        <w:rPr>
          <w:rFonts w:ascii="Arial" w:hAnsi="Arial"/>
          <w:sz w:val="22"/>
          <w:szCs w:val="22"/>
        </w:rPr>
        <w:t xml:space="preserve">The Department of Pathology has responsibility for point-of-care testing (POCT) throughout EKHUFT. Any proposed developments in this area should be discussed with the relevant head of service, or Trust POCT coordinator. </w:t>
      </w:r>
    </w:p>
    <w:p w:rsidR="0041039A" w:rsidRPr="0041039A" w:rsidRDefault="00C56402" w:rsidP="00C56402">
      <w:pPr>
        <w:keepNext/>
        <w:tabs>
          <w:tab w:val="left" w:pos="1134"/>
        </w:tabs>
        <w:spacing w:before="240" w:after="60"/>
        <w:ind w:firstLine="426"/>
        <w:outlineLvl w:val="0"/>
        <w:rPr>
          <w:rFonts w:ascii="Arial" w:hAnsi="Arial"/>
          <w:b/>
          <w:kern w:val="28"/>
          <w:sz w:val="28"/>
        </w:rPr>
      </w:pPr>
      <w:r>
        <w:rPr>
          <w:rFonts w:ascii="Arial" w:hAnsi="Arial"/>
          <w:b/>
          <w:kern w:val="28"/>
          <w:sz w:val="28"/>
        </w:rPr>
        <w:t xml:space="preserve">20.       </w:t>
      </w:r>
      <w:r w:rsidR="0041039A" w:rsidRPr="0041039A">
        <w:rPr>
          <w:rFonts w:ascii="Arial" w:hAnsi="Arial"/>
          <w:b/>
          <w:kern w:val="28"/>
          <w:sz w:val="28"/>
        </w:rPr>
        <w:t>CLINICAL GUIDELINES/INFORMATION</w:t>
      </w:r>
    </w:p>
    <w:p w:rsidR="0041039A" w:rsidRPr="0041039A" w:rsidRDefault="0041039A" w:rsidP="0041039A">
      <w:pPr>
        <w:rPr>
          <w:rFonts w:ascii="Arial" w:hAnsi="Arial"/>
          <w:sz w:val="20"/>
        </w:rPr>
      </w:pPr>
    </w:p>
    <w:p w:rsidR="0041039A" w:rsidRPr="0041039A" w:rsidRDefault="0041039A" w:rsidP="003A4CC8">
      <w:pPr>
        <w:spacing w:line="360" w:lineRule="auto"/>
        <w:contextualSpacing/>
        <w:jc w:val="both"/>
        <w:rPr>
          <w:rFonts w:ascii="Arial" w:hAnsi="Arial" w:cs="Arial"/>
          <w:noProof/>
          <w:sz w:val="22"/>
          <w:szCs w:val="22"/>
          <w:lang w:eastAsia="en-GB"/>
        </w:rPr>
      </w:pPr>
      <w:r w:rsidRPr="0041039A">
        <w:rPr>
          <w:rFonts w:ascii="Arial" w:hAnsi="Arial" w:cs="Arial"/>
          <w:sz w:val="22"/>
          <w:szCs w:val="22"/>
        </w:rPr>
        <w:t xml:space="preserve">All our clinical staff welcome the opportunity to discuss and </w:t>
      </w:r>
      <w:r w:rsidR="003A4CC8" w:rsidRPr="0041039A">
        <w:rPr>
          <w:rFonts w:ascii="Arial" w:hAnsi="Arial" w:cs="Arial"/>
          <w:sz w:val="22"/>
          <w:szCs w:val="22"/>
        </w:rPr>
        <w:t>advice</w:t>
      </w:r>
      <w:r w:rsidRPr="0041039A">
        <w:rPr>
          <w:rFonts w:ascii="Arial" w:hAnsi="Arial" w:cs="Arial"/>
          <w:sz w:val="22"/>
          <w:szCs w:val="22"/>
        </w:rPr>
        <w:t xml:space="preserve"> on the appropriate investigation of patients.  In addition, we provide guidelines and investigative protocols on a range of conditions. These are developed in collaboration with key clinical users within the Trust. Many of our p</w:t>
      </w:r>
      <w:r w:rsidR="00ED16BB">
        <w:rPr>
          <w:rFonts w:ascii="Arial" w:hAnsi="Arial" w:cs="Arial"/>
          <w:sz w:val="22"/>
          <w:szCs w:val="22"/>
        </w:rPr>
        <w:t>rotocols and guidelines are</w:t>
      </w:r>
      <w:r w:rsidRPr="0041039A">
        <w:rPr>
          <w:rFonts w:ascii="Arial" w:hAnsi="Arial" w:cs="Arial"/>
          <w:sz w:val="22"/>
          <w:szCs w:val="22"/>
        </w:rPr>
        <w:t xml:space="preserve"> available on </w:t>
      </w:r>
      <w:r w:rsidR="00ED16BB">
        <w:rPr>
          <w:rFonts w:ascii="Arial" w:hAnsi="Arial" w:cs="Arial"/>
          <w:sz w:val="22"/>
          <w:szCs w:val="22"/>
        </w:rPr>
        <w:t>Trust Net (clinical guidelines)</w:t>
      </w:r>
    </w:p>
    <w:p w:rsidR="0041039A" w:rsidRPr="0041039A" w:rsidRDefault="0041039A" w:rsidP="003A4CC8">
      <w:pPr>
        <w:spacing w:line="360" w:lineRule="auto"/>
        <w:contextualSpacing/>
        <w:jc w:val="both"/>
        <w:rPr>
          <w:rFonts w:ascii="Arial" w:hAnsi="Arial" w:cs="Arial"/>
          <w:noProof/>
          <w:sz w:val="22"/>
          <w:szCs w:val="22"/>
          <w:lang w:eastAsia="en-GB"/>
        </w:rPr>
      </w:pPr>
    </w:p>
    <w:p w:rsidR="0041039A" w:rsidRPr="0041039A" w:rsidRDefault="0041039A" w:rsidP="003A4CC8">
      <w:pPr>
        <w:spacing w:line="360" w:lineRule="auto"/>
        <w:contextualSpacing/>
        <w:jc w:val="both"/>
        <w:rPr>
          <w:rFonts w:ascii="Arial" w:hAnsi="Arial" w:cs="Arial"/>
          <w:noProof/>
          <w:sz w:val="20"/>
          <w:lang w:eastAsia="en-GB"/>
        </w:rPr>
      </w:pPr>
      <w:r w:rsidRPr="0041039A">
        <w:rPr>
          <w:rFonts w:ascii="Arial" w:hAnsi="Arial" w:cs="Arial"/>
          <w:noProof/>
          <w:sz w:val="22"/>
          <w:szCs w:val="22"/>
          <w:lang w:eastAsia="en-GB"/>
        </w:rPr>
        <w:t>Please also see the ‘pathology app’ accessed via MicroGuide. This can be downloaded to a smart device if accessing from outside the Trust.</w:t>
      </w:r>
    </w:p>
    <w:p w:rsidR="0041039A" w:rsidRPr="0041039A" w:rsidRDefault="0041039A" w:rsidP="003A4CC8">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jc w:val="both"/>
        <w:rPr>
          <w:rFonts w:ascii="Arial" w:hAnsi="Arial" w:cs="Arial"/>
          <w:sz w:val="22"/>
          <w:szCs w:val="22"/>
        </w:rPr>
      </w:pPr>
    </w:p>
    <w:p w:rsidR="0041039A" w:rsidRPr="0041039A" w:rsidRDefault="0041039A" w:rsidP="003A4CC8">
      <w:pPr>
        <w:spacing w:line="360" w:lineRule="auto"/>
        <w:contextualSpacing/>
        <w:jc w:val="both"/>
        <w:rPr>
          <w:rFonts w:ascii="Arial" w:hAnsi="Arial" w:cs="Arial"/>
          <w:sz w:val="22"/>
          <w:szCs w:val="22"/>
        </w:rPr>
      </w:pPr>
      <w:r w:rsidRPr="0041039A">
        <w:rPr>
          <w:rFonts w:ascii="Arial" w:hAnsi="Arial" w:cs="Arial"/>
          <w:sz w:val="22"/>
          <w:szCs w:val="22"/>
        </w:rPr>
        <w:t>To ensure that the examinations provided by the laboratory are clinically appropriate for the requests received, consistent with national guidelines and meet the requirements of our users, senior personnel periodically review the test repertoire provided by the laboratory.</w:t>
      </w:r>
    </w:p>
    <w:p w:rsidR="0041039A" w:rsidRPr="0041039A" w:rsidRDefault="0041039A" w:rsidP="003A4CC8">
      <w:pPr>
        <w:spacing w:line="360" w:lineRule="auto"/>
        <w:contextualSpacing/>
        <w:jc w:val="both"/>
        <w:rPr>
          <w:rFonts w:ascii="Arial" w:hAnsi="Arial" w:cs="Arial"/>
          <w:sz w:val="22"/>
          <w:szCs w:val="22"/>
        </w:rPr>
      </w:pPr>
    </w:p>
    <w:p w:rsidR="0041039A" w:rsidRDefault="0041039A" w:rsidP="003A4CC8">
      <w:pPr>
        <w:spacing w:line="360" w:lineRule="auto"/>
        <w:contextualSpacing/>
        <w:jc w:val="both"/>
        <w:rPr>
          <w:rFonts w:ascii="Arial" w:hAnsi="Arial" w:cs="Arial"/>
          <w:sz w:val="22"/>
          <w:szCs w:val="22"/>
        </w:rPr>
      </w:pPr>
      <w:r w:rsidRPr="0041039A">
        <w:rPr>
          <w:rFonts w:ascii="Arial" w:hAnsi="Arial" w:cs="Arial"/>
          <w:sz w:val="22"/>
          <w:szCs w:val="22"/>
        </w:rPr>
        <w:t>Conversely clinical staff within the laboratory regularly review requests received to ensure appropriate and effective use of the service: this is done both through real time review of requests and by retrospective clinical audit. Wherever possible we involve key stakeholders in audits. Users should note that requests may be withheld when appropriate clinical details are not provided.</w:t>
      </w:r>
    </w:p>
    <w:p w:rsidR="006F664F" w:rsidRDefault="006F664F" w:rsidP="003A4CC8">
      <w:pPr>
        <w:spacing w:line="360" w:lineRule="auto"/>
        <w:contextualSpacing/>
        <w:jc w:val="both"/>
        <w:rPr>
          <w:rFonts w:ascii="Arial" w:hAnsi="Arial" w:cs="Arial"/>
          <w:sz w:val="22"/>
          <w:szCs w:val="22"/>
        </w:rPr>
      </w:pPr>
    </w:p>
    <w:p w:rsidR="0041039A" w:rsidRPr="0041039A" w:rsidRDefault="0041039A" w:rsidP="0041039A">
      <w:pPr>
        <w:keepNext/>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outlineLvl w:val="0"/>
        <w:rPr>
          <w:rFonts w:ascii="Arial" w:hAnsi="Arial"/>
          <w:b/>
          <w:szCs w:val="24"/>
        </w:rPr>
      </w:pPr>
      <w:r w:rsidRPr="0041039A">
        <w:rPr>
          <w:rFonts w:ascii="Arial" w:hAnsi="Arial"/>
          <w:b/>
          <w:szCs w:val="24"/>
        </w:rPr>
        <w:t>INSTRUCTIONS FOR COLLECTIONS REQUIRING SPECIFIC PREPARATION</w:t>
      </w:r>
    </w:p>
    <w:p w:rsidR="0041039A" w:rsidRPr="0041039A" w:rsidRDefault="0041039A" w:rsidP="0041039A">
      <w:pPr>
        <w:rPr>
          <w:rFonts w:ascii="Arial" w:hAnsi="Arial"/>
          <w:sz w:val="20"/>
        </w:rPr>
      </w:pPr>
    </w:p>
    <w:p w:rsidR="0041039A" w:rsidRPr="0041039A" w:rsidRDefault="0041039A" w:rsidP="00365C54">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jc w:val="both"/>
        <w:rPr>
          <w:rFonts w:ascii="Arial" w:hAnsi="Arial"/>
          <w:sz w:val="22"/>
          <w:szCs w:val="22"/>
        </w:rPr>
      </w:pPr>
      <w:r w:rsidRPr="0041039A">
        <w:rPr>
          <w:rFonts w:ascii="Arial" w:hAnsi="Arial"/>
          <w:sz w:val="22"/>
          <w:szCs w:val="22"/>
        </w:rPr>
        <w:t xml:space="preserve">The following patient information sheets are available upon request or may be accessed </w:t>
      </w:r>
      <w:r w:rsidR="002F2428">
        <w:rPr>
          <w:rFonts w:ascii="Arial" w:hAnsi="Arial"/>
          <w:sz w:val="22"/>
          <w:szCs w:val="22"/>
        </w:rPr>
        <w:t xml:space="preserve">at: </w:t>
      </w:r>
      <w:hyperlink r:id="rId28" w:history="1">
        <w:r w:rsidR="002F2428" w:rsidRPr="0006070C">
          <w:rPr>
            <w:rStyle w:val="Hyperlink"/>
            <w:rFonts w:ascii="Arial" w:hAnsi="Arial"/>
            <w:sz w:val="22"/>
            <w:szCs w:val="22"/>
          </w:rPr>
          <w:t>https://www.ekhuft.nhs.uk/information-for-patients/patient-information/?i=leaflets&amp;categories=pathology-blood-tests</w:t>
        </w:r>
      </w:hyperlink>
      <w:r w:rsidR="002F2428">
        <w:rPr>
          <w:rFonts w:ascii="Arial" w:hAnsi="Arial"/>
          <w:sz w:val="22"/>
          <w:szCs w:val="22"/>
        </w:rPr>
        <w:t xml:space="preserve"> </w:t>
      </w:r>
    </w:p>
    <w:p w:rsidR="0041039A" w:rsidRPr="0041039A" w:rsidRDefault="0041039A" w:rsidP="00365C54">
      <w:pPr>
        <w:widowControl/>
        <w:numPr>
          <w:ilvl w:val="0"/>
          <w:numId w:val="34"/>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rPr>
          <w:rFonts w:ascii="Arial" w:hAnsi="Arial"/>
          <w:sz w:val="22"/>
          <w:szCs w:val="22"/>
        </w:rPr>
      </w:pPr>
      <w:r w:rsidRPr="0041039A">
        <w:rPr>
          <w:rFonts w:ascii="Arial" w:hAnsi="Arial"/>
          <w:sz w:val="22"/>
          <w:szCs w:val="22"/>
        </w:rPr>
        <w:t>Collection of a non-acidified 24 hour urine sample</w:t>
      </w:r>
    </w:p>
    <w:p w:rsidR="0041039A" w:rsidRPr="0041039A" w:rsidRDefault="0041039A" w:rsidP="00365C54">
      <w:pPr>
        <w:widowControl/>
        <w:numPr>
          <w:ilvl w:val="0"/>
          <w:numId w:val="34"/>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rPr>
          <w:rFonts w:ascii="Arial" w:hAnsi="Arial"/>
          <w:sz w:val="22"/>
          <w:szCs w:val="22"/>
        </w:rPr>
      </w:pPr>
      <w:r w:rsidRPr="0041039A">
        <w:rPr>
          <w:rFonts w:ascii="Arial" w:hAnsi="Arial"/>
          <w:sz w:val="22"/>
          <w:szCs w:val="22"/>
        </w:rPr>
        <w:t>Collection of an acidified 24 hour urine sample</w:t>
      </w:r>
    </w:p>
    <w:p w:rsidR="0041039A" w:rsidRPr="0041039A" w:rsidRDefault="0041039A" w:rsidP="00365C54">
      <w:pPr>
        <w:widowControl/>
        <w:numPr>
          <w:ilvl w:val="0"/>
          <w:numId w:val="34"/>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rPr>
          <w:rFonts w:ascii="Arial" w:hAnsi="Arial"/>
          <w:sz w:val="22"/>
          <w:szCs w:val="22"/>
        </w:rPr>
      </w:pPr>
      <w:r w:rsidRPr="0041039A">
        <w:rPr>
          <w:rFonts w:ascii="Arial" w:hAnsi="Arial"/>
          <w:sz w:val="22"/>
          <w:szCs w:val="22"/>
        </w:rPr>
        <w:t>Collection of a random urine sample</w:t>
      </w:r>
    </w:p>
    <w:p w:rsidR="0041039A" w:rsidRPr="0041039A" w:rsidRDefault="0041039A" w:rsidP="00365C54">
      <w:pPr>
        <w:widowControl/>
        <w:numPr>
          <w:ilvl w:val="0"/>
          <w:numId w:val="34"/>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rPr>
          <w:rFonts w:ascii="Arial" w:hAnsi="Arial"/>
          <w:sz w:val="22"/>
          <w:szCs w:val="22"/>
        </w:rPr>
      </w:pPr>
      <w:r w:rsidRPr="0041039A">
        <w:rPr>
          <w:rFonts w:ascii="Arial" w:hAnsi="Arial"/>
          <w:sz w:val="22"/>
          <w:szCs w:val="22"/>
        </w:rPr>
        <w:t>Collection of a faecal sample</w:t>
      </w:r>
    </w:p>
    <w:p w:rsidR="0041039A" w:rsidRPr="0041039A" w:rsidRDefault="0041039A" w:rsidP="00365C54">
      <w:pPr>
        <w:widowControl/>
        <w:numPr>
          <w:ilvl w:val="0"/>
          <w:numId w:val="34"/>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rPr>
          <w:rFonts w:ascii="Arial" w:hAnsi="Arial"/>
          <w:sz w:val="22"/>
          <w:szCs w:val="22"/>
        </w:rPr>
      </w:pPr>
      <w:r w:rsidRPr="0041039A">
        <w:rPr>
          <w:rFonts w:ascii="Arial" w:hAnsi="Arial"/>
          <w:sz w:val="22"/>
          <w:szCs w:val="22"/>
        </w:rPr>
        <w:t>Sweat test for diagnosis of cystic fibrosis</w:t>
      </w:r>
    </w:p>
    <w:p w:rsidR="0041039A" w:rsidRPr="0041039A" w:rsidRDefault="0041039A" w:rsidP="00365C54">
      <w:pPr>
        <w:widowControl/>
        <w:numPr>
          <w:ilvl w:val="0"/>
          <w:numId w:val="34"/>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rPr>
          <w:rFonts w:ascii="Arial" w:hAnsi="Arial"/>
          <w:sz w:val="22"/>
          <w:szCs w:val="22"/>
        </w:rPr>
      </w:pPr>
      <w:r w:rsidRPr="0041039A">
        <w:rPr>
          <w:rFonts w:ascii="Arial" w:hAnsi="Arial"/>
          <w:sz w:val="22"/>
          <w:szCs w:val="22"/>
        </w:rPr>
        <w:t>Glucose tolerance test</w:t>
      </w:r>
    </w:p>
    <w:p w:rsidR="0041039A" w:rsidRPr="0041039A" w:rsidRDefault="0041039A" w:rsidP="00365C54">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jc w:val="both"/>
        <w:rPr>
          <w:rFonts w:ascii="Arial" w:hAnsi="Arial"/>
          <w:sz w:val="22"/>
          <w:szCs w:val="22"/>
        </w:rPr>
      </w:pPr>
    </w:p>
    <w:p w:rsidR="0041039A" w:rsidRPr="00D8441A" w:rsidRDefault="0041039A" w:rsidP="00D8441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jc w:val="both"/>
        <w:rPr>
          <w:rFonts w:ascii="Arial" w:hAnsi="Arial"/>
          <w:sz w:val="22"/>
          <w:szCs w:val="22"/>
        </w:rPr>
      </w:pPr>
      <w:r w:rsidRPr="0041039A">
        <w:rPr>
          <w:rFonts w:ascii="Arial" w:hAnsi="Arial"/>
          <w:sz w:val="22"/>
          <w:szCs w:val="22"/>
        </w:rPr>
        <w:t xml:space="preserve">We would encourage you to discuss any special procedures with the laboratory, prior to embarking upon them. Many of the procedures require special sample collection and storage. If these procedures are not adhered to, the samples may be unsuitable for analysis. </w:t>
      </w:r>
    </w:p>
    <w:p w:rsidR="0041039A" w:rsidRPr="0041039A" w:rsidRDefault="0041039A" w:rsidP="006F664F">
      <w:pPr>
        <w:spacing w:line="360" w:lineRule="auto"/>
        <w:contextualSpacing/>
      </w:pPr>
    </w:p>
    <w:p w:rsidR="0041039A" w:rsidRPr="0041039A" w:rsidRDefault="0041039A" w:rsidP="006F664F">
      <w:pPr>
        <w:tabs>
          <w:tab w:val="right" w:pos="1985"/>
          <w:tab w:val="left" w:pos="2211"/>
          <w:tab w:val="left" w:pos="2552"/>
        </w:tabs>
        <w:spacing w:line="360" w:lineRule="auto"/>
        <w:contextualSpacing/>
        <w:jc w:val="both"/>
        <w:rPr>
          <w:rFonts w:ascii="Arial" w:hAnsi="Arial" w:cs="Arial"/>
          <w:b/>
          <w:smallCaps/>
          <w:szCs w:val="24"/>
        </w:rPr>
      </w:pPr>
      <w:r w:rsidRPr="0041039A">
        <w:rPr>
          <w:rFonts w:ascii="Arial" w:hAnsi="Arial" w:cs="Arial"/>
          <w:b/>
          <w:smallCaps/>
          <w:szCs w:val="24"/>
        </w:rPr>
        <w:t>ANTIBIOTICS</w:t>
      </w:r>
    </w:p>
    <w:p w:rsidR="0041039A" w:rsidRPr="00D8441A" w:rsidRDefault="0041039A" w:rsidP="006F664F">
      <w:pPr>
        <w:widowControl/>
        <w:numPr>
          <w:ilvl w:val="0"/>
          <w:numId w:val="51"/>
        </w:numPr>
        <w:autoSpaceDE w:val="0"/>
        <w:autoSpaceDN w:val="0"/>
        <w:adjustRightInd w:val="0"/>
        <w:spacing w:line="360" w:lineRule="auto"/>
        <w:contextualSpacing/>
        <w:jc w:val="both"/>
        <w:rPr>
          <w:rFonts w:ascii="Arial" w:hAnsi="Arial" w:cs="Arial"/>
          <w:sz w:val="22"/>
          <w:szCs w:val="22"/>
        </w:rPr>
      </w:pPr>
      <w:r w:rsidRPr="0041039A">
        <w:rPr>
          <w:rFonts w:ascii="Arial" w:hAnsi="Arial" w:cs="Arial"/>
          <w:sz w:val="22"/>
          <w:szCs w:val="22"/>
        </w:rPr>
        <w:t xml:space="preserve">Antibiotic assays for vancomycin and gentamicin are performed on ALL 3 sites by Clinical Biochemistry. </w:t>
      </w:r>
      <w:r w:rsidRPr="006F664F">
        <w:rPr>
          <w:rFonts w:ascii="Arial" w:hAnsi="Arial" w:cs="Arial"/>
          <w:sz w:val="22"/>
          <w:szCs w:val="22"/>
        </w:rPr>
        <w:t xml:space="preserve">Analysis of samples for tobramycin and amikacin levels is undertaken at the </w:t>
      </w:r>
      <w:r w:rsidR="00FB5E8C" w:rsidRPr="006F664F">
        <w:rPr>
          <w:rFonts w:ascii="Arial" w:hAnsi="Arial" w:cs="Arial"/>
          <w:sz w:val="22"/>
          <w:szCs w:val="22"/>
        </w:rPr>
        <w:t xml:space="preserve">WHH </w:t>
      </w:r>
      <w:r w:rsidRPr="006F664F">
        <w:rPr>
          <w:rFonts w:ascii="Arial" w:hAnsi="Arial" w:cs="Arial"/>
          <w:sz w:val="22"/>
          <w:szCs w:val="22"/>
        </w:rPr>
        <w:t>site</w:t>
      </w:r>
      <w:r w:rsidR="00FB5E8C" w:rsidRPr="006F664F">
        <w:rPr>
          <w:rFonts w:ascii="Arial" w:hAnsi="Arial" w:cs="Arial"/>
          <w:sz w:val="22"/>
          <w:szCs w:val="22"/>
        </w:rPr>
        <w:t xml:space="preserve"> only, and the samples are analysed as they are received in at WHH laboratory</w:t>
      </w:r>
      <w:r w:rsidR="002F2428" w:rsidRPr="006F664F">
        <w:rPr>
          <w:rFonts w:ascii="Arial" w:hAnsi="Arial" w:cs="Arial"/>
          <w:sz w:val="22"/>
          <w:szCs w:val="22"/>
        </w:rPr>
        <w:t>.</w:t>
      </w:r>
      <w:r w:rsidR="002F2428">
        <w:rPr>
          <w:rFonts w:ascii="Arial" w:hAnsi="Arial" w:cs="Arial"/>
          <w:sz w:val="22"/>
          <w:szCs w:val="22"/>
        </w:rPr>
        <w:t xml:space="preserve"> </w:t>
      </w:r>
    </w:p>
    <w:p w:rsidR="0041039A" w:rsidRPr="00D8441A" w:rsidRDefault="0041039A" w:rsidP="006F664F">
      <w:pPr>
        <w:widowControl/>
        <w:numPr>
          <w:ilvl w:val="0"/>
          <w:numId w:val="51"/>
        </w:numPr>
        <w:autoSpaceDE w:val="0"/>
        <w:autoSpaceDN w:val="0"/>
        <w:adjustRightInd w:val="0"/>
        <w:spacing w:line="360" w:lineRule="auto"/>
        <w:contextualSpacing/>
        <w:jc w:val="both"/>
        <w:rPr>
          <w:rFonts w:ascii="Arial" w:hAnsi="Arial" w:cs="Arial"/>
          <w:sz w:val="22"/>
          <w:szCs w:val="22"/>
        </w:rPr>
      </w:pPr>
      <w:r w:rsidRPr="0041039A">
        <w:rPr>
          <w:rFonts w:ascii="Arial" w:hAnsi="Arial" w:cs="Arial"/>
          <w:sz w:val="22"/>
          <w:szCs w:val="22"/>
        </w:rPr>
        <w:t xml:space="preserve">A clotted specimen (red top or SST, </w:t>
      </w:r>
      <w:r w:rsidRPr="0041039A">
        <w:rPr>
          <w:rFonts w:ascii="Arial" w:hAnsi="Arial" w:cs="Arial"/>
          <w:b/>
          <w:sz w:val="22"/>
          <w:szCs w:val="22"/>
        </w:rPr>
        <w:t>not heparin</w:t>
      </w:r>
      <w:r w:rsidRPr="0041039A">
        <w:rPr>
          <w:rFonts w:ascii="Arial" w:hAnsi="Arial" w:cs="Arial"/>
          <w:sz w:val="22"/>
          <w:szCs w:val="22"/>
        </w:rPr>
        <w:t xml:space="preserve">) is acceptable for all antibiotic assays. </w:t>
      </w:r>
    </w:p>
    <w:p w:rsidR="0041039A" w:rsidRPr="0041039A" w:rsidRDefault="0041039A" w:rsidP="006F664F">
      <w:pPr>
        <w:widowControl/>
        <w:numPr>
          <w:ilvl w:val="0"/>
          <w:numId w:val="51"/>
        </w:numPr>
        <w:autoSpaceDE w:val="0"/>
        <w:autoSpaceDN w:val="0"/>
        <w:adjustRightInd w:val="0"/>
        <w:spacing w:line="360" w:lineRule="auto"/>
        <w:contextualSpacing/>
        <w:jc w:val="both"/>
        <w:rPr>
          <w:rFonts w:ascii="Arial" w:hAnsi="Arial" w:cs="Arial"/>
          <w:sz w:val="22"/>
          <w:szCs w:val="22"/>
        </w:rPr>
      </w:pPr>
      <w:r w:rsidRPr="0041039A">
        <w:rPr>
          <w:rFonts w:ascii="Arial" w:hAnsi="Arial" w:cs="Arial"/>
          <w:sz w:val="22"/>
          <w:szCs w:val="22"/>
        </w:rPr>
        <w:t>The Medical Microbiologists, antimicrobial pharmacist or ward pharmacist will be available for advice on antibiotic management in relation to these drug concentrations. However, calls to microbiology will only be taken from medical staff</w:t>
      </w:r>
      <w:r w:rsidRPr="0041039A">
        <w:rPr>
          <w:rFonts w:ascii="Arial" w:hAnsi="Arial" w:cs="Arial"/>
          <w:b/>
          <w:bCs/>
          <w:sz w:val="22"/>
          <w:szCs w:val="22"/>
        </w:rPr>
        <w:t xml:space="preserve">. </w:t>
      </w:r>
      <w:r w:rsidRPr="0041039A">
        <w:rPr>
          <w:rFonts w:ascii="Arial" w:hAnsi="Arial" w:cs="Arial"/>
          <w:sz w:val="22"/>
          <w:szCs w:val="22"/>
        </w:rPr>
        <w:t>Enquiries from nursing staff should be directed to the clinicians responsible for the patient. Clinical scientists in clinical biochemistry will not provide clinical advice on these results.</w:t>
      </w:r>
    </w:p>
    <w:p w:rsidR="0041039A" w:rsidRPr="0041039A" w:rsidRDefault="0041039A" w:rsidP="0041039A">
      <w:pPr>
        <w:widowControl/>
        <w:ind w:left="720"/>
        <w:rPr>
          <w:rFonts w:ascii="Arial" w:hAnsi="Arial" w:cs="Arial"/>
          <w:snapToGrid/>
          <w:sz w:val="22"/>
          <w:szCs w:val="22"/>
        </w:rPr>
      </w:pPr>
    </w:p>
    <w:p w:rsidR="0041039A" w:rsidRDefault="0041039A" w:rsidP="0041039A">
      <w:pPr>
        <w:widowControl/>
        <w:autoSpaceDE w:val="0"/>
        <w:autoSpaceDN w:val="0"/>
        <w:adjustRightInd w:val="0"/>
        <w:jc w:val="both"/>
        <w:rPr>
          <w:rFonts w:ascii="Arial" w:hAnsi="Arial" w:cs="Arial"/>
          <w:sz w:val="20"/>
        </w:rPr>
      </w:pPr>
    </w:p>
    <w:p w:rsidR="00E61534" w:rsidRPr="0041039A" w:rsidRDefault="00E61534" w:rsidP="0041039A">
      <w:pPr>
        <w:widowControl/>
        <w:autoSpaceDE w:val="0"/>
        <w:autoSpaceDN w:val="0"/>
        <w:adjustRightInd w:val="0"/>
        <w:jc w:val="both"/>
        <w:rPr>
          <w:rFonts w:ascii="Arial" w:hAnsi="Arial" w:cs="Arial"/>
          <w:sz w:val="20"/>
        </w:rPr>
      </w:pPr>
    </w:p>
    <w:p w:rsidR="0041039A" w:rsidRPr="00D8441A" w:rsidRDefault="0041039A" w:rsidP="006F664F">
      <w:pPr>
        <w:spacing w:line="360" w:lineRule="auto"/>
        <w:ind w:left="2160" w:hanging="2160"/>
        <w:contextualSpacing/>
        <w:jc w:val="both"/>
        <w:rPr>
          <w:rFonts w:ascii="Arial" w:hAnsi="Arial"/>
          <w:b/>
          <w:smallCaps/>
          <w:szCs w:val="24"/>
        </w:rPr>
      </w:pPr>
      <w:r w:rsidRPr="0041039A">
        <w:rPr>
          <w:rFonts w:ascii="Arial" w:hAnsi="Arial"/>
          <w:b/>
          <w:smallCaps/>
          <w:szCs w:val="24"/>
        </w:rPr>
        <w:t>ENDOCRINOLOGY</w:t>
      </w:r>
    </w:p>
    <w:p w:rsidR="0041039A" w:rsidRPr="00D8441A" w:rsidRDefault="0041039A" w:rsidP="006F664F">
      <w:pPr>
        <w:numPr>
          <w:ilvl w:val="0"/>
          <w:numId w:val="52"/>
        </w:numPr>
        <w:spacing w:line="360" w:lineRule="auto"/>
        <w:contextualSpacing/>
        <w:jc w:val="both"/>
        <w:rPr>
          <w:rFonts w:ascii="Arial" w:hAnsi="Arial" w:cs="Arial"/>
          <w:sz w:val="22"/>
          <w:szCs w:val="22"/>
        </w:rPr>
      </w:pPr>
      <w:r w:rsidRPr="0041039A">
        <w:rPr>
          <w:rFonts w:ascii="Arial" w:hAnsi="Arial" w:cs="Arial"/>
          <w:sz w:val="22"/>
          <w:szCs w:val="22"/>
        </w:rPr>
        <w:t>The laboratory provides a full diagnostic endocrinology service and can advise on a range of dynamic endocrine function tests.  Assays are available either in house or via specialised regional laboratories.</w:t>
      </w:r>
    </w:p>
    <w:p w:rsidR="0041039A" w:rsidRPr="00D8441A" w:rsidRDefault="0041039A" w:rsidP="006F664F">
      <w:pPr>
        <w:numPr>
          <w:ilvl w:val="0"/>
          <w:numId w:val="52"/>
        </w:numPr>
        <w:spacing w:line="360" w:lineRule="auto"/>
        <w:contextualSpacing/>
        <w:jc w:val="both"/>
        <w:rPr>
          <w:rFonts w:ascii="Arial" w:hAnsi="Arial" w:cs="Arial"/>
          <w:sz w:val="22"/>
          <w:szCs w:val="22"/>
        </w:rPr>
      </w:pPr>
      <w:r w:rsidRPr="0041039A">
        <w:rPr>
          <w:rFonts w:ascii="Arial" w:hAnsi="Arial" w:cs="Arial"/>
          <w:sz w:val="22"/>
          <w:szCs w:val="22"/>
        </w:rPr>
        <w:t>Many tests will only be processed when sufficient, relevant and supportive clinical information is provided with the request (</w:t>
      </w:r>
      <w:r w:rsidR="002F2428" w:rsidRPr="0041039A">
        <w:rPr>
          <w:rFonts w:ascii="Arial" w:hAnsi="Arial" w:cs="Arial"/>
          <w:sz w:val="22"/>
          <w:szCs w:val="22"/>
        </w:rPr>
        <w:t>e.g.</w:t>
      </w:r>
      <w:r w:rsidRPr="0041039A">
        <w:rPr>
          <w:rFonts w:ascii="Arial" w:hAnsi="Arial" w:cs="Arial"/>
          <w:sz w:val="22"/>
          <w:szCs w:val="22"/>
        </w:rPr>
        <w:t xml:space="preserve"> vitamin D, ACTH, IGF-1, growth hormone). Please ensure that all relevant information is provided.</w:t>
      </w:r>
    </w:p>
    <w:p w:rsidR="0041039A" w:rsidRPr="00D8441A" w:rsidRDefault="0041039A" w:rsidP="006F664F">
      <w:pPr>
        <w:numPr>
          <w:ilvl w:val="0"/>
          <w:numId w:val="52"/>
        </w:numPr>
        <w:spacing w:line="360" w:lineRule="auto"/>
        <w:contextualSpacing/>
        <w:jc w:val="both"/>
        <w:rPr>
          <w:rFonts w:ascii="Arial" w:hAnsi="Arial" w:cs="Arial"/>
          <w:sz w:val="22"/>
          <w:szCs w:val="22"/>
        </w:rPr>
      </w:pPr>
      <w:r w:rsidRPr="0041039A">
        <w:rPr>
          <w:rFonts w:ascii="Arial" w:hAnsi="Arial" w:cs="Arial"/>
          <w:sz w:val="22"/>
          <w:szCs w:val="22"/>
        </w:rPr>
        <w:t xml:space="preserve">All requests for copper, </w:t>
      </w:r>
      <w:r w:rsidR="002F2428" w:rsidRPr="0041039A">
        <w:rPr>
          <w:rFonts w:ascii="Arial" w:hAnsi="Arial" w:cs="Arial"/>
          <w:sz w:val="22"/>
          <w:szCs w:val="22"/>
        </w:rPr>
        <w:t>caeruloplasmin</w:t>
      </w:r>
      <w:r w:rsidRPr="0041039A">
        <w:rPr>
          <w:rFonts w:ascii="Arial" w:hAnsi="Arial" w:cs="Arial"/>
          <w:sz w:val="22"/>
          <w:szCs w:val="22"/>
        </w:rPr>
        <w:t>, thyroglobulin, thyroglobulin antibody, vitamin D, IGF-1, growth hormone, plasma metanephrines and 24hr urine 5HIAA are vetted by the duty biochemist prior to analysis. Clinical guidelines have been developed with users, and vetting is performed against these guidelines. All samples that are not tested will be stored for one month from receipt. If you wish to discuss please contact the duty biochemist.</w:t>
      </w:r>
    </w:p>
    <w:p w:rsidR="0041039A" w:rsidRPr="006F664F" w:rsidRDefault="0041039A" w:rsidP="006F664F">
      <w:pPr>
        <w:numPr>
          <w:ilvl w:val="0"/>
          <w:numId w:val="52"/>
        </w:numPr>
        <w:spacing w:line="360" w:lineRule="auto"/>
        <w:contextualSpacing/>
        <w:jc w:val="both"/>
        <w:rPr>
          <w:rFonts w:ascii="Arial" w:hAnsi="Arial" w:cs="Arial"/>
          <w:b/>
          <w:smallCaps/>
          <w:sz w:val="20"/>
        </w:rPr>
      </w:pPr>
      <w:r w:rsidRPr="0041039A">
        <w:rPr>
          <w:rFonts w:ascii="Arial" w:hAnsi="Arial" w:cs="Arial"/>
          <w:sz w:val="22"/>
          <w:szCs w:val="22"/>
        </w:rPr>
        <w:t xml:space="preserve">The test "TSH (thyroxine monitoring)" should be requested to monitor patients treated with thyroxine for primary hypothyroidism.  </w:t>
      </w:r>
    </w:p>
    <w:p w:rsidR="0041039A" w:rsidRPr="0041039A" w:rsidRDefault="0041039A" w:rsidP="0041039A">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both"/>
        <w:outlineLvl w:val="4"/>
        <w:rPr>
          <w:rFonts w:ascii="Arial" w:hAnsi="Arial"/>
          <w:b/>
          <w:smallCaps/>
        </w:rPr>
      </w:pPr>
    </w:p>
    <w:p w:rsidR="0041039A" w:rsidRPr="0041039A" w:rsidRDefault="0041039A" w:rsidP="006F664F">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outlineLvl w:val="4"/>
        <w:rPr>
          <w:rFonts w:ascii="Arial" w:hAnsi="Arial"/>
          <w:b/>
          <w:smallCaps/>
          <w:sz w:val="20"/>
        </w:rPr>
      </w:pPr>
      <w:r w:rsidRPr="0041039A">
        <w:rPr>
          <w:rFonts w:ascii="Arial" w:hAnsi="Arial"/>
          <w:b/>
          <w:smallCaps/>
          <w:szCs w:val="24"/>
        </w:rPr>
        <w:t>METABOLIC MEDICINE</w:t>
      </w:r>
    </w:p>
    <w:p w:rsidR="0041039A" w:rsidRPr="0041039A" w:rsidRDefault="0041039A" w:rsidP="006F664F">
      <w:pPr>
        <w:keepNext/>
        <w:widowControl/>
        <w:numPr>
          <w:ilvl w:val="0"/>
          <w:numId w:val="28"/>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outlineLvl w:val="4"/>
        <w:rPr>
          <w:rFonts w:ascii="Arial" w:hAnsi="Arial"/>
          <w:b/>
          <w:sz w:val="22"/>
          <w:szCs w:val="22"/>
        </w:rPr>
      </w:pPr>
      <w:r w:rsidRPr="0041039A">
        <w:rPr>
          <w:rFonts w:ascii="Arial" w:hAnsi="Arial"/>
          <w:b/>
          <w:sz w:val="22"/>
          <w:szCs w:val="22"/>
        </w:rPr>
        <w:t>Blood gases</w:t>
      </w:r>
    </w:p>
    <w:p w:rsidR="0041039A" w:rsidRPr="0041039A" w:rsidRDefault="0041039A" w:rsidP="006F664F">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60"/>
        <w:contextualSpacing/>
        <w:jc w:val="both"/>
        <w:rPr>
          <w:rFonts w:ascii="Arial" w:hAnsi="Arial"/>
          <w:sz w:val="22"/>
          <w:szCs w:val="22"/>
        </w:rPr>
      </w:pPr>
      <w:r w:rsidRPr="0041039A">
        <w:rPr>
          <w:rFonts w:ascii="Arial" w:hAnsi="Arial"/>
          <w:sz w:val="22"/>
          <w:szCs w:val="22"/>
        </w:rPr>
        <w:t xml:space="preserve">Blood gas analysis is available on several ward-based instruments throughout the Trust.  </w:t>
      </w:r>
    </w:p>
    <w:p w:rsidR="0041039A" w:rsidRPr="0041039A" w:rsidRDefault="0041039A" w:rsidP="006F664F">
      <w:pPr>
        <w:keepNext/>
        <w:widowControl/>
        <w:numPr>
          <w:ilvl w:val="0"/>
          <w:numId w:val="29"/>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jc w:val="both"/>
        <w:outlineLvl w:val="6"/>
        <w:rPr>
          <w:rFonts w:ascii="Arial" w:hAnsi="Arial"/>
          <w:b/>
          <w:sz w:val="22"/>
          <w:szCs w:val="22"/>
        </w:rPr>
      </w:pPr>
      <w:r w:rsidRPr="0041039A">
        <w:rPr>
          <w:rFonts w:ascii="Arial" w:hAnsi="Arial"/>
          <w:b/>
          <w:sz w:val="22"/>
          <w:szCs w:val="22"/>
        </w:rPr>
        <w:t>Adjusted calcium</w:t>
      </w:r>
    </w:p>
    <w:p w:rsidR="0041039A" w:rsidRPr="0041039A" w:rsidRDefault="0041039A" w:rsidP="006F664F">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60"/>
        <w:contextualSpacing/>
        <w:jc w:val="both"/>
        <w:rPr>
          <w:rFonts w:ascii="Arial" w:hAnsi="Arial"/>
          <w:sz w:val="22"/>
          <w:szCs w:val="22"/>
        </w:rPr>
      </w:pPr>
      <w:r w:rsidRPr="0041039A">
        <w:rPr>
          <w:rFonts w:ascii="Arial" w:hAnsi="Arial"/>
          <w:sz w:val="22"/>
          <w:szCs w:val="22"/>
        </w:rPr>
        <w:t>The following equation is used to adjust total serum calcium for decreases in albumin concentration:</w:t>
      </w:r>
    </w:p>
    <w:p w:rsidR="0041039A" w:rsidRPr="0041039A" w:rsidRDefault="0041039A" w:rsidP="006F664F">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60"/>
        <w:contextualSpacing/>
        <w:jc w:val="both"/>
        <w:rPr>
          <w:rFonts w:ascii="Arial" w:hAnsi="Arial"/>
          <w:sz w:val="22"/>
          <w:szCs w:val="22"/>
        </w:rPr>
      </w:pPr>
      <w:r w:rsidRPr="00525A65">
        <w:rPr>
          <w:rFonts w:ascii="Arial" w:hAnsi="Arial"/>
          <w:sz w:val="22"/>
          <w:szCs w:val="22"/>
        </w:rPr>
        <w:t>Adjusted calcium (mmol/L) = calcium (mmol/L) + (0.015 x [41 – albumin (g/L)])</w:t>
      </w:r>
      <w:r w:rsidRPr="0041039A">
        <w:rPr>
          <w:rFonts w:ascii="Arial" w:hAnsi="Arial"/>
          <w:sz w:val="22"/>
          <w:szCs w:val="22"/>
        </w:rPr>
        <w:t xml:space="preserve"> </w:t>
      </w:r>
    </w:p>
    <w:p w:rsidR="0041039A" w:rsidRPr="0041039A" w:rsidRDefault="0041039A" w:rsidP="006F664F">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60"/>
        <w:contextualSpacing/>
        <w:jc w:val="both"/>
        <w:rPr>
          <w:rFonts w:ascii="Arial" w:hAnsi="Arial"/>
          <w:sz w:val="22"/>
          <w:szCs w:val="22"/>
        </w:rPr>
      </w:pPr>
    </w:p>
    <w:p w:rsidR="0041039A" w:rsidRPr="0041039A" w:rsidRDefault="0041039A" w:rsidP="006F664F">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60"/>
        <w:contextualSpacing/>
        <w:jc w:val="both"/>
        <w:rPr>
          <w:rFonts w:ascii="Arial" w:hAnsi="Arial"/>
          <w:sz w:val="22"/>
          <w:szCs w:val="22"/>
        </w:rPr>
      </w:pPr>
      <w:r w:rsidRPr="0041039A">
        <w:rPr>
          <w:rFonts w:ascii="Arial" w:hAnsi="Arial"/>
          <w:sz w:val="22"/>
          <w:szCs w:val="22"/>
        </w:rPr>
        <w:t>The equation may not apply in patients with extremes of albumin concentration and/or in patients with acid-base disturbances. We therefore will not report an adjusted calcium concentration in the following situations:</w:t>
      </w:r>
    </w:p>
    <w:p w:rsidR="0041039A" w:rsidRPr="0041039A" w:rsidRDefault="002F2428" w:rsidP="006F664F">
      <w:pPr>
        <w:widowControl/>
        <w:numPr>
          <w:ilvl w:val="0"/>
          <w:numId w:val="60"/>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jc w:val="both"/>
        <w:rPr>
          <w:rFonts w:ascii="Arial" w:hAnsi="Arial"/>
          <w:sz w:val="22"/>
          <w:szCs w:val="22"/>
        </w:rPr>
      </w:pPr>
      <w:r w:rsidRPr="0041039A">
        <w:rPr>
          <w:rFonts w:ascii="Arial" w:hAnsi="Arial"/>
          <w:sz w:val="22"/>
          <w:szCs w:val="22"/>
        </w:rPr>
        <w:t>When</w:t>
      </w:r>
      <w:r w:rsidR="0041039A" w:rsidRPr="0041039A">
        <w:rPr>
          <w:rFonts w:ascii="Arial" w:hAnsi="Arial"/>
          <w:sz w:val="22"/>
          <w:szCs w:val="22"/>
        </w:rPr>
        <w:t xml:space="preserve"> the albumin concentration is &gt; 50 or &lt;20 g/L.</w:t>
      </w:r>
    </w:p>
    <w:p w:rsidR="0041039A" w:rsidRPr="0041039A" w:rsidRDefault="0041039A" w:rsidP="006F664F">
      <w:pPr>
        <w:widowControl/>
        <w:numPr>
          <w:ilvl w:val="0"/>
          <w:numId w:val="60"/>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jc w:val="both"/>
        <w:rPr>
          <w:rFonts w:ascii="Arial" w:hAnsi="Arial"/>
          <w:sz w:val="22"/>
          <w:szCs w:val="22"/>
        </w:rPr>
      </w:pPr>
      <w:r w:rsidRPr="0041039A">
        <w:rPr>
          <w:rFonts w:ascii="Arial" w:hAnsi="Arial"/>
          <w:sz w:val="22"/>
          <w:szCs w:val="22"/>
        </w:rPr>
        <w:t>In critically ill patients (ITU)</w:t>
      </w:r>
    </w:p>
    <w:p w:rsidR="0041039A" w:rsidRDefault="0041039A" w:rsidP="006F664F">
      <w:pPr>
        <w:widowControl/>
        <w:numPr>
          <w:ilvl w:val="0"/>
          <w:numId w:val="60"/>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jc w:val="both"/>
        <w:rPr>
          <w:rFonts w:ascii="Arial" w:hAnsi="Arial"/>
          <w:sz w:val="22"/>
          <w:szCs w:val="22"/>
        </w:rPr>
      </w:pPr>
      <w:r w:rsidRPr="0041039A">
        <w:rPr>
          <w:rFonts w:ascii="Arial" w:hAnsi="Arial"/>
          <w:sz w:val="22"/>
          <w:szCs w:val="22"/>
        </w:rPr>
        <w:t>In patients &lt; 1 year old</w:t>
      </w:r>
    </w:p>
    <w:p w:rsidR="00D8441A" w:rsidRPr="00D8441A" w:rsidRDefault="00D8441A" w:rsidP="006F664F">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1140"/>
        <w:contextualSpacing/>
        <w:jc w:val="both"/>
        <w:rPr>
          <w:rFonts w:ascii="Arial" w:hAnsi="Arial"/>
          <w:sz w:val="22"/>
          <w:szCs w:val="22"/>
        </w:rPr>
      </w:pPr>
    </w:p>
    <w:p w:rsidR="0041039A" w:rsidRPr="0041039A" w:rsidRDefault="0041039A" w:rsidP="006F664F">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60"/>
        <w:contextualSpacing/>
        <w:jc w:val="both"/>
        <w:rPr>
          <w:rFonts w:ascii="Arial" w:hAnsi="Arial"/>
          <w:sz w:val="22"/>
          <w:szCs w:val="22"/>
        </w:rPr>
      </w:pPr>
      <w:r w:rsidRPr="0041039A">
        <w:rPr>
          <w:rFonts w:ascii="Arial" w:hAnsi="Arial"/>
          <w:sz w:val="22"/>
          <w:szCs w:val="22"/>
        </w:rPr>
        <w:t>The following comment will be attached to all calcium requests:</w:t>
      </w:r>
    </w:p>
    <w:p w:rsidR="0041039A" w:rsidRPr="0041039A" w:rsidRDefault="0041039A" w:rsidP="006F664F">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60"/>
        <w:contextualSpacing/>
        <w:jc w:val="both"/>
        <w:rPr>
          <w:rFonts w:ascii="Arial" w:hAnsi="Arial"/>
          <w:sz w:val="22"/>
          <w:szCs w:val="22"/>
        </w:rPr>
      </w:pPr>
      <w:r w:rsidRPr="0041039A">
        <w:rPr>
          <w:rFonts w:ascii="Arial" w:hAnsi="Arial"/>
          <w:sz w:val="22"/>
          <w:szCs w:val="22"/>
        </w:rPr>
        <w:t>Please note adjusted calcium results may be unreliable in critically ill patients, neonates and in the presence of jaundice. Consider measurement of ionized calcium and clinical correlation.</w:t>
      </w:r>
    </w:p>
    <w:p w:rsidR="0041039A" w:rsidRPr="0041039A" w:rsidRDefault="0041039A" w:rsidP="006F664F">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60"/>
        <w:contextualSpacing/>
        <w:jc w:val="both"/>
        <w:rPr>
          <w:rFonts w:ascii="Arial" w:hAnsi="Arial"/>
          <w:sz w:val="22"/>
          <w:szCs w:val="22"/>
        </w:rPr>
      </w:pPr>
    </w:p>
    <w:p w:rsidR="0041039A" w:rsidRPr="0041039A" w:rsidRDefault="0041039A" w:rsidP="006F664F">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60"/>
        <w:contextualSpacing/>
        <w:jc w:val="both"/>
        <w:rPr>
          <w:rFonts w:ascii="Arial" w:hAnsi="Arial"/>
          <w:sz w:val="22"/>
          <w:szCs w:val="22"/>
        </w:rPr>
      </w:pPr>
      <w:r w:rsidRPr="0041039A">
        <w:rPr>
          <w:rFonts w:ascii="Arial" w:hAnsi="Arial"/>
          <w:sz w:val="22"/>
          <w:szCs w:val="22"/>
        </w:rPr>
        <w:t xml:space="preserve">These recommendations are based on the following: Albumin adjusted </w:t>
      </w:r>
      <w:r w:rsidR="002F2428" w:rsidRPr="0041039A">
        <w:rPr>
          <w:rFonts w:ascii="Arial" w:hAnsi="Arial"/>
          <w:sz w:val="22"/>
          <w:szCs w:val="22"/>
        </w:rPr>
        <w:t>calcium; a</w:t>
      </w:r>
      <w:r w:rsidRPr="0041039A">
        <w:rPr>
          <w:rFonts w:ascii="Arial" w:hAnsi="Arial"/>
          <w:sz w:val="22"/>
          <w:szCs w:val="22"/>
        </w:rPr>
        <w:t xml:space="preserve"> position paper, Association for Clinical Biochemistry and Laboratory Medicine 2015.</w:t>
      </w:r>
    </w:p>
    <w:p w:rsidR="0041039A" w:rsidRPr="0041039A" w:rsidRDefault="0041039A"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jc w:val="both"/>
        <w:rPr>
          <w:rFonts w:ascii="Arial" w:hAnsi="Arial"/>
          <w:sz w:val="22"/>
          <w:szCs w:val="22"/>
        </w:rPr>
      </w:pPr>
    </w:p>
    <w:p w:rsidR="0041039A" w:rsidRPr="0041039A" w:rsidRDefault="0041039A" w:rsidP="0041039A">
      <w:pPr>
        <w:keepNext/>
        <w:widowControl/>
        <w:numPr>
          <w:ilvl w:val="0"/>
          <w:numId w:val="30"/>
        </w:numPr>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both"/>
        <w:outlineLvl w:val="4"/>
        <w:rPr>
          <w:rFonts w:ascii="Arial" w:hAnsi="Arial"/>
          <w:b/>
          <w:sz w:val="22"/>
          <w:szCs w:val="22"/>
        </w:rPr>
      </w:pPr>
      <w:r w:rsidRPr="0041039A">
        <w:rPr>
          <w:rFonts w:ascii="Arial" w:hAnsi="Arial"/>
          <w:b/>
          <w:sz w:val="22"/>
          <w:szCs w:val="22"/>
        </w:rPr>
        <w:t>Diabetes mellitus</w:t>
      </w:r>
    </w:p>
    <w:p w:rsidR="0041039A" w:rsidRPr="0041039A" w:rsidRDefault="0041039A" w:rsidP="00D8441A">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ind w:left="360"/>
        <w:contextualSpacing/>
        <w:jc w:val="both"/>
        <w:outlineLvl w:val="4"/>
        <w:rPr>
          <w:rFonts w:ascii="Arial" w:hAnsi="Arial" w:cs="Arial"/>
          <w:noProof/>
          <w:sz w:val="22"/>
          <w:szCs w:val="22"/>
          <w:lang w:eastAsia="en-GB"/>
        </w:rPr>
      </w:pPr>
      <w:r w:rsidRPr="0041039A">
        <w:rPr>
          <w:rFonts w:ascii="Arial" w:hAnsi="Arial"/>
          <w:sz w:val="22"/>
          <w:szCs w:val="22"/>
        </w:rPr>
        <w:t xml:space="preserve">The laboratory has worked closely with diabetologists in the Trust to develop </w:t>
      </w:r>
      <w:r w:rsidR="002F2428">
        <w:rPr>
          <w:rFonts w:ascii="Arial" w:hAnsi="Arial"/>
          <w:sz w:val="22"/>
          <w:szCs w:val="22"/>
        </w:rPr>
        <w:t xml:space="preserve">guidelines </w:t>
      </w:r>
      <w:r w:rsidRPr="0041039A">
        <w:rPr>
          <w:rFonts w:ascii="Arial" w:hAnsi="Arial"/>
          <w:sz w:val="22"/>
          <w:szCs w:val="22"/>
        </w:rPr>
        <w:t xml:space="preserve">for the diagnosis of diabetes and the assessment of albuminuria. </w:t>
      </w:r>
      <w:r w:rsidR="00525A65">
        <w:rPr>
          <w:rFonts w:ascii="Arial" w:hAnsi="Arial"/>
          <w:sz w:val="22"/>
          <w:szCs w:val="22"/>
        </w:rPr>
        <w:t>Guidelines are available on TrustNet (Clinical guideline area).</w:t>
      </w:r>
    </w:p>
    <w:p w:rsidR="0041039A" w:rsidRPr="0041039A" w:rsidRDefault="0041039A" w:rsidP="00D8441A">
      <w:pPr>
        <w:spacing w:line="360" w:lineRule="auto"/>
        <w:contextualSpacing/>
        <w:jc w:val="both"/>
        <w:rPr>
          <w:lang w:eastAsia="en-GB"/>
        </w:rPr>
      </w:pPr>
    </w:p>
    <w:p w:rsidR="0041039A" w:rsidRPr="0041039A" w:rsidRDefault="0041039A" w:rsidP="00D8441A">
      <w:pPr>
        <w:spacing w:line="360" w:lineRule="auto"/>
        <w:ind w:left="360"/>
        <w:contextualSpacing/>
        <w:jc w:val="both"/>
        <w:rPr>
          <w:rFonts w:ascii="Arial" w:eastAsia="Calibri" w:hAnsi="Arial" w:cs="Arial"/>
          <w:snapToGrid/>
          <w:sz w:val="22"/>
          <w:szCs w:val="22"/>
        </w:rPr>
      </w:pPr>
      <w:r w:rsidRPr="0041039A">
        <w:rPr>
          <w:rFonts w:ascii="Arial" w:eastAsia="Calibri" w:hAnsi="Arial" w:cs="Arial"/>
          <w:snapToGrid/>
          <w:sz w:val="22"/>
          <w:szCs w:val="22"/>
        </w:rPr>
        <w:t xml:space="preserve">As requested by the South East Strategic Clinical Network (SESCN) for NHS Diabetes Prevention Programme and in order to support  Primary Care  with the identification of pre-diabetic patients we have agreed to provide comments on Fasting Plasma glucose [Fasting  = &gt; 8 hours with water only (ADA)]and HbA1C reports.  This information will help to identify patients who may be eligible for referral to the National Diabetes Prevention Programme. There are 2 HbA1c test codes available on DART OCM and </w:t>
      </w:r>
      <w:r w:rsidR="00BF1166">
        <w:rPr>
          <w:rFonts w:ascii="Arial" w:eastAsia="Calibri" w:hAnsi="Arial" w:cs="Arial"/>
          <w:snapToGrid/>
          <w:sz w:val="22"/>
          <w:szCs w:val="22"/>
        </w:rPr>
        <w:t>Sunrise</w:t>
      </w:r>
      <w:r w:rsidRPr="0041039A">
        <w:rPr>
          <w:rFonts w:ascii="Arial" w:eastAsia="Calibri" w:hAnsi="Arial" w:cs="Arial"/>
          <w:snapToGrid/>
          <w:sz w:val="22"/>
          <w:szCs w:val="22"/>
        </w:rPr>
        <w:t>:</w:t>
      </w:r>
    </w:p>
    <w:p w:rsidR="0041039A" w:rsidRPr="0041039A" w:rsidRDefault="0041039A" w:rsidP="00EA3038">
      <w:pPr>
        <w:widowControl/>
        <w:numPr>
          <w:ilvl w:val="0"/>
          <w:numId w:val="61"/>
        </w:numPr>
        <w:suppressAutoHyphens/>
        <w:autoSpaceDN w:val="0"/>
        <w:spacing w:after="200" w:line="276" w:lineRule="auto"/>
        <w:jc w:val="both"/>
        <w:textAlignment w:val="baseline"/>
        <w:rPr>
          <w:rFonts w:ascii="Arial" w:eastAsia="Calibri" w:hAnsi="Arial" w:cs="Arial"/>
          <w:snapToGrid/>
          <w:sz w:val="22"/>
          <w:szCs w:val="22"/>
        </w:rPr>
      </w:pPr>
      <w:r w:rsidRPr="0041039A">
        <w:rPr>
          <w:rFonts w:ascii="Arial" w:eastAsia="Calibri" w:hAnsi="Arial" w:cs="Arial"/>
          <w:snapToGrid/>
          <w:sz w:val="22"/>
          <w:szCs w:val="22"/>
        </w:rPr>
        <w:t>HbA1cD – Diagnosis/screening</w:t>
      </w:r>
    </w:p>
    <w:p w:rsidR="0041039A" w:rsidRPr="0041039A" w:rsidRDefault="0041039A" w:rsidP="00EA3038">
      <w:pPr>
        <w:widowControl/>
        <w:numPr>
          <w:ilvl w:val="0"/>
          <w:numId w:val="61"/>
        </w:numPr>
        <w:suppressAutoHyphens/>
        <w:autoSpaceDN w:val="0"/>
        <w:spacing w:after="200" w:line="276" w:lineRule="auto"/>
        <w:jc w:val="both"/>
        <w:textAlignment w:val="baseline"/>
        <w:rPr>
          <w:rFonts w:ascii="Arial" w:eastAsia="Calibri" w:hAnsi="Arial" w:cs="Arial"/>
          <w:snapToGrid/>
          <w:sz w:val="22"/>
          <w:szCs w:val="22"/>
        </w:rPr>
      </w:pPr>
      <w:r w:rsidRPr="0041039A">
        <w:rPr>
          <w:rFonts w:ascii="Arial" w:eastAsia="Calibri" w:hAnsi="Arial" w:cs="Arial"/>
          <w:snapToGrid/>
          <w:sz w:val="22"/>
          <w:szCs w:val="22"/>
        </w:rPr>
        <w:t>HbA1cM – Monitoring diabetic control</w:t>
      </w:r>
    </w:p>
    <w:p w:rsidR="0041039A" w:rsidRDefault="0041039A" w:rsidP="00D8441A">
      <w:pPr>
        <w:widowControl/>
        <w:suppressAutoHyphens/>
        <w:autoSpaceDN w:val="0"/>
        <w:spacing w:line="360" w:lineRule="auto"/>
        <w:ind w:left="426"/>
        <w:contextualSpacing/>
        <w:jc w:val="both"/>
        <w:textAlignment w:val="baseline"/>
        <w:rPr>
          <w:rFonts w:ascii="Arial" w:eastAsia="Calibri" w:hAnsi="Arial" w:cs="Arial"/>
          <w:snapToGrid/>
          <w:sz w:val="22"/>
          <w:szCs w:val="22"/>
        </w:rPr>
      </w:pPr>
      <w:r w:rsidRPr="0041039A">
        <w:rPr>
          <w:rFonts w:ascii="Arial" w:eastAsia="Calibri" w:hAnsi="Arial" w:cs="Arial"/>
          <w:snapToGrid/>
          <w:sz w:val="22"/>
          <w:szCs w:val="22"/>
        </w:rPr>
        <w:t xml:space="preserve">HbA1cM should be used for monitoring diabetic control in patients known to have diabetes. If both are selected, default will be HbA1cM. Please be aware Diagnostic HbA1c and Monitoring HbA1c will generate a different narrative on the report and kindly remember to request the appropriate HbA1c. HbA1cD should be used for diagnosis or screening. </w:t>
      </w:r>
    </w:p>
    <w:p w:rsidR="002F2428" w:rsidRPr="0041039A" w:rsidRDefault="002F2428" w:rsidP="00D8441A">
      <w:pPr>
        <w:widowControl/>
        <w:suppressAutoHyphens/>
        <w:autoSpaceDN w:val="0"/>
        <w:spacing w:line="360" w:lineRule="auto"/>
        <w:ind w:left="426"/>
        <w:contextualSpacing/>
        <w:jc w:val="both"/>
        <w:textAlignment w:val="baseline"/>
        <w:rPr>
          <w:rFonts w:ascii="Arial" w:eastAsia="Calibri" w:hAnsi="Arial" w:cs="Arial"/>
          <w:snapToGrid/>
          <w:sz w:val="22"/>
          <w:szCs w:val="22"/>
        </w:rPr>
      </w:pPr>
    </w:p>
    <w:p w:rsidR="0041039A" w:rsidRPr="0041039A" w:rsidRDefault="0041039A" w:rsidP="00D8441A">
      <w:pPr>
        <w:widowControl/>
        <w:suppressAutoHyphens/>
        <w:autoSpaceDN w:val="0"/>
        <w:spacing w:line="360" w:lineRule="auto"/>
        <w:ind w:firstLine="426"/>
        <w:contextualSpacing/>
        <w:jc w:val="both"/>
        <w:textAlignment w:val="baseline"/>
        <w:rPr>
          <w:rFonts w:ascii="Arial" w:eastAsia="Calibri" w:hAnsi="Arial" w:cs="Arial"/>
          <w:snapToGrid/>
          <w:sz w:val="22"/>
          <w:szCs w:val="22"/>
        </w:rPr>
      </w:pPr>
      <w:r w:rsidRPr="0041039A">
        <w:rPr>
          <w:rFonts w:ascii="Arial" w:eastAsia="Calibri" w:hAnsi="Arial" w:cs="Arial"/>
          <w:snapToGrid/>
          <w:sz w:val="22"/>
          <w:szCs w:val="22"/>
        </w:rPr>
        <w:t>The following comments are issued with reports:</w:t>
      </w:r>
    </w:p>
    <w:p w:rsidR="0041039A" w:rsidRPr="0041039A" w:rsidRDefault="0041039A" w:rsidP="00D8441A">
      <w:pPr>
        <w:widowControl/>
        <w:suppressAutoHyphens/>
        <w:autoSpaceDN w:val="0"/>
        <w:spacing w:line="360" w:lineRule="auto"/>
        <w:ind w:firstLine="426"/>
        <w:contextualSpacing/>
        <w:textAlignment w:val="baseline"/>
        <w:rPr>
          <w:rFonts w:ascii="Arial" w:eastAsia="Calibri" w:hAnsi="Arial" w:cs="Arial"/>
          <w:b/>
          <w:snapToGrid/>
          <w:sz w:val="22"/>
          <w:szCs w:val="22"/>
        </w:rPr>
      </w:pPr>
      <w:r w:rsidRPr="0041039A">
        <w:rPr>
          <w:rFonts w:ascii="Arial" w:eastAsia="Calibri" w:hAnsi="Arial" w:cs="Arial"/>
          <w:b/>
          <w:snapToGrid/>
          <w:sz w:val="22"/>
          <w:szCs w:val="22"/>
        </w:rPr>
        <w:t>HbA1c Diagnostic (diagnosis/screening):</w:t>
      </w:r>
    </w:p>
    <w:p w:rsidR="0041039A" w:rsidRPr="0041039A" w:rsidRDefault="0041039A" w:rsidP="00D8441A">
      <w:pPr>
        <w:widowControl/>
        <w:suppressAutoHyphens/>
        <w:autoSpaceDN w:val="0"/>
        <w:spacing w:line="360" w:lineRule="auto"/>
        <w:ind w:firstLine="426"/>
        <w:contextualSpacing/>
        <w:textAlignment w:val="baseline"/>
        <w:rPr>
          <w:rFonts w:ascii="Arial" w:eastAsia="Calibri" w:hAnsi="Arial" w:cs="Arial"/>
          <w:snapToGrid/>
          <w:sz w:val="22"/>
          <w:szCs w:val="22"/>
        </w:rPr>
      </w:pPr>
      <w:r w:rsidRPr="0041039A">
        <w:rPr>
          <w:rFonts w:ascii="Arial" w:eastAsia="Calibri" w:hAnsi="Arial" w:cs="Arial"/>
          <w:snapToGrid/>
          <w:sz w:val="22"/>
          <w:szCs w:val="22"/>
        </w:rPr>
        <w:t>&lt; 42 mmol/mol - normal</w:t>
      </w:r>
    </w:p>
    <w:p w:rsidR="0041039A" w:rsidRPr="0041039A" w:rsidRDefault="0041039A" w:rsidP="00D8441A">
      <w:pPr>
        <w:widowControl/>
        <w:suppressAutoHyphens/>
        <w:autoSpaceDN w:val="0"/>
        <w:spacing w:line="360" w:lineRule="auto"/>
        <w:ind w:left="426"/>
        <w:contextualSpacing/>
        <w:textAlignment w:val="baseline"/>
        <w:rPr>
          <w:rFonts w:ascii="Arial" w:eastAsia="Calibri" w:hAnsi="Arial" w:cs="Arial"/>
          <w:snapToGrid/>
          <w:sz w:val="22"/>
          <w:szCs w:val="22"/>
        </w:rPr>
      </w:pPr>
      <w:r w:rsidRPr="0041039A">
        <w:rPr>
          <w:rFonts w:ascii="Arial" w:eastAsia="Calibri" w:hAnsi="Arial" w:cs="Arial"/>
          <w:snapToGrid/>
          <w:sz w:val="22"/>
          <w:szCs w:val="22"/>
        </w:rPr>
        <w:t>42 - 47 mmol/mol - non-diabetic hyperglycaemia (NDH). There is a high risk of progression to type 2 diabetes. Consider referral to National Diabetes Prevention Programme</w:t>
      </w:r>
    </w:p>
    <w:p w:rsidR="0041039A" w:rsidRPr="0041039A" w:rsidRDefault="0041039A" w:rsidP="00D8441A">
      <w:pPr>
        <w:widowControl/>
        <w:suppressAutoHyphens/>
        <w:autoSpaceDN w:val="0"/>
        <w:spacing w:line="360" w:lineRule="auto"/>
        <w:ind w:left="426"/>
        <w:contextualSpacing/>
        <w:textAlignment w:val="baseline"/>
        <w:rPr>
          <w:rFonts w:ascii="Arial" w:eastAsia="Calibri" w:hAnsi="Arial" w:cs="Arial"/>
          <w:snapToGrid/>
          <w:sz w:val="22"/>
          <w:szCs w:val="22"/>
        </w:rPr>
      </w:pPr>
      <w:r w:rsidRPr="0041039A">
        <w:rPr>
          <w:rFonts w:ascii="Arial" w:eastAsia="Calibri" w:hAnsi="Arial" w:cs="Arial"/>
          <w:snapToGrid/>
          <w:sz w:val="22"/>
          <w:szCs w:val="22"/>
        </w:rPr>
        <w:t>&gt; 48 mmol/mol - indicative of diabetes. If patient is symptomatic, diagnosis is confirmed.  If asymptomatic, repeat testing within 4 weeks is required for confirmation.</w:t>
      </w:r>
    </w:p>
    <w:p w:rsidR="0041039A" w:rsidRPr="0041039A" w:rsidRDefault="0041039A" w:rsidP="00D8441A">
      <w:pPr>
        <w:widowControl/>
        <w:suppressAutoHyphens/>
        <w:autoSpaceDN w:val="0"/>
        <w:spacing w:line="360" w:lineRule="auto"/>
        <w:ind w:firstLine="426"/>
        <w:contextualSpacing/>
        <w:textAlignment w:val="baseline"/>
        <w:rPr>
          <w:rFonts w:ascii="Arial" w:eastAsia="Calibri" w:hAnsi="Arial" w:cs="Arial"/>
          <w:snapToGrid/>
          <w:sz w:val="22"/>
          <w:szCs w:val="22"/>
        </w:rPr>
      </w:pPr>
      <w:r w:rsidRPr="0041039A">
        <w:rPr>
          <w:rFonts w:ascii="Arial" w:eastAsia="Calibri" w:hAnsi="Arial" w:cs="Arial"/>
          <w:snapToGrid/>
          <w:sz w:val="22"/>
          <w:szCs w:val="22"/>
        </w:rPr>
        <w:t>The following will also be added to all HbA1cD results:</w:t>
      </w:r>
    </w:p>
    <w:p w:rsidR="0041039A" w:rsidRDefault="0041039A" w:rsidP="00D8441A">
      <w:pPr>
        <w:widowControl/>
        <w:suppressAutoHyphens/>
        <w:autoSpaceDN w:val="0"/>
        <w:spacing w:line="360" w:lineRule="auto"/>
        <w:ind w:left="426"/>
        <w:contextualSpacing/>
        <w:textAlignment w:val="baseline"/>
        <w:rPr>
          <w:rFonts w:ascii="Arial" w:eastAsia="Calibri" w:hAnsi="Arial" w:cs="Arial"/>
          <w:snapToGrid/>
          <w:sz w:val="22"/>
          <w:szCs w:val="22"/>
        </w:rPr>
      </w:pPr>
      <w:r w:rsidRPr="0041039A">
        <w:rPr>
          <w:rFonts w:ascii="Arial" w:eastAsia="Calibri" w:hAnsi="Arial" w:cs="Arial"/>
          <w:snapToGrid/>
          <w:sz w:val="22"/>
          <w:szCs w:val="22"/>
        </w:rPr>
        <w:t>*** HbA1c is accepted for the diagnosis of type 2 diabetes in the UK, but should not be used to diagnose type 1 diabetes or in the following contexts: childhood, pregnancy, renal failure, haemoglobinopathy trait, anaemia, HIV, abnormal red cell turnover or any recent treatment likely to affect glycaemia or red cell turnover ***</w:t>
      </w:r>
    </w:p>
    <w:p w:rsidR="002F2428" w:rsidRPr="0041039A" w:rsidRDefault="002F2428" w:rsidP="00D8441A">
      <w:pPr>
        <w:widowControl/>
        <w:suppressAutoHyphens/>
        <w:autoSpaceDN w:val="0"/>
        <w:spacing w:line="360" w:lineRule="auto"/>
        <w:ind w:left="426"/>
        <w:contextualSpacing/>
        <w:textAlignment w:val="baseline"/>
        <w:rPr>
          <w:rFonts w:ascii="Arial" w:eastAsia="Calibri" w:hAnsi="Arial" w:cs="Arial"/>
          <w:snapToGrid/>
          <w:sz w:val="22"/>
          <w:szCs w:val="22"/>
        </w:rPr>
      </w:pPr>
    </w:p>
    <w:p w:rsidR="0041039A" w:rsidRPr="0041039A" w:rsidRDefault="0041039A" w:rsidP="00D8441A">
      <w:pPr>
        <w:widowControl/>
        <w:suppressAutoHyphens/>
        <w:autoSpaceDN w:val="0"/>
        <w:spacing w:line="360" w:lineRule="auto"/>
        <w:ind w:firstLine="426"/>
        <w:contextualSpacing/>
        <w:textAlignment w:val="baseline"/>
        <w:rPr>
          <w:rFonts w:ascii="Arial" w:eastAsia="Calibri" w:hAnsi="Arial" w:cs="Arial"/>
          <w:snapToGrid/>
          <w:sz w:val="22"/>
          <w:szCs w:val="22"/>
        </w:rPr>
      </w:pPr>
      <w:r w:rsidRPr="0041039A">
        <w:rPr>
          <w:rFonts w:ascii="Arial" w:eastAsia="Calibri" w:hAnsi="Arial" w:cs="Arial"/>
          <w:b/>
          <w:snapToGrid/>
          <w:sz w:val="22"/>
          <w:szCs w:val="22"/>
        </w:rPr>
        <w:t>HbA1c Monitoring (monitoring diabetic control):</w:t>
      </w:r>
      <w:r w:rsidRPr="0041039A">
        <w:rPr>
          <w:rFonts w:ascii="Arial" w:eastAsia="Calibri" w:hAnsi="Arial" w:cs="Arial"/>
          <w:snapToGrid/>
          <w:sz w:val="22"/>
          <w:szCs w:val="22"/>
        </w:rPr>
        <w:t xml:space="preserve"> </w:t>
      </w:r>
    </w:p>
    <w:p w:rsidR="0041039A" w:rsidRPr="0041039A" w:rsidRDefault="0041039A" w:rsidP="00D8441A">
      <w:pPr>
        <w:widowControl/>
        <w:suppressAutoHyphens/>
        <w:autoSpaceDN w:val="0"/>
        <w:spacing w:line="360" w:lineRule="auto"/>
        <w:ind w:firstLine="426"/>
        <w:contextualSpacing/>
        <w:textAlignment w:val="baseline"/>
        <w:rPr>
          <w:rFonts w:ascii="Arial" w:eastAsia="Calibri" w:hAnsi="Arial" w:cs="Arial"/>
          <w:snapToGrid/>
          <w:sz w:val="22"/>
          <w:szCs w:val="22"/>
        </w:rPr>
      </w:pPr>
      <w:r w:rsidRPr="0041039A">
        <w:rPr>
          <w:rFonts w:ascii="Arial" w:eastAsia="Calibri" w:hAnsi="Arial" w:cs="Arial"/>
          <w:snapToGrid/>
          <w:sz w:val="22"/>
          <w:szCs w:val="22"/>
        </w:rPr>
        <w:t>The following comment will be added to all HbA1cM results:</w:t>
      </w:r>
    </w:p>
    <w:p w:rsidR="0041039A" w:rsidRPr="0041039A" w:rsidRDefault="0041039A" w:rsidP="00D8441A">
      <w:pPr>
        <w:widowControl/>
        <w:suppressAutoHyphens/>
        <w:autoSpaceDN w:val="0"/>
        <w:spacing w:line="360" w:lineRule="auto"/>
        <w:ind w:left="426"/>
        <w:contextualSpacing/>
        <w:textAlignment w:val="baseline"/>
        <w:rPr>
          <w:rFonts w:ascii="Arial" w:eastAsia="Calibri" w:hAnsi="Arial" w:cs="Arial"/>
          <w:snapToGrid/>
          <w:sz w:val="22"/>
          <w:szCs w:val="22"/>
        </w:rPr>
      </w:pPr>
      <w:r w:rsidRPr="0041039A">
        <w:rPr>
          <w:rFonts w:ascii="Arial" w:eastAsia="Calibri" w:hAnsi="Arial" w:cs="Arial"/>
          <w:snapToGrid/>
          <w:sz w:val="22"/>
          <w:szCs w:val="22"/>
        </w:rPr>
        <w:t>Assuming the patient is a known diabetic, individualised targets recommended. Please refer to NICE Guidance [NG28]: Type 2 Diabetes in adults: management / NICE Guidance [NG17]: Type 1 Diabetes in adults- diagnosis and management</w:t>
      </w:r>
    </w:p>
    <w:p w:rsidR="0041039A" w:rsidRPr="0041039A" w:rsidRDefault="00674CB2" w:rsidP="00D8441A">
      <w:pPr>
        <w:widowControl/>
        <w:suppressAutoHyphens/>
        <w:autoSpaceDN w:val="0"/>
        <w:spacing w:line="360" w:lineRule="auto"/>
        <w:ind w:firstLine="426"/>
        <w:contextualSpacing/>
        <w:textAlignment w:val="baseline"/>
        <w:rPr>
          <w:rFonts w:ascii="Arial" w:eastAsia="Calibri" w:hAnsi="Arial" w:cs="Arial"/>
          <w:snapToGrid/>
          <w:sz w:val="22"/>
          <w:szCs w:val="22"/>
        </w:rPr>
      </w:pPr>
      <w:hyperlink r:id="rId29" w:history="1">
        <w:r w:rsidR="0041039A" w:rsidRPr="0041039A">
          <w:rPr>
            <w:rFonts w:ascii="Arial" w:eastAsia="Calibri" w:hAnsi="Arial" w:cs="Arial"/>
            <w:snapToGrid/>
            <w:color w:val="0000FF"/>
            <w:sz w:val="22"/>
            <w:szCs w:val="22"/>
            <w:u w:val="single"/>
          </w:rPr>
          <w:t>https://www.nice.org.uk/guidance/ng28</w:t>
        </w:r>
      </w:hyperlink>
    </w:p>
    <w:p w:rsidR="0041039A" w:rsidRDefault="00674CB2" w:rsidP="00D8441A">
      <w:pPr>
        <w:widowControl/>
        <w:suppressAutoHyphens/>
        <w:autoSpaceDN w:val="0"/>
        <w:spacing w:line="360" w:lineRule="auto"/>
        <w:ind w:firstLine="426"/>
        <w:contextualSpacing/>
        <w:textAlignment w:val="baseline"/>
        <w:rPr>
          <w:rFonts w:ascii="Arial" w:eastAsia="Calibri" w:hAnsi="Arial" w:cs="Arial"/>
          <w:snapToGrid/>
          <w:color w:val="0000FF"/>
          <w:sz w:val="22"/>
          <w:szCs w:val="22"/>
          <w:u w:val="single"/>
        </w:rPr>
      </w:pPr>
      <w:hyperlink r:id="rId30" w:history="1">
        <w:r w:rsidR="0041039A" w:rsidRPr="0041039A">
          <w:rPr>
            <w:rFonts w:ascii="Arial" w:eastAsia="Calibri" w:hAnsi="Arial" w:cs="Arial"/>
            <w:snapToGrid/>
            <w:color w:val="0000FF"/>
            <w:sz w:val="22"/>
            <w:szCs w:val="22"/>
            <w:u w:val="single"/>
          </w:rPr>
          <w:t>https://www.nice.org.uk/guidance/ng17</w:t>
        </w:r>
      </w:hyperlink>
    </w:p>
    <w:p w:rsidR="002F2428" w:rsidRPr="0041039A" w:rsidRDefault="002F2428" w:rsidP="00D8441A">
      <w:pPr>
        <w:widowControl/>
        <w:suppressAutoHyphens/>
        <w:autoSpaceDN w:val="0"/>
        <w:spacing w:line="360" w:lineRule="auto"/>
        <w:ind w:firstLine="426"/>
        <w:contextualSpacing/>
        <w:textAlignment w:val="baseline"/>
        <w:rPr>
          <w:rFonts w:ascii="Arial" w:eastAsia="Calibri" w:hAnsi="Arial" w:cs="Arial"/>
          <w:snapToGrid/>
          <w:color w:val="0000FF"/>
          <w:sz w:val="22"/>
          <w:szCs w:val="22"/>
          <w:u w:val="single"/>
        </w:rPr>
      </w:pPr>
    </w:p>
    <w:p w:rsidR="0041039A" w:rsidRPr="0041039A" w:rsidRDefault="0041039A" w:rsidP="0041039A">
      <w:pPr>
        <w:widowControl/>
        <w:suppressAutoHyphens/>
        <w:autoSpaceDN w:val="0"/>
        <w:spacing w:after="200" w:line="276" w:lineRule="auto"/>
        <w:ind w:firstLine="426"/>
        <w:textAlignment w:val="baseline"/>
        <w:rPr>
          <w:rFonts w:ascii="Arial" w:eastAsia="Calibri" w:hAnsi="Arial" w:cs="Arial"/>
          <w:b/>
          <w:snapToGrid/>
          <w:sz w:val="22"/>
          <w:szCs w:val="22"/>
        </w:rPr>
      </w:pPr>
      <w:r w:rsidRPr="0041039A">
        <w:rPr>
          <w:rFonts w:ascii="Arial" w:eastAsia="Calibri" w:hAnsi="Arial" w:cs="Arial"/>
          <w:b/>
          <w:snapToGrid/>
          <w:sz w:val="22"/>
          <w:szCs w:val="22"/>
        </w:rPr>
        <w:t>Fasting Plasma Glucose:</w:t>
      </w:r>
    </w:p>
    <w:p w:rsidR="0041039A" w:rsidRPr="0041039A" w:rsidRDefault="0041039A" w:rsidP="006F664F">
      <w:pPr>
        <w:widowControl/>
        <w:suppressAutoHyphens/>
        <w:autoSpaceDN w:val="0"/>
        <w:spacing w:line="360" w:lineRule="auto"/>
        <w:ind w:firstLine="426"/>
        <w:contextualSpacing/>
        <w:jc w:val="both"/>
        <w:textAlignment w:val="baseline"/>
        <w:rPr>
          <w:rFonts w:ascii="Arial" w:eastAsia="Calibri" w:hAnsi="Arial" w:cs="Arial"/>
          <w:snapToGrid/>
          <w:sz w:val="22"/>
          <w:szCs w:val="22"/>
        </w:rPr>
      </w:pPr>
      <w:r w:rsidRPr="0041039A">
        <w:rPr>
          <w:rFonts w:ascii="Arial" w:eastAsia="Calibri" w:hAnsi="Arial" w:cs="Arial"/>
          <w:snapToGrid/>
          <w:sz w:val="22"/>
          <w:szCs w:val="22"/>
        </w:rPr>
        <w:t>3.0 – 5.4 mmol/L – normal fasting glucose</w:t>
      </w:r>
    </w:p>
    <w:p w:rsidR="0041039A" w:rsidRPr="0041039A" w:rsidRDefault="0041039A" w:rsidP="006F664F">
      <w:pPr>
        <w:widowControl/>
        <w:suppressAutoHyphens/>
        <w:autoSpaceDN w:val="0"/>
        <w:spacing w:line="360" w:lineRule="auto"/>
        <w:ind w:left="426"/>
        <w:contextualSpacing/>
        <w:jc w:val="both"/>
        <w:textAlignment w:val="baseline"/>
        <w:rPr>
          <w:rFonts w:ascii="Arial" w:eastAsia="Calibri" w:hAnsi="Arial" w:cs="Arial"/>
          <w:snapToGrid/>
          <w:sz w:val="22"/>
          <w:szCs w:val="22"/>
        </w:rPr>
      </w:pPr>
      <w:r w:rsidRPr="0041039A">
        <w:rPr>
          <w:rFonts w:ascii="Arial" w:eastAsia="Calibri" w:hAnsi="Arial" w:cs="Arial"/>
          <w:snapToGrid/>
          <w:sz w:val="22"/>
          <w:szCs w:val="22"/>
        </w:rPr>
        <w:t>≥  5.5 – 6.9 mmol/L  -  non-diabetic hyperglycaemia (NDH). There is high risk of progression to type 2 diabetes. Consider referral to National Diabetes Prevention Programme</w:t>
      </w:r>
    </w:p>
    <w:p w:rsidR="006F664F" w:rsidRPr="0041039A" w:rsidRDefault="0041039A" w:rsidP="00E61534">
      <w:pPr>
        <w:widowControl/>
        <w:suppressAutoHyphens/>
        <w:autoSpaceDN w:val="0"/>
        <w:spacing w:line="360" w:lineRule="auto"/>
        <w:ind w:left="360"/>
        <w:contextualSpacing/>
        <w:jc w:val="both"/>
        <w:textAlignment w:val="baseline"/>
        <w:rPr>
          <w:rFonts w:ascii="Arial" w:eastAsia="Calibri" w:hAnsi="Arial" w:cs="Arial"/>
          <w:snapToGrid/>
          <w:sz w:val="22"/>
          <w:szCs w:val="22"/>
        </w:rPr>
      </w:pPr>
      <w:r w:rsidRPr="0041039A">
        <w:rPr>
          <w:rFonts w:ascii="Arial" w:eastAsia="Calibri" w:hAnsi="Arial" w:cs="Arial"/>
          <w:snapToGrid/>
          <w:sz w:val="22"/>
          <w:szCs w:val="22"/>
        </w:rPr>
        <w:t>≥7.0 mmol/L – indicative of diabetes. If patient symptomatic, diagnosis is confirmed.  If asymptomatic, repeat testing within 4 weeks is required for confirmation.</w:t>
      </w:r>
    </w:p>
    <w:p w:rsidR="0041039A" w:rsidRPr="0041039A" w:rsidRDefault="0041039A" w:rsidP="0041039A">
      <w:pPr>
        <w:rPr>
          <w:sz w:val="22"/>
          <w:szCs w:val="22"/>
        </w:rPr>
      </w:pPr>
    </w:p>
    <w:p w:rsidR="0041039A" w:rsidRPr="0041039A" w:rsidRDefault="0041039A" w:rsidP="0041039A">
      <w:pPr>
        <w:keepNext/>
        <w:widowControl/>
        <w:numPr>
          <w:ilvl w:val="0"/>
          <w:numId w:val="30"/>
        </w:numPr>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both"/>
        <w:outlineLvl w:val="4"/>
        <w:rPr>
          <w:rFonts w:ascii="Arial" w:hAnsi="Arial"/>
          <w:b/>
          <w:sz w:val="22"/>
          <w:szCs w:val="22"/>
        </w:rPr>
      </w:pPr>
      <w:r w:rsidRPr="0041039A">
        <w:rPr>
          <w:rFonts w:ascii="Arial" w:hAnsi="Arial"/>
          <w:b/>
          <w:sz w:val="22"/>
          <w:szCs w:val="22"/>
        </w:rPr>
        <w:t>Kidney disease</w:t>
      </w:r>
    </w:p>
    <w:p w:rsidR="0041039A" w:rsidRPr="0041039A" w:rsidRDefault="0041039A" w:rsidP="0041039A">
      <w:pPr>
        <w:rPr>
          <w:sz w:val="22"/>
          <w:szCs w:val="22"/>
        </w:rPr>
      </w:pPr>
    </w:p>
    <w:p w:rsidR="0041039A" w:rsidRPr="0041039A" w:rsidRDefault="0041039A" w:rsidP="00D8441A">
      <w:pPr>
        <w:spacing w:line="360" w:lineRule="auto"/>
        <w:ind w:left="360"/>
        <w:contextualSpacing/>
        <w:jc w:val="both"/>
        <w:rPr>
          <w:rFonts w:ascii="Arial" w:hAnsi="Arial" w:cs="Arial"/>
          <w:sz w:val="22"/>
          <w:szCs w:val="22"/>
          <w:u w:val="single"/>
        </w:rPr>
      </w:pPr>
      <w:r w:rsidRPr="0041039A">
        <w:rPr>
          <w:rFonts w:ascii="Arial" w:hAnsi="Arial" w:cs="Arial"/>
          <w:sz w:val="22"/>
          <w:szCs w:val="22"/>
          <w:u w:val="single"/>
        </w:rPr>
        <w:t>Acute kidney injury</w:t>
      </w:r>
    </w:p>
    <w:p w:rsidR="006F664F" w:rsidRDefault="0041039A" w:rsidP="006F664F">
      <w:pPr>
        <w:spacing w:line="360" w:lineRule="auto"/>
        <w:ind w:left="426"/>
        <w:contextualSpacing/>
        <w:jc w:val="both"/>
        <w:rPr>
          <w:rFonts w:ascii="Arial" w:hAnsi="Arial" w:cs="Arial"/>
          <w:sz w:val="22"/>
          <w:szCs w:val="22"/>
        </w:rPr>
      </w:pPr>
      <w:r w:rsidRPr="0041039A">
        <w:rPr>
          <w:rFonts w:ascii="Arial" w:hAnsi="Arial" w:cs="Arial"/>
          <w:sz w:val="22"/>
          <w:szCs w:val="22"/>
        </w:rPr>
        <w:t xml:space="preserve">The laboratory reports acute kidney injury (AKI) alerts based on changes in serum creatinine according to a nationally agreed algorithm. Further details can be found at </w:t>
      </w:r>
      <w:hyperlink r:id="rId31" w:history="1">
        <w:r w:rsidRPr="0041039A">
          <w:rPr>
            <w:rFonts w:ascii="Arial" w:hAnsi="Arial" w:cs="Arial"/>
            <w:color w:val="0000FF"/>
            <w:sz w:val="22"/>
            <w:szCs w:val="22"/>
            <w:u w:val="single"/>
          </w:rPr>
          <w:t>https://www.thinkkidneys.nhs.uk</w:t>
        </w:r>
      </w:hyperlink>
      <w:r w:rsidR="00E17338">
        <w:rPr>
          <w:rFonts w:ascii="Arial" w:hAnsi="Arial" w:cs="Arial"/>
          <w:sz w:val="22"/>
          <w:szCs w:val="22"/>
        </w:rPr>
        <w:t xml:space="preserve">. </w:t>
      </w:r>
    </w:p>
    <w:p w:rsidR="006F664F" w:rsidRDefault="006F664F" w:rsidP="006F664F">
      <w:pPr>
        <w:spacing w:line="360" w:lineRule="auto"/>
        <w:ind w:left="426"/>
        <w:contextualSpacing/>
        <w:jc w:val="both"/>
        <w:rPr>
          <w:rFonts w:ascii="Arial" w:hAnsi="Arial" w:cs="Arial"/>
          <w:sz w:val="22"/>
          <w:szCs w:val="22"/>
          <w:u w:val="single"/>
        </w:rPr>
      </w:pPr>
    </w:p>
    <w:p w:rsidR="0041039A" w:rsidRPr="0041039A" w:rsidRDefault="0041039A" w:rsidP="00D8441A">
      <w:pPr>
        <w:spacing w:line="360" w:lineRule="auto"/>
        <w:ind w:left="360"/>
        <w:contextualSpacing/>
        <w:jc w:val="both"/>
        <w:rPr>
          <w:rFonts w:ascii="Arial" w:hAnsi="Arial" w:cs="Arial"/>
          <w:sz w:val="22"/>
          <w:szCs w:val="22"/>
          <w:u w:val="single"/>
        </w:rPr>
      </w:pPr>
      <w:r w:rsidRPr="0041039A">
        <w:rPr>
          <w:rFonts w:ascii="Arial" w:hAnsi="Arial" w:cs="Arial"/>
          <w:sz w:val="22"/>
          <w:szCs w:val="22"/>
          <w:u w:val="single"/>
        </w:rPr>
        <w:t>Estimated GFR</w:t>
      </w:r>
    </w:p>
    <w:p w:rsidR="0041039A" w:rsidRPr="0041039A" w:rsidRDefault="0041039A" w:rsidP="00D8441A">
      <w:pPr>
        <w:spacing w:line="360" w:lineRule="auto"/>
        <w:ind w:left="426"/>
        <w:contextualSpacing/>
        <w:jc w:val="both"/>
        <w:rPr>
          <w:rFonts w:ascii="Arial" w:hAnsi="Arial" w:cs="Arial"/>
          <w:sz w:val="22"/>
          <w:szCs w:val="22"/>
        </w:rPr>
      </w:pPr>
      <w:r w:rsidRPr="0041039A">
        <w:rPr>
          <w:rFonts w:ascii="Arial" w:hAnsi="Arial" w:cs="Arial"/>
          <w:sz w:val="22"/>
          <w:szCs w:val="22"/>
        </w:rPr>
        <w:t>An estimated glomerular filtration rate is calculated from serum creatinine to improve the recognition of kidney disease. The laboratory automatically calculates eGFR when we receive a serum creatinine request on samples from adults (</w:t>
      </w:r>
      <w:r w:rsidRPr="0041039A">
        <w:rPr>
          <w:rFonts w:ascii="Arial" w:hAnsi="Arial" w:cs="Arial"/>
          <w:sz w:val="22"/>
          <w:szCs w:val="22"/>
          <w:u w:val="single"/>
        </w:rPr>
        <w:t>&gt;</w:t>
      </w:r>
      <w:r w:rsidRPr="0041039A">
        <w:rPr>
          <w:rFonts w:ascii="Arial" w:hAnsi="Arial" w:cs="Arial"/>
          <w:sz w:val="22"/>
          <w:szCs w:val="22"/>
        </w:rPr>
        <w:t>18 years old). GFR is estimated using the CKD-EPI equation. It should be noted that a GFR between 60-89 mL/min/1.73 m</w:t>
      </w:r>
      <w:r w:rsidRPr="0041039A">
        <w:rPr>
          <w:rFonts w:ascii="Arial" w:hAnsi="Arial" w:cs="Arial"/>
          <w:sz w:val="22"/>
          <w:szCs w:val="22"/>
          <w:vertAlign w:val="superscript"/>
        </w:rPr>
        <w:t>2</w:t>
      </w:r>
      <w:r w:rsidRPr="0041039A">
        <w:rPr>
          <w:rFonts w:ascii="Arial" w:hAnsi="Arial" w:cs="Arial"/>
          <w:sz w:val="22"/>
          <w:szCs w:val="22"/>
        </w:rPr>
        <w:t xml:space="preserve"> does not indicate chronic kidney disease unless there is other</w:t>
      </w:r>
      <w:r w:rsidR="00E17338">
        <w:rPr>
          <w:rFonts w:ascii="Arial" w:hAnsi="Arial" w:cs="Arial"/>
          <w:sz w:val="22"/>
          <w:szCs w:val="22"/>
        </w:rPr>
        <w:t xml:space="preserve"> </w:t>
      </w:r>
      <w:r w:rsidRPr="0041039A">
        <w:rPr>
          <w:rFonts w:ascii="Arial" w:hAnsi="Arial" w:cs="Arial"/>
          <w:sz w:val="22"/>
          <w:szCs w:val="22"/>
        </w:rPr>
        <w:t>laboratory/clinical evidence (e.g. albuminuria). For further information</w:t>
      </w:r>
      <w:r w:rsidR="00E17338">
        <w:rPr>
          <w:rFonts w:ascii="Arial" w:hAnsi="Arial" w:cs="Arial"/>
          <w:sz w:val="22"/>
          <w:szCs w:val="22"/>
        </w:rPr>
        <w:t xml:space="preserve"> visit </w:t>
      </w:r>
      <w:hyperlink r:id="rId32" w:history="1">
        <w:r w:rsidR="00E17338" w:rsidRPr="0006070C">
          <w:rPr>
            <w:rStyle w:val="Hyperlink"/>
            <w:rFonts w:ascii="Arial" w:hAnsi="Arial" w:cs="Arial"/>
            <w:sz w:val="22"/>
            <w:szCs w:val="22"/>
          </w:rPr>
          <w:t>https://www.nice.org.uk/guidance/ng203</w:t>
        </w:r>
      </w:hyperlink>
      <w:r w:rsidR="00E17338">
        <w:rPr>
          <w:rFonts w:ascii="Arial" w:hAnsi="Arial" w:cs="Arial"/>
          <w:sz w:val="22"/>
          <w:szCs w:val="22"/>
        </w:rPr>
        <w:t xml:space="preserve"> </w:t>
      </w:r>
    </w:p>
    <w:p w:rsidR="0041039A" w:rsidRPr="0041039A" w:rsidRDefault="0041039A" w:rsidP="00D8441A">
      <w:pPr>
        <w:spacing w:line="360" w:lineRule="auto"/>
        <w:ind w:left="360"/>
        <w:contextualSpacing/>
        <w:jc w:val="both"/>
        <w:rPr>
          <w:rFonts w:ascii="Arial" w:hAnsi="Arial" w:cs="Arial"/>
          <w:sz w:val="22"/>
          <w:szCs w:val="22"/>
        </w:rPr>
      </w:pPr>
    </w:p>
    <w:p w:rsidR="0041039A" w:rsidRPr="0041039A" w:rsidRDefault="0041039A" w:rsidP="00D8441A">
      <w:pPr>
        <w:spacing w:line="360" w:lineRule="auto"/>
        <w:ind w:left="360"/>
        <w:contextualSpacing/>
        <w:jc w:val="both"/>
        <w:rPr>
          <w:rFonts w:ascii="Arial" w:hAnsi="Arial" w:cs="Arial"/>
          <w:sz w:val="22"/>
          <w:szCs w:val="22"/>
        </w:rPr>
      </w:pPr>
      <w:r w:rsidRPr="0041039A">
        <w:rPr>
          <w:rFonts w:ascii="Arial" w:hAnsi="Arial" w:cs="Arial"/>
          <w:sz w:val="22"/>
          <w:szCs w:val="22"/>
        </w:rPr>
        <w:t xml:space="preserve">Our standard renal function test profile (“electrolytes and creatinine”) consists of sodium, potassium, creatinine and eGFR.  The value of urea as a test of kidney function is limited and the historical practice of requesting “urea and electrolytes” is discouraged.  Urea is still available as a separately requested test provided that it is specifically indicated on the request form. </w:t>
      </w:r>
    </w:p>
    <w:p w:rsidR="0041039A" w:rsidRPr="0041039A" w:rsidRDefault="0041039A" w:rsidP="00D8441A">
      <w:pPr>
        <w:spacing w:line="360" w:lineRule="auto"/>
        <w:contextualSpacing/>
        <w:jc w:val="both"/>
        <w:rPr>
          <w:rFonts w:ascii="Arial" w:hAnsi="Arial" w:cs="Arial"/>
          <w:sz w:val="22"/>
          <w:szCs w:val="22"/>
        </w:rPr>
      </w:pPr>
    </w:p>
    <w:p w:rsidR="0041039A" w:rsidRPr="0041039A" w:rsidRDefault="0041039A" w:rsidP="00D8441A">
      <w:pPr>
        <w:spacing w:line="360" w:lineRule="auto"/>
        <w:ind w:left="360"/>
        <w:contextualSpacing/>
        <w:jc w:val="both"/>
        <w:rPr>
          <w:rFonts w:ascii="Arial" w:hAnsi="Arial" w:cs="Arial"/>
          <w:sz w:val="22"/>
          <w:szCs w:val="22"/>
          <w:u w:val="single"/>
        </w:rPr>
      </w:pPr>
      <w:r w:rsidRPr="0041039A">
        <w:rPr>
          <w:rFonts w:ascii="Arial" w:hAnsi="Arial" w:cs="Arial"/>
          <w:sz w:val="22"/>
          <w:szCs w:val="22"/>
          <w:u w:val="single"/>
        </w:rPr>
        <w:t>Proteinuria and albuminuria</w:t>
      </w:r>
    </w:p>
    <w:p w:rsidR="0041039A" w:rsidRPr="0041039A" w:rsidRDefault="0041039A" w:rsidP="00D8441A">
      <w:pPr>
        <w:spacing w:line="360" w:lineRule="auto"/>
        <w:ind w:left="360"/>
        <w:contextualSpacing/>
        <w:jc w:val="both"/>
        <w:rPr>
          <w:rFonts w:ascii="Arial" w:hAnsi="Arial" w:cs="Arial"/>
          <w:sz w:val="22"/>
          <w:szCs w:val="22"/>
        </w:rPr>
      </w:pPr>
      <w:r w:rsidRPr="0041039A">
        <w:rPr>
          <w:rFonts w:ascii="Arial" w:hAnsi="Arial" w:cs="Arial"/>
          <w:sz w:val="22"/>
          <w:szCs w:val="22"/>
        </w:rPr>
        <w:t xml:space="preserve">The detection of protein in the urine is one of the cardinal signs of kidney disease. Confirmation has traditionally relied upon the submission of a 24 h urine sample to the laboratory for quantitation of daily protein loss. It is now clear that equivalent information can be obtained from a random (preferably early morning) urine sample and this has been endorsed as a recommendation in the second part of the NSF for kidney disease. We prefer to receive random rather than 24 h urine collections for quantitation of protein loss. The laboratory reports the result as an albumin/creatinine (preferred) or protein/creatinine ratio (mg/mmol). </w:t>
      </w:r>
    </w:p>
    <w:p w:rsidR="0041039A" w:rsidRPr="0041039A" w:rsidRDefault="0041039A" w:rsidP="00D8441A">
      <w:pPr>
        <w:spacing w:line="360" w:lineRule="auto"/>
        <w:ind w:left="360"/>
        <w:contextualSpacing/>
        <w:jc w:val="both"/>
        <w:rPr>
          <w:rFonts w:ascii="Arial" w:hAnsi="Arial" w:cs="Arial"/>
          <w:sz w:val="22"/>
          <w:szCs w:val="22"/>
        </w:rPr>
      </w:pPr>
    </w:p>
    <w:p w:rsidR="0041039A" w:rsidRPr="0041039A" w:rsidRDefault="0041039A" w:rsidP="00D8441A">
      <w:pPr>
        <w:spacing w:line="360" w:lineRule="auto"/>
        <w:ind w:left="360"/>
        <w:contextualSpacing/>
        <w:jc w:val="both"/>
        <w:rPr>
          <w:rFonts w:ascii="Arial" w:hAnsi="Arial" w:cs="Arial"/>
          <w:sz w:val="22"/>
          <w:szCs w:val="22"/>
        </w:rPr>
      </w:pPr>
      <w:r w:rsidRPr="0041039A">
        <w:rPr>
          <w:rFonts w:ascii="Arial" w:hAnsi="Arial" w:cs="Arial"/>
          <w:sz w:val="22"/>
          <w:szCs w:val="22"/>
        </w:rPr>
        <w:t xml:space="preserve">The international chronic kidney disease staging system considers urine albumin/creatinine ratios </w:t>
      </w:r>
      <w:r w:rsidRPr="0041039A">
        <w:rPr>
          <w:rFonts w:ascii="Arial" w:hAnsi="Arial" w:cs="Arial"/>
          <w:sz w:val="22"/>
          <w:szCs w:val="22"/>
          <w:u w:val="single"/>
        </w:rPr>
        <w:t>&gt;</w:t>
      </w:r>
      <w:r w:rsidRPr="0041039A">
        <w:rPr>
          <w:rFonts w:ascii="Arial" w:hAnsi="Arial" w:cs="Arial"/>
          <w:sz w:val="22"/>
          <w:szCs w:val="22"/>
        </w:rPr>
        <w:t xml:space="preserve">3.0 mg/mmol to be positive tests for proteinuria (stage A2, moderately increased), with higher level proteinuria (stage A3, severely increased) being indicated by an albumin/creatinine ratio </w:t>
      </w:r>
      <w:r w:rsidRPr="0041039A">
        <w:rPr>
          <w:rFonts w:ascii="Arial" w:hAnsi="Arial" w:cs="Arial"/>
          <w:sz w:val="22"/>
          <w:szCs w:val="22"/>
          <w:u w:val="single"/>
        </w:rPr>
        <w:t>&gt;</w:t>
      </w:r>
      <w:r w:rsidRPr="0041039A">
        <w:rPr>
          <w:rFonts w:ascii="Arial" w:hAnsi="Arial" w:cs="Arial"/>
          <w:sz w:val="22"/>
          <w:szCs w:val="22"/>
        </w:rPr>
        <w:t xml:space="preserve">30 mg/mmol. Positive tests should be followed by exclusion of postural proteinuria, by analysis of an EMU. Patients with two or more positive tests, preferably spaced by 1 to 2 weeks, have persistent proteinuria. Further advice on the interpretation of proteinuria may be accessed at </w:t>
      </w:r>
      <w:hyperlink r:id="rId33" w:history="1">
        <w:r w:rsidR="00E17338" w:rsidRPr="0006070C">
          <w:rPr>
            <w:rStyle w:val="Hyperlink"/>
            <w:rFonts w:ascii="Arial" w:hAnsi="Arial" w:cs="Arial"/>
            <w:sz w:val="22"/>
            <w:szCs w:val="22"/>
          </w:rPr>
          <w:t>https://www.nice.org.uk/guidance/ng203</w:t>
        </w:r>
      </w:hyperlink>
      <w:r w:rsidR="00E17338">
        <w:rPr>
          <w:rFonts w:ascii="Arial" w:hAnsi="Arial" w:cs="Arial"/>
          <w:sz w:val="22"/>
          <w:szCs w:val="22"/>
        </w:rPr>
        <w:t xml:space="preserve"> </w:t>
      </w:r>
    </w:p>
    <w:p w:rsidR="0041039A" w:rsidRPr="0041039A" w:rsidRDefault="0041039A" w:rsidP="0041039A">
      <w:pPr>
        <w:ind w:left="360"/>
        <w:rPr>
          <w:rFonts w:ascii="Arial" w:hAnsi="Arial" w:cs="Arial"/>
          <w:sz w:val="22"/>
          <w:szCs w:val="22"/>
        </w:rPr>
      </w:pPr>
    </w:p>
    <w:p w:rsidR="0041039A" w:rsidRPr="0041039A" w:rsidRDefault="0041039A" w:rsidP="006F664F">
      <w:pPr>
        <w:keepNext/>
        <w:widowControl/>
        <w:numPr>
          <w:ilvl w:val="0"/>
          <w:numId w:val="31"/>
        </w:numPr>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outlineLvl w:val="4"/>
        <w:rPr>
          <w:rFonts w:ascii="Arial" w:hAnsi="Arial"/>
          <w:b/>
          <w:sz w:val="22"/>
          <w:szCs w:val="22"/>
        </w:rPr>
      </w:pPr>
      <w:r w:rsidRPr="0041039A">
        <w:rPr>
          <w:rFonts w:ascii="Arial" w:hAnsi="Arial"/>
          <w:b/>
          <w:sz w:val="22"/>
          <w:szCs w:val="22"/>
        </w:rPr>
        <w:t>Lipids</w:t>
      </w:r>
    </w:p>
    <w:p w:rsidR="0041039A" w:rsidRPr="0041039A" w:rsidRDefault="0041039A" w:rsidP="006F664F">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60"/>
        <w:contextualSpacing/>
        <w:jc w:val="both"/>
        <w:rPr>
          <w:rFonts w:ascii="Arial" w:eastAsia="Calibri" w:hAnsi="Arial" w:cs="Arial"/>
          <w:snapToGrid/>
          <w:color w:val="000000"/>
          <w:sz w:val="22"/>
          <w:szCs w:val="22"/>
          <w:lang w:eastAsia="en-GB"/>
        </w:rPr>
      </w:pPr>
      <w:r w:rsidRPr="0041039A">
        <w:rPr>
          <w:rFonts w:ascii="Arial" w:hAnsi="Arial"/>
          <w:sz w:val="22"/>
          <w:szCs w:val="22"/>
        </w:rPr>
        <w:t>The laboratory offers analysis of total and HDL cholesterol and triglycerides. In addition we report calculated total cholesterol/HDL ratios, calculated LDL and calculated non-HDL cholesterol. All requests for total cholesterol will receive a HDL cholesterol measurement.</w:t>
      </w:r>
    </w:p>
    <w:p w:rsidR="0041039A" w:rsidRPr="0041039A" w:rsidRDefault="0041039A" w:rsidP="006F664F">
      <w:pPr>
        <w:widowControl/>
        <w:spacing w:line="360" w:lineRule="auto"/>
        <w:ind w:left="360"/>
        <w:contextualSpacing/>
        <w:jc w:val="both"/>
        <w:rPr>
          <w:rFonts w:ascii="Arial" w:eastAsia="Calibri" w:hAnsi="Arial" w:cs="Arial"/>
          <w:snapToGrid/>
          <w:color w:val="212121"/>
          <w:sz w:val="22"/>
          <w:szCs w:val="22"/>
          <w:lang w:eastAsia="en-GB"/>
        </w:rPr>
      </w:pPr>
      <w:r w:rsidRPr="0041039A">
        <w:rPr>
          <w:rFonts w:ascii="Arial" w:eastAsia="Calibri" w:hAnsi="Arial" w:cs="Arial"/>
          <w:snapToGrid/>
          <w:color w:val="000000"/>
          <w:sz w:val="22"/>
          <w:szCs w:val="22"/>
          <w:lang w:eastAsia="en-GB"/>
        </w:rPr>
        <w:t>Before starting lipid modification therapy for the primary prevention of CVD, take at least 1 lipid sample to measure a full lipid profile. This should include measurement of total cholesterol, HDL cholesterol, non</w:t>
      </w:r>
      <w:r w:rsidRPr="0041039A">
        <w:rPr>
          <w:rFonts w:ascii="Arial" w:eastAsia="Calibri" w:hAnsi="Arial" w:cs="Arial"/>
          <w:snapToGrid/>
          <w:color w:val="000000"/>
          <w:sz w:val="22"/>
          <w:szCs w:val="22"/>
          <w:lang w:eastAsia="en-GB"/>
        </w:rPr>
        <w:noBreakHyphen/>
        <w:t>HDL cholesterol and triglyceride concentrations. A fasting sample is not needed (NICE CG181).</w:t>
      </w:r>
      <w:r w:rsidRPr="0041039A">
        <w:rPr>
          <w:rFonts w:ascii="Arial" w:eastAsia="Calibri" w:hAnsi="Arial" w:cs="Arial"/>
          <w:snapToGrid/>
          <w:color w:val="000000"/>
          <w:sz w:val="22"/>
          <w:szCs w:val="22"/>
          <w:shd w:val="clear" w:color="auto" w:fill="FFFF00"/>
          <w:lang w:eastAsia="en-GB"/>
        </w:rPr>
        <w:t xml:space="preserve"> </w:t>
      </w:r>
    </w:p>
    <w:p w:rsidR="0041039A" w:rsidRPr="0041039A" w:rsidRDefault="0041039A" w:rsidP="006F664F">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jc w:val="both"/>
        <w:rPr>
          <w:rFonts w:ascii="Arial" w:hAnsi="Arial"/>
          <w:sz w:val="22"/>
          <w:szCs w:val="22"/>
        </w:rPr>
      </w:pPr>
    </w:p>
    <w:p w:rsidR="0041039A" w:rsidRPr="0041039A" w:rsidRDefault="0041039A" w:rsidP="006F664F">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60"/>
        <w:contextualSpacing/>
        <w:jc w:val="both"/>
        <w:rPr>
          <w:rFonts w:ascii="Arial" w:hAnsi="Arial"/>
          <w:sz w:val="22"/>
          <w:szCs w:val="22"/>
        </w:rPr>
      </w:pPr>
      <w:r w:rsidRPr="0041039A">
        <w:rPr>
          <w:rFonts w:ascii="Arial" w:hAnsi="Arial"/>
          <w:sz w:val="22"/>
          <w:szCs w:val="22"/>
        </w:rPr>
        <w:t>Results should be interpreted in relation to other coronary risk factors as described in NICE clinical guideline 181, Cardiovascular disease: risk assessment and reduction, including lipid modification, (</w:t>
      </w:r>
      <w:hyperlink r:id="rId34" w:history="1">
        <w:r w:rsidRPr="0041039A">
          <w:rPr>
            <w:rFonts w:ascii="Arial" w:hAnsi="Arial"/>
            <w:color w:val="0000FF"/>
            <w:sz w:val="22"/>
            <w:szCs w:val="22"/>
            <w:u w:val="single"/>
          </w:rPr>
          <w:t>www.nice.org.uk/cg181</w:t>
        </w:r>
      </w:hyperlink>
      <w:r w:rsidRPr="0041039A">
        <w:rPr>
          <w:rFonts w:ascii="Arial" w:hAnsi="Arial"/>
          <w:sz w:val="22"/>
          <w:szCs w:val="22"/>
        </w:rPr>
        <w:t xml:space="preserve">) and NICE clinical guideline 71 Familial </w:t>
      </w:r>
      <w:r w:rsidR="002F2428" w:rsidRPr="0041039A">
        <w:rPr>
          <w:rFonts w:ascii="Arial" w:hAnsi="Arial"/>
          <w:sz w:val="22"/>
          <w:szCs w:val="22"/>
        </w:rPr>
        <w:t>hypercholesterolemia</w:t>
      </w:r>
      <w:r w:rsidRPr="0041039A">
        <w:rPr>
          <w:rFonts w:ascii="Arial" w:hAnsi="Arial"/>
          <w:sz w:val="22"/>
          <w:szCs w:val="22"/>
        </w:rPr>
        <w:t>: identification and management  (</w:t>
      </w:r>
      <w:hyperlink r:id="rId35" w:history="1">
        <w:r w:rsidRPr="0041039A">
          <w:rPr>
            <w:rFonts w:ascii="Arial" w:hAnsi="Arial"/>
            <w:color w:val="0000FF"/>
            <w:sz w:val="22"/>
            <w:szCs w:val="22"/>
            <w:u w:val="single"/>
          </w:rPr>
          <w:t>www.nice.org.uk/guidance/cg71</w:t>
        </w:r>
      </w:hyperlink>
      <w:r w:rsidRPr="0041039A">
        <w:rPr>
          <w:rFonts w:ascii="Arial" w:hAnsi="Arial"/>
          <w:sz w:val="22"/>
          <w:szCs w:val="22"/>
        </w:rPr>
        <w:t xml:space="preserve">). </w:t>
      </w:r>
    </w:p>
    <w:p w:rsidR="0041039A" w:rsidRPr="0041039A" w:rsidRDefault="0041039A" w:rsidP="006F664F">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jc w:val="both"/>
        <w:rPr>
          <w:rFonts w:ascii="Arial" w:hAnsi="Arial"/>
          <w:sz w:val="22"/>
          <w:szCs w:val="22"/>
        </w:rPr>
      </w:pPr>
    </w:p>
    <w:p w:rsidR="0041039A" w:rsidRPr="0041039A" w:rsidRDefault="0041039A" w:rsidP="006F664F">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ind w:left="360"/>
        <w:contextualSpacing/>
        <w:jc w:val="both"/>
        <w:outlineLvl w:val="4"/>
        <w:rPr>
          <w:rFonts w:ascii="Arial" w:hAnsi="Arial"/>
          <w:sz w:val="22"/>
          <w:szCs w:val="22"/>
        </w:rPr>
      </w:pPr>
      <w:r w:rsidRPr="0041039A">
        <w:rPr>
          <w:rFonts w:ascii="Arial" w:hAnsi="Arial"/>
          <w:sz w:val="22"/>
          <w:szCs w:val="22"/>
        </w:rPr>
        <w:t>LDL cholesterol measurement can be calculated using Friedwald’s equation providing the serum triglyceride concentration is less than 4.5 mmol/L.</w:t>
      </w:r>
    </w:p>
    <w:p w:rsidR="0041039A" w:rsidRPr="0041039A" w:rsidRDefault="0041039A" w:rsidP="006F664F">
      <w:pPr>
        <w:spacing w:line="360" w:lineRule="auto"/>
        <w:contextualSpacing/>
        <w:jc w:val="both"/>
        <w:rPr>
          <w:rFonts w:ascii="Arial" w:hAnsi="Arial"/>
          <w:sz w:val="22"/>
          <w:szCs w:val="22"/>
        </w:rPr>
      </w:pPr>
    </w:p>
    <w:p w:rsidR="0041039A" w:rsidRPr="0041039A" w:rsidRDefault="0041039A" w:rsidP="006F664F">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ind w:left="360"/>
        <w:contextualSpacing/>
        <w:jc w:val="both"/>
        <w:outlineLvl w:val="4"/>
        <w:rPr>
          <w:rFonts w:ascii="Arial" w:hAnsi="Arial"/>
          <w:sz w:val="22"/>
          <w:szCs w:val="22"/>
        </w:rPr>
      </w:pPr>
      <w:r w:rsidRPr="0041039A">
        <w:rPr>
          <w:rFonts w:ascii="Arial" w:hAnsi="Arial"/>
          <w:sz w:val="22"/>
          <w:szCs w:val="22"/>
        </w:rPr>
        <w:t>LDL Cholesterol = [Total Cholesterol – HDL cholesterol] - [0.46 x triglyceride] (all values are in mmol/L)</w:t>
      </w:r>
      <w:r w:rsidRPr="0041039A">
        <w:rPr>
          <w:rFonts w:ascii="Arial" w:hAnsi="Arial"/>
          <w:sz w:val="22"/>
          <w:szCs w:val="22"/>
        </w:rPr>
        <w:tab/>
      </w:r>
      <w:r w:rsidRPr="0041039A">
        <w:rPr>
          <w:rFonts w:ascii="Arial" w:hAnsi="Arial"/>
          <w:sz w:val="22"/>
          <w:szCs w:val="22"/>
        </w:rPr>
        <w:tab/>
      </w:r>
    </w:p>
    <w:p w:rsidR="0041039A" w:rsidRPr="0041039A" w:rsidRDefault="0041039A" w:rsidP="006F664F">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ind w:left="360"/>
        <w:contextualSpacing/>
        <w:jc w:val="both"/>
        <w:outlineLvl w:val="4"/>
        <w:rPr>
          <w:rFonts w:ascii="Arial" w:hAnsi="Arial"/>
          <w:sz w:val="22"/>
          <w:szCs w:val="22"/>
        </w:rPr>
      </w:pPr>
      <w:r w:rsidRPr="0041039A">
        <w:rPr>
          <w:rFonts w:ascii="Arial" w:hAnsi="Arial"/>
          <w:sz w:val="22"/>
          <w:szCs w:val="22"/>
        </w:rPr>
        <w:t>Notes:</w:t>
      </w:r>
    </w:p>
    <w:p w:rsidR="0041039A" w:rsidRPr="0041039A" w:rsidRDefault="0041039A" w:rsidP="006F664F">
      <w:pPr>
        <w:keepNext/>
        <w:widowControl/>
        <w:numPr>
          <w:ilvl w:val="0"/>
          <w:numId w:val="3"/>
        </w:numPr>
        <w:tabs>
          <w:tab w:val="clear" w:pos="645"/>
          <w:tab w:val="left" w:pos="-1512"/>
          <w:tab w:val="left" w:pos="-1080"/>
          <w:tab w:val="left" w:pos="-792"/>
          <w:tab w:val="left" w:pos="-72"/>
          <w:tab w:val="num" w:pos="1005"/>
          <w:tab w:val="left" w:pos="1368"/>
          <w:tab w:val="left" w:pos="2088"/>
          <w:tab w:val="left" w:pos="2808"/>
          <w:tab w:val="left" w:pos="3528"/>
          <w:tab w:val="left" w:pos="4248"/>
          <w:tab w:val="left" w:pos="4968"/>
          <w:tab w:val="left" w:pos="5688"/>
          <w:tab w:val="left" w:pos="6408"/>
          <w:tab w:val="left" w:pos="7128"/>
          <w:tab w:val="left" w:pos="7848"/>
        </w:tabs>
        <w:spacing w:line="360" w:lineRule="auto"/>
        <w:ind w:left="1003" w:hanging="646"/>
        <w:contextualSpacing/>
        <w:jc w:val="both"/>
        <w:outlineLvl w:val="4"/>
        <w:rPr>
          <w:rFonts w:ascii="Arial" w:hAnsi="Arial"/>
          <w:sz w:val="22"/>
          <w:szCs w:val="22"/>
        </w:rPr>
      </w:pPr>
      <w:r w:rsidRPr="0041039A">
        <w:rPr>
          <w:rFonts w:ascii="Arial" w:hAnsi="Arial"/>
          <w:sz w:val="22"/>
          <w:szCs w:val="22"/>
        </w:rPr>
        <w:t xml:space="preserve">Serum triglycerides are subject to major increases following meals and may also be released (as VLDL) after prolonged fasting: a 12-14 h fast for meaningful triglyceride measurements may be required, in order confirm an elevated non-fasting result.  </w:t>
      </w:r>
    </w:p>
    <w:p w:rsidR="0041039A" w:rsidRPr="0041039A" w:rsidRDefault="0041039A" w:rsidP="006F664F">
      <w:pPr>
        <w:keepNext/>
        <w:widowControl/>
        <w:numPr>
          <w:ilvl w:val="0"/>
          <w:numId w:val="3"/>
        </w:numPr>
        <w:tabs>
          <w:tab w:val="clear" w:pos="645"/>
          <w:tab w:val="left" w:pos="-1512"/>
          <w:tab w:val="left" w:pos="-1080"/>
          <w:tab w:val="left" w:pos="-792"/>
          <w:tab w:val="left" w:pos="-72"/>
          <w:tab w:val="num" w:pos="1005"/>
          <w:tab w:val="left" w:pos="1368"/>
          <w:tab w:val="left" w:pos="2088"/>
          <w:tab w:val="left" w:pos="2808"/>
          <w:tab w:val="left" w:pos="3528"/>
          <w:tab w:val="left" w:pos="4248"/>
          <w:tab w:val="left" w:pos="4968"/>
          <w:tab w:val="left" w:pos="5688"/>
          <w:tab w:val="left" w:pos="6408"/>
          <w:tab w:val="left" w:pos="7128"/>
          <w:tab w:val="left" w:pos="7848"/>
        </w:tabs>
        <w:spacing w:line="360" w:lineRule="auto"/>
        <w:ind w:left="1003" w:hanging="646"/>
        <w:contextualSpacing/>
        <w:jc w:val="both"/>
        <w:outlineLvl w:val="4"/>
        <w:rPr>
          <w:rFonts w:ascii="Arial" w:hAnsi="Arial"/>
          <w:sz w:val="22"/>
          <w:szCs w:val="22"/>
        </w:rPr>
      </w:pPr>
      <w:r w:rsidRPr="0041039A">
        <w:rPr>
          <w:rFonts w:ascii="Arial" w:hAnsi="Arial"/>
          <w:sz w:val="22"/>
          <w:szCs w:val="22"/>
        </w:rPr>
        <w:t>Serum cholesterol concentrations can exhibit a seasonal variation and there may be marked day-to-day variations in certain individuals.</w:t>
      </w:r>
    </w:p>
    <w:p w:rsidR="0041039A" w:rsidRPr="00E61534" w:rsidRDefault="0041039A" w:rsidP="006F664F">
      <w:pPr>
        <w:keepNext/>
        <w:widowControl/>
        <w:numPr>
          <w:ilvl w:val="0"/>
          <w:numId w:val="3"/>
        </w:numPr>
        <w:tabs>
          <w:tab w:val="clear" w:pos="645"/>
          <w:tab w:val="left" w:pos="-1512"/>
          <w:tab w:val="left" w:pos="-1080"/>
          <w:tab w:val="left" w:pos="-792"/>
          <w:tab w:val="left" w:pos="-72"/>
          <w:tab w:val="num" w:pos="1005"/>
          <w:tab w:val="left" w:pos="1368"/>
          <w:tab w:val="left" w:pos="2088"/>
          <w:tab w:val="left" w:pos="2808"/>
          <w:tab w:val="left" w:pos="3528"/>
          <w:tab w:val="left" w:pos="4248"/>
          <w:tab w:val="left" w:pos="4968"/>
          <w:tab w:val="left" w:pos="5688"/>
          <w:tab w:val="left" w:pos="6408"/>
          <w:tab w:val="left" w:pos="7128"/>
          <w:tab w:val="left" w:pos="7848"/>
        </w:tabs>
        <w:spacing w:line="360" w:lineRule="auto"/>
        <w:ind w:left="1003" w:hanging="646"/>
        <w:contextualSpacing/>
        <w:jc w:val="both"/>
        <w:outlineLvl w:val="4"/>
        <w:rPr>
          <w:rFonts w:ascii="Arial" w:hAnsi="Arial"/>
          <w:b/>
          <w:caps/>
          <w:sz w:val="22"/>
          <w:szCs w:val="22"/>
        </w:rPr>
      </w:pPr>
      <w:r w:rsidRPr="0041039A">
        <w:rPr>
          <w:rFonts w:ascii="Arial" w:hAnsi="Arial"/>
          <w:sz w:val="22"/>
          <w:szCs w:val="22"/>
        </w:rPr>
        <w:t>Samples for cholesterol measurement during admission for myocardial infarction should be collected within 24 h – if this is not done, assessment of cholesterol status must be postponed to 3 months post-infarction as interim values can be grossly misleading.</w:t>
      </w:r>
    </w:p>
    <w:p w:rsidR="00E61534" w:rsidRPr="0041039A" w:rsidRDefault="00E61534" w:rsidP="00E61534">
      <w:pPr>
        <w:keepNext/>
        <w:widowControl/>
        <w:tabs>
          <w:tab w:val="left" w:pos="-1512"/>
          <w:tab w:val="left" w:pos="-1080"/>
          <w:tab w:val="left" w:pos="-792"/>
          <w:tab w:val="left" w:pos="-72"/>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outlineLvl w:val="4"/>
        <w:rPr>
          <w:rFonts w:ascii="Arial" w:hAnsi="Arial"/>
          <w:b/>
          <w:caps/>
          <w:sz w:val="22"/>
          <w:szCs w:val="22"/>
        </w:rPr>
      </w:pPr>
    </w:p>
    <w:p w:rsidR="0041039A" w:rsidRPr="0041039A" w:rsidRDefault="0041039A" w:rsidP="0041039A">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both"/>
        <w:outlineLvl w:val="4"/>
        <w:rPr>
          <w:sz w:val="22"/>
          <w:szCs w:val="22"/>
        </w:rPr>
      </w:pPr>
    </w:p>
    <w:p w:rsidR="0041039A" w:rsidRPr="0041039A" w:rsidRDefault="0041039A" w:rsidP="006F664F">
      <w:pPr>
        <w:keepNext/>
        <w:widowControl/>
        <w:numPr>
          <w:ilvl w:val="0"/>
          <w:numId w:val="32"/>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jc w:val="both"/>
        <w:outlineLvl w:val="4"/>
        <w:rPr>
          <w:rFonts w:ascii="Arial" w:hAnsi="Arial"/>
          <w:b/>
          <w:sz w:val="22"/>
          <w:szCs w:val="22"/>
        </w:rPr>
      </w:pPr>
      <w:r w:rsidRPr="0041039A">
        <w:rPr>
          <w:rFonts w:ascii="Arial" w:hAnsi="Arial"/>
          <w:b/>
          <w:sz w:val="22"/>
          <w:szCs w:val="22"/>
        </w:rPr>
        <w:t>Porphyria</w:t>
      </w:r>
    </w:p>
    <w:p w:rsidR="0041039A" w:rsidRPr="0041039A" w:rsidRDefault="0041039A" w:rsidP="006F664F">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contextualSpacing/>
        <w:jc w:val="both"/>
        <w:rPr>
          <w:rFonts w:ascii="Arial" w:hAnsi="Arial"/>
          <w:sz w:val="22"/>
          <w:szCs w:val="22"/>
        </w:rPr>
      </w:pPr>
      <w:r w:rsidRPr="0041039A">
        <w:rPr>
          <w:rFonts w:ascii="Arial" w:hAnsi="Arial"/>
          <w:sz w:val="22"/>
          <w:szCs w:val="22"/>
        </w:rPr>
        <w:t xml:space="preserve">In patients suspected of having an acute neurological porphyria (e.g. abdominal pain, neurological or psychiatric symptoms) the most appropriate first line investigation is a random urine porphobilinogen (PBG). The sample should be collected during or shortly after (within days) of the attack and must be protected from the light after collection and taken promptly to the laboratory. If this test is negative then no further investigations are normally undertaken. Blood porphyrin measurements are not informative in this situation. </w:t>
      </w:r>
    </w:p>
    <w:p w:rsidR="0041039A" w:rsidRPr="0041039A" w:rsidRDefault="0041039A" w:rsidP="006F664F">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contextualSpacing/>
        <w:jc w:val="both"/>
        <w:rPr>
          <w:rFonts w:ascii="Arial" w:hAnsi="Arial"/>
          <w:sz w:val="22"/>
          <w:szCs w:val="22"/>
        </w:rPr>
      </w:pPr>
      <w:r w:rsidRPr="0041039A">
        <w:rPr>
          <w:rFonts w:ascii="Arial" w:hAnsi="Arial"/>
          <w:sz w:val="22"/>
          <w:szCs w:val="22"/>
        </w:rPr>
        <w:t xml:space="preserve">The investigation of patients with suspected dermatological </w:t>
      </w:r>
      <w:r w:rsidR="002F2428" w:rsidRPr="0041039A">
        <w:rPr>
          <w:rFonts w:ascii="Arial" w:hAnsi="Arial"/>
          <w:sz w:val="22"/>
          <w:szCs w:val="22"/>
        </w:rPr>
        <w:t>porphyria’s</w:t>
      </w:r>
      <w:r w:rsidRPr="0041039A">
        <w:rPr>
          <w:rFonts w:ascii="Arial" w:hAnsi="Arial"/>
          <w:sz w:val="22"/>
          <w:szCs w:val="22"/>
        </w:rPr>
        <w:t xml:space="preserve"> (e.g. photosensitivity or skin lesions) is more complex - please contact the duty biochemist for advice.</w:t>
      </w:r>
    </w:p>
    <w:p w:rsidR="0041039A" w:rsidRPr="0041039A" w:rsidRDefault="0041039A"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jc w:val="both"/>
        <w:rPr>
          <w:rFonts w:ascii="Arial" w:hAnsi="Arial"/>
          <w:sz w:val="22"/>
          <w:szCs w:val="22"/>
        </w:rPr>
      </w:pPr>
    </w:p>
    <w:p w:rsidR="0041039A" w:rsidRPr="0041039A" w:rsidRDefault="0041039A" w:rsidP="00D8441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contextualSpacing/>
        <w:jc w:val="both"/>
        <w:rPr>
          <w:rFonts w:ascii="Arial" w:hAnsi="Arial"/>
          <w:sz w:val="22"/>
          <w:szCs w:val="22"/>
        </w:rPr>
      </w:pPr>
      <w:r w:rsidRPr="0041039A">
        <w:rPr>
          <w:rFonts w:ascii="Arial" w:hAnsi="Arial"/>
          <w:sz w:val="22"/>
          <w:szCs w:val="22"/>
        </w:rPr>
        <w:t>Please provide full clinical details when sending samples for porphyrin analysis (e.g. time of acute attack, nature of skin lesions).</w:t>
      </w:r>
    </w:p>
    <w:p w:rsidR="0041039A" w:rsidRPr="0041039A" w:rsidRDefault="0041039A"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jc w:val="both"/>
        <w:rPr>
          <w:rFonts w:ascii="Arial" w:hAnsi="Arial"/>
          <w:b/>
          <w:sz w:val="22"/>
          <w:szCs w:val="22"/>
        </w:rPr>
      </w:pPr>
    </w:p>
    <w:p w:rsidR="0041039A" w:rsidRPr="0041039A" w:rsidRDefault="0041039A" w:rsidP="006F664F">
      <w:pPr>
        <w:keepNext/>
        <w:widowControl/>
        <w:numPr>
          <w:ilvl w:val="0"/>
          <w:numId w:val="32"/>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jc w:val="both"/>
        <w:outlineLvl w:val="4"/>
        <w:rPr>
          <w:rFonts w:ascii="Arial" w:hAnsi="Arial" w:cs="Arial"/>
          <w:b/>
          <w:sz w:val="22"/>
          <w:szCs w:val="22"/>
        </w:rPr>
      </w:pPr>
      <w:r w:rsidRPr="0041039A">
        <w:rPr>
          <w:rFonts w:ascii="Arial" w:hAnsi="Arial" w:cs="Arial"/>
          <w:b/>
          <w:sz w:val="22"/>
          <w:szCs w:val="22"/>
        </w:rPr>
        <w:t>Urinary stone risk assessment</w:t>
      </w:r>
    </w:p>
    <w:p w:rsidR="0041039A" w:rsidRPr="0041039A" w:rsidRDefault="0041039A" w:rsidP="00B66AC9">
      <w:pPr>
        <w:spacing w:line="360" w:lineRule="auto"/>
        <w:ind w:left="357"/>
        <w:contextualSpacing/>
        <w:jc w:val="both"/>
        <w:rPr>
          <w:rFonts w:ascii="Arial" w:hAnsi="Arial"/>
          <w:sz w:val="22"/>
          <w:szCs w:val="22"/>
        </w:rPr>
      </w:pPr>
      <w:r w:rsidRPr="0041039A">
        <w:rPr>
          <w:rFonts w:ascii="Arial" w:hAnsi="Arial"/>
          <w:sz w:val="22"/>
          <w:szCs w:val="22"/>
        </w:rPr>
        <w:t xml:space="preserve">The following investigations should be undertaken in renal stone formers. </w:t>
      </w:r>
    </w:p>
    <w:p w:rsidR="0041039A" w:rsidRPr="0041039A" w:rsidRDefault="0041039A" w:rsidP="006F664F">
      <w:pPr>
        <w:spacing w:line="360" w:lineRule="auto"/>
        <w:ind w:left="357"/>
        <w:contextualSpacing/>
        <w:jc w:val="both"/>
        <w:rPr>
          <w:rFonts w:ascii="Arial" w:hAnsi="Arial"/>
          <w:sz w:val="22"/>
          <w:szCs w:val="22"/>
        </w:rPr>
      </w:pPr>
      <w:r w:rsidRPr="0041039A">
        <w:rPr>
          <w:rFonts w:ascii="Arial" w:hAnsi="Arial"/>
          <w:sz w:val="22"/>
          <w:szCs w:val="22"/>
        </w:rPr>
        <w:t xml:space="preserve">Serum sodium, potassium, chloride, bicarbonate, urea, creatinine, calcium, phosphate, albumin, ALP, urate and urinary (24 h) calcium, magnesium, oxalate, citrate, urate, creatinine, </w:t>
      </w:r>
      <w:r w:rsidR="00F2772D" w:rsidRPr="0041039A">
        <w:rPr>
          <w:rFonts w:ascii="Arial" w:hAnsi="Arial"/>
          <w:sz w:val="22"/>
          <w:szCs w:val="22"/>
        </w:rPr>
        <w:t>cysteine</w:t>
      </w:r>
      <w:r w:rsidRPr="0041039A">
        <w:rPr>
          <w:rFonts w:ascii="Arial" w:hAnsi="Arial"/>
          <w:sz w:val="22"/>
          <w:szCs w:val="22"/>
        </w:rPr>
        <w:t xml:space="preserve"> (screening test), sodium, pH and volume</w:t>
      </w:r>
    </w:p>
    <w:p w:rsidR="0041039A" w:rsidRPr="0041039A" w:rsidRDefault="0041039A" w:rsidP="006F664F">
      <w:pPr>
        <w:spacing w:line="360" w:lineRule="auto"/>
        <w:ind w:left="357"/>
        <w:contextualSpacing/>
        <w:jc w:val="both"/>
        <w:rPr>
          <w:rFonts w:ascii="Arial" w:hAnsi="Arial"/>
          <w:sz w:val="22"/>
          <w:szCs w:val="22"/>
        </w:rPr>
      </w:pPr>
    </w:p>
    <w:p w:rsidR="0041039A" w:rsidRDefault="0041039A" w:rsidP="006F664F">
      <w:pPr>
        <w:spacing w:line="360" w:lineRule="auto"/>
        <w:ind w:left="357"/>
        <w:contextualSpacing/>
        <w:jc w:val="both"/>
        <w:rPr>
          <w:rFonts w:ascii="Arial" w:hAnsi="Arial"/>
          <w:sz w:val="22"/>
          <w:szCs w:val="22"/>
        </w:rPr>
      </w:pPr>
      <w:r w:rsidRPr="0041039A">
        <w:rPr>
          <w:rFonts w:ascii="Arial" w:hAnsi="Arial"/>
          <w:sz w:val="22"/>
          <w:szCs w:val="22"/>
        </w:rPr>
        <w:t xml:space="preserve">Patients should be on their normal diet and at least two weeks should have elapsed since any episode of renal colic. </w:t>
      </w:r>
    </w:p>
    <w:p w:rsidR="00B66AC9" w:rsidRPr="0041039A" w:rsidRDefault="00B66AC9" w:rsidP="006F664F">
      <w:pPr>
        <w:spacing w:line="360" w:lineRule="auto"/>
        <w:ind w:left="357"/>
        <w:contextualSpacing/>
        <w:jc w:val="both"/>
        <w:rPr>
          <w:rFonts w:ascii="Arial" w:hAnsi="Arial"/>
          <w:sz w:val="22"/>
          <w:szCs w:val="22"/>
        </w:rPr>
      </w:pPr>
    </w:p>
    <w:p w:rsidR="0041039A" w:rsidRPr="0041039A" w:rsidRDefault="0041039A" w:rsidP="0041039A">
      <w:pPr>
        <w:keepNext/>
        <w:jc w:val="both"/>
        <w:outlineLvl w:val="7"/>
        <w:rPr>
          <w:rFonts w:ascii="Arial" w:hAnsi="Arial"/>
          <w:b/>
          <w:smallCaps/>
          <w:szCs w:val="24"/>
        </w:rPr>
      </w:pPr>
      <w:r w:rsidRPr="0041039A">
        <w:rPr>
          <w:rFonts w:ascii="Arial" w:hAnsi="Arial"/>
          <w:b/>
          <w:smallCaps/>
          <w:szCs w:val="24"/>
        </w:rPr>
        <w:t>PAEDIATRIC BIOCHEMISTRY</w:t>
      </w:r>
    </w:p>
    <w:p w:rsidR="0041039A" w:rsidRPr="0041039A" w:rsidRDefault="0041039A" w:rsidP="0041039A">
      <w:pPr>
        <w:rPr>
          <w:rFonts w:ascii="Arial" w:hAnsi="Arial"/>
          <w:sz w:val="22"/>
          <w:szCs w:val="22"/>
        </w:rPr>
      </w:pPr>
    </w:p>
    <w:p w:rsidR="0041039A" w:rsidRPr="0041039A" w:rsidRDefault="0041039A" w:rsidP="00F2772D">
      <w:pPr>
        <w:spacing w:line="360" w:lineRule="auto"/>
        <w:contextualSpacing/>
        <w:jc w:val="both"/>
        <w:rPr>
          <w:rFonts w:ascii="Arial" w:hAnsi="Arial"/>
          <w:sz w:val="22"/>
          <w:szCs w:val="22"/>
        </w:rPr>
      </w:pPr>
      <w:r w:rsidRPr="0041039A">
        <w:rPr>
          <w:rFonts w:ascii="Arial" w:hAnsi="Arial"/>
          <w:sz w:val="22"/>
          <w:szCs w:val="22"/>
        </w:rPr>
        <w:t xml:space="preserve">The provision of a biochemistry service to infants and children obviously has special demands.  Most individual tests can be carried out with 0.5-1.0 mL blood depending on the patients PCV. </w:t>
      </w:r>
      <w:r w:rsidRPr="0041039A">
        <w:rPr>
          <w:rFonts w:ascii="Arial" w:hAnsi="Arial"/>
          <w:i/>
          <w:sz w:val="22"/>
          <w:szCs w:val="22"/>
        </w:rPr>
        <w:t xml:space="preserve">If multiple tests are required, please contact the laboratory for advice prior to sending </w:t>
      </w:r>
      <w:r w:rsidRPr="0041039A">
        <w:rPr>
          <w:rFonts w:ascii="Arial" w:hAnsi="Arial"/>
          <w:b/>
          <w:i/>
          <w:sz w:val="22"/>
          <w:szCs w:val="22"/>
        </w:rPr>
        <w:t>and</w:t>
      </w:r>
      <w:r w:rsidRPr="0041039A">
        <w:rPr>
          <w:rFonts w:ascii="Arial" w:hAnsi="Arial"/>
          <w:i/>
          <w:sz w:val="22"/>
          <w:szCs w:val="22"/>
        </w:rPr>
        <w:t xml:space="preserve"> indicate test priority on the request form so that the most essential tests are carried out first.</w:t>
      </w:r>
    </w:p>
    <w:p w:rsidR="0041039A" w:rsidRPr="0041039A" w:rsidRDefault="0041039A" w:rsidP="00F2772D">
      <w:pPr>
        <w:spacing w:line="360" w:lineRule="auto"/>
        <w:contextualSpacing/>
        <w:jc w:val="both"/>
        <w:rPr>
          <w:rFonts w:ascii="Arial" w:hAnsi="Arial"/>
          <w:sz w:val="22"/>
          <w:szCs w:val="22"/>
        </w:rPr>
      </w:pPr>
    </w:p>
    <w:p w:rsidR="0041039A" w:rsidRPr="0041039A" w:rsidRDefault="0041039A" w:rsidP="00F2772D">
      <w:pPr>
        <w:spacing w:line="360" w:lineRule="auto"/>
        <w:contextualSpacing/>
        <w:jc w:val="both"/>
        <w:rPr>
          <w:rFonts w:ascii="Arial" w:hAnsi="Arial"/>
          <w:sz w:val="22"/>
          <w:szCs w:val="22"/>
        </w:rPr>
      </w:pPr>
      <w:r w:rsidRPr="0041039A">
        <w:rPr>
          <w:rFonts w:ascii="Arial" w:hAnsi="Arial"/>
          <w:sz w:val="22"/>
          <w:szCs w:val="22"/>
        </w:rPr>
        <w:t>It should be remembered that adult reference ranges are often not applicable in the paediatric setting.  In some cases, our laboratory reports will carry paediatric reference ranges, but please discuss the interpretation of individual results with us.</w:t>
      </w:r>
    </w:p>
    <w:p w:rsidR="0041039A" w:rsidRPr="0041039A" w:rsidRDefault="0041039A" w:rsidP="0041039A">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both"/>
        <w:outlineLvl w:val="4"/>
        <w:rPr>
          <w:rFonts w:ascii="Arial" w:hAnsi="Arial"/>
          <w:b/>
          <w:sz w:val="22"/>
          <w:szCs w:val="22"/>
        </w:rPr>
      </w:pPr>
    </w:p>
    <w:p w:rsidR="0041039A" w:rsidRPr="0041039A" w:rsidRDefault="0041039A" w:rsidP="00B66AC9">
      <w:pPr>
        <w:keepNext/>
        <w:widowControl/>
        <w:tabs>
          <w:tab w:val="left" w:pos="-1512"/>
          <w:tab w:val="left" w:pos="-1080"/>
          <w:tab w:val="left" w:pos="-792"/>
          <w:tab w:val="left" w:pos="-72"/>
          <w:tab w:val="left" w:pos="360"/>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outlineLvl w:val="4"/>
        <w:rPr>
          <w:rFonts w:ascii="Arial Bold" w:hAnsi="Arial Bold"/>
          <w:b/>
          <w:caps/>
          <w:sz w:val="22"/>
          <w:szCs w:val="22"/>
        </w:rPr>
      </w:pPr>
      <w:r w:rsidRPr="0041039A">
        <w:rPr>
          <w:rFonts w:ascii="Arial Bold" w:hAnsi="Arial Bold"/>
          <w:b/>
          <w:caps/>
          <w:sz w:val="22"/>
          <w:szCs w:val="22"/>
        </w:rPr>
        <w:t>diagnosis of inborn errors of metabolism</w:t>
      </w:r>
    </w:p>
    <w:p w:rsidR="0041039A" w:rsidRPr="0041039A" w:rsidRDefault="0041039A" w:rsidP="00B66AC9">
      <w:pPr>
        <w:spacing w:line="360" w:lineRule="auto"/>
        <w:contextualSpacing/>
        <w:jc w:val="both"/>
        <w:rPr>
          <w:rFonts w:ascii="Arial" w:hAnsi="Arial"/>
          <w:sz w:val="22"/>
          <w:szCs w:val="22"/>
        </w:rPr>
      </w:pPr>
      <w:r w:rsidRPr="0041039A">
        <w:rPr>
          <w:rFonts w:ascii="Arial" w:hAnsi="Arial"/>
          <w:sz w:val="22"/>
          <w:szCs w:val="22"/>
        </w:rPr>
        <w:t>The investigation of unexpected inborn errors of metabolism is complex.  The laboratory is always happy to discuss cases with you.  Many of the more specialist investigations are provided by regional laboratories.  It is advisable to discuss specimen requirements with the laboratory staff prior to obtaining samples.  The following guidance has been adapted from the Association of Clinical Pathologists (Broadsheet 120, January 1989).</w:t>
      </w:r>
    </w:p>
    <w:p w:rsidR="0041039A" w:rsidRDefault="0041039A" w:rsidP="00F2772D">
      <w:pPr>
        <w:spacing w:line="360" w:lineRule="auto"/>
        <w:contextualSpacing/>
        <w:jc w:val="both"/>
        <w:rPr>
          <w:rFonts w:ascii="Arial" w:hAnsi="Arial"/>
          <w:sz w:val="22"/>
          <w:szCs w:val="22"/>
        </w:rPr>
      </w:pPr>
    </w:p>
    <w:p w:rsidR="00E61534" w:rsidRDefault="00E61534" w:rsidP="00F2772D">
      <w:pPr>
        <w:spacing w:line="360" w:lineRule="auto"/>
        <w:contextualSpacing/>
        <w:jc w:val="both"/>
        <w:rPr>
          <w:rFonts w:ascii="Arial" w:hAnsi="Arial"/>
          <w:sz w:val="22"/>
          <w:szCs w:val="22"/>
        </w:rPr>
      </w:pPr>
    </w:p>
    <w:p w:rsidR="00E61534" w:rsidRPr="0041039A" w:rsidRDefault="00E61534" w:rsidP="00F2772D">
      <w:pPr>
        <w:spacing w:line="360" w:lineRule="auto"/>
        <w:contextualSpacing/>
        <w:jc w:val="both"/>
        <w:rPr>
          <w:rFonts w:ascii="Arial" w:hAnsi="Arial"/>
          <w:sz w:val="22"/>
          <w:szCs w:val="22"/>
        </w:rPr>
      </w:pPr>
    </w:p>
    <w:p w:rsidR="0041039A" w:rsidRPr="0041039A" w:rsidRDefault="0041039A" w:rsidP="0041039A">
      <w:pPr>
        <w:numPr>
          <w:ilvl w:val="0"/>
          <w:numId w:val="4"/>
        </w:numPr>
        <w:rPr>
          <w:rFonts w:ascii="Arial" w:hAnsi="Arial"/>
          <w:b/>
          <w:sz w:val="22"/>
          <w:szCs w:val="22"/>
        </w:rPr>
      </w:pPr>
      <w:r w:rsidRPr="0041039A">
        <w:rPr>
          <w:rFonts w:ascii="Arial" w:hAnsi="Arial"/>
          <w:b/>
          <w:sz w:val="22"/>
          <w:szCs w:val="22"/>
        </w:rPr>
        <w:t>Non-acute presentation</w:t>
      </w:r>
    </w:p>
    <w:p w:rsidR="0041039A" w:rsidRPr="0041039A" w:rsidRDefault="0041039A" w:rsidP="0041039A">
      <w:pPr>
        <w:rPr>
          <w:rFonts w:ascii="Arial" w:hAnsi="Arial"/>
          <w:sz w:val="22"/>
          <w:szCs w:val="22"/>
        </w:rPr>
      </w:pPr>
    </w:p>
    <w:p w:rsidR="0041039A" w:rsidRPr="0041039A" w:rsidRDefault="0041039A" w:rsidP="00F2772D">
      <w:pPr>
        <w:spacing w:line="360" w:lineRule="auto"/>
        <w:contextualSpacing/>
        <w:jc w:val="both"/>
        <w:rPr>
          <w:rFonts w:ascii="Arial" w:hAnsi="Arial"/>
          <w:sz w:val="22"/>
          <w:szCs w:val="22"/>
        </w:rPr>
      </w:pPr>
      <w:r w:rsidRPr="0041039A">
        <w:rPr>
          <w:rFonts w:ascii="Arial" w:hAnsi="Arial"/>
          <w:sz w:val="22"/>
          <w:szCs w:val="22"/>
        </w:rPr>
        <w:t>The initial biochemical investigations which should be considered will depend upon the clinical presentation and the family history. The principal presentations are:-</w:t>
      </w:r>
    </w:p>
    <w:p w:rsidR="0041039A" w:rsidRPr="0041039A" w:rsidRDefault="0041039A" w:rsidP="00F2772D">
      <w:pPr>
        <w:spacing w:line="360" w:lineRule="auto"/>
        <w:contextualSpacing/>
        <w:jc w:val="both"/>
        <w:rPr>
          <w:rFonts w:ascii="Arial" w:hAnsi="Arial"/>
          <w:sz w:val="22"/>
          <w:szCs w:val="22"/>
        </w:rPr>
      </w:pPr>
    </w:p>
    <w:p w:rsidR="0041039A" w:rsidRPr="0041039A" w:rsidRDefault="0041039A" w:rsidP="00F2772D">
      <w:pPr>
        <w:spacing w:line="360" w:lineRule="auto"/>
        <w:contextualSpacing/>
        <w:jc w:val="both"/>
        <w:rPr>
          <w:rFonts w:ascii="Arial" w:hAnsi="Arial"/>
          <w:b/>
          <w:i/>
          <w:sz w:val="22"/>
          <w:szCs w:val="22"/>
        </w:rPr>
      </w:pPr>
      <w:r w:rsidRPr="0041039A">
        <w:rPr>
          <w:rFonts w:ascii="Arial" w:hAnsi="Arial"/>
          <w:b/>
          <w:i/>
          <w:sz w:val="22"/>
          <w:szCs w:val="22"/>
        </w:rPr>
        <w:t>Unexpected failure to thrive</w:t>
      </w:r>
    </w:p>
    <w:p w:rsidR="0041039A" w:rsidRPr="0041039A" w:rsidRDefault="0041039A" w:rsidP="00F2772D">
      <w:pPr>
        <w:spacing w:line="360" w:lineRule="auto"/>
        <w:contextualSpacing/>
        <w:jc w:val="both"/>
        <w:rPr>
          <w:rFonts w:ascii="Arial" w:hAnsi="Arial"/>
          <w:sz w:val="22"/>
          <w:szCs w:val="22"/>
        </w:rPr>
      </w:pPr>
      <w:r w:rsidRPr="0041039A">
        <w:rPr>
          <w:rFonts w:ascii="Arial" w:hAnsi="Arial"/>
          <w:sz w:val="22"/>
          <w:szCs w:val="22"/>
        </w:rPr>
        <w:t>Investigations which should be considered will be influenced by family history and presence of any suggestive clinical or metabolic abnormalities.  Plasma amino acids, plasma ammonia and urine organic acids may be helpful.</w:t>
      </w:r>
    </w:p>
    <w:p w:rsidR="0041039A" w:rsidRPr="0041039A" w:rsidRDefault="0041039A" w:rsidP="00F2772D">
      <w:pPr>
        <w:spacing w:line="360" w:lineRule="auto"/>
        <w:contextualSpacing/>
        <w:jc w:val="both"/>
        <w:rPr>
          <w:rFonts w:ascii="Arial" w:hAnsi="Arial"/>
          <w:b/>
          <w:i/>
          <w:sz w:val="22"/>
          <w:szCs w:val="22"/>
        </w:rPr>
      </w:pPr>
      <w:r w:rsidRPr="0041039A">
        <w:rPr>
          <w:rFonts w:ascii="Arial" w:hAnsi="Arial"/>
          <w:b/>
          <w:i/>
          <w:sz w:val="22"/>
          <w:szCs w:val="22"/>
        </w:rPr>
        <w:t>Liver disease</w:t>
      </w:r>
    </w:p>
    <w:p w:rsidR="0041039A" w:rsidRPr="0041039A" w:rsidRDefault="0041039A" w:rsidP="00F2772D">
      <w:pPr>
        <w:spacing w:line="360" w:lineRule="auto"/>
        <w:contextualSpacing/>
        <w:jc w:val="both"/>
        <w:rPr>
          <w:rFonts w:ascii="Arial" w:hAnsi="Arial"/>
          <w:sz w:val="22"/>
          <w:szCs w:val="22"/>
        </w:rPr>
      </w:pPr>
      <w:r w:rsidRPr="0041039A">
        <w:rPr>
          <w:rFonts w:ascii="Arial" w:hAnsi="Arial"/>
          <w:sz w:val="22"/>
          <w:szCs w:val="22"/>
        </w:rPr>
        <w:t>Investigations for consideration include:</w:t>
      </w:r>
    </w:p>
    <w:p w:rsidR="0041039A" w:rsidRPr="0041039A" w:rsidRDefault="0041039A" w:rsidP="00F2772D">
      <w:pPr>
        <w:spacing w:line="360" w:lineRule="auto"/>
        <w:ind w:left="1440" w:hanging="1440"/>
        <w:contextualSpacing/>
        <w:jc w:val="both"/>
        <w:rPr>
          <w:rFonts w:ascii="Arial" w:hAnsi="Arial"/>
          <w:sz w:val="22"/>
          <w:szCs w:val="22"/>
        </w:rPr>
      </w:pPr>
      <w:r w:rsidRPr="0041039A">
        <w:rPr>
          <w:rFonts w:ascii="Arial" w:hAnsi="Arial"/>
          <w:sz w:val="22"/>
          <w:szCs w:val="22"/>
        </w:rPr>
        <w:t>Plasma:</w:t>
      </w:r>
      <w:r w:rsidRPr="0041039A">
        <w:rPr>
          <w:rFonts w:ascii="Arial" w:hAnsi="Arial"/>
          <w:sz w:val="22"/>
          <w:szCs w:val="22"/>
        </w:rPr>
        <w:tab/>
        <w:t>Fasting glucose, amino acids, lactate</w:t>
      </w:r>
    </w:p>
    <w:p w:rsidR="0041039A" w:rsidRPr="0041039A" w:rsidRDefault="0041039A" w:rsidP="00F2772D">
      <w:pPr>
        <w:spacing w:line="360" w:lineRule="auto"/>
        <w:ind w:left="1440" w:hanging="1440"/>
        <w:contextualSpacing/>
        <w:jc w:val="both"/>
        <w:rPr>
          <w:rFonts w:ascii="Arial" w:hAnsi="Arial"/>
          <w:sz w:val="22"/>
          <w:szCs w:val="22"/>
        </w:rPr>
      </w:pPr>
      <w:r w:rsidRPr="0041039A">
        <w:rPr>
          <w:rFonts w:ascii="Arial" w:hAnsi="Arial"/>
          <w:sz w:val="22"/>
          <w:szCs w:val="22"/>
        </w:rPr>
        <w:t>Serum:</w:t>
      </w:r>
      <w:r w:rsidRPr="0041039A">
        <w:rPr>
          <w:rFonts w:ascii="Arial" w:hAnsi="Arial"/>
          <w:sz w:val="22"/>
          <w:szCs w:val="22"/>
        </w:rPr>
        <w:tab/>
      </w:r>
      <w:r w:rsidRPr="0041039A">
        <w:rPr>
          <w:rFonts w:ascii="Arial" w:hAnsi="Arial"/>
          <w:sz w:val="22"/>
          <w:szCs w:val="22"/>
        </w:rPr>
        <w:tab/>
        <w:t>Alpha</w:t>
      </w:r>
      <w:r w:rsidRPr="0041039A">
        <w:rPr>
          <w:rFonts w:ascii="Arial" w:hAnsi="Arial"/>
          <w:sz w:val="22"/>
          <w:szCs w:val="22"/>
          <w:vertAlign w:val="subscript"/>
        </w:rPr>
        <w:t>1</w:t>
      </w:r>
      <w:r w:rsidRPr="0041039A">
        <w:rPr>
          <w:rFonts w:ascii="Arial" w:hAnsi="Arial"/>
          <w:sz w:val="22"/>
          <w:szCs w:val="22"/>
        </w:rPr>
        <w:t>-antitrypsin, alpha-fetoprotein, urate, cholesterol, thyroid function tests</w:t>
      </w:r>
    </w:p>
    <w:p w:rsidR="0041039A" w:rsidRPr="0041039A" w:rsidRDefault="0041039A" w:rsidP="00F2772D">
      <w:pPr>
        <w:spacing w:line="360" w:lineRule="auto"/>
        <w:ind w:firstLine="720"/>
        <w:contextualSpacing/>
        <w:jc w:val="both"/>
        <w:rPr>
          <w:rFonts w:ascii="Arial" w:hAnsi="Arial"/>
          <w:sz w:val="22"/>
          <w:szCs w:val="22"/>
        </w:rPr>
      </w:pPr>
    </w:p>
    <w:p w:rsidR="0041039A" w:rsidRPr="0041039A" w:rsidRDefault="0041039A" w:rsidP="00F2772D">
      <w:pPr>
        <w:spacing w:line="360" w:lineRule="auto"/>
        <w:contextualSpacing/>
        <w:jc w:val="both"/>
        <w:rPr>
          <w:rFonts w:ascii="Arial" w:hAnsi="Arial"/>
          <w:sz w:val="22"/>
          <w:szCs w:val="22"/>
        </w:rPr>
      </w:pPr>
      <w:r w:rsidRPr="0041039A">
        <w:rPr>
          <w:rFonts w:ascii="Arial" w:hAnsi="Arial"/>
          <w:sz w:val="22"/>
          <w:szCs w:val="22"/>
        </w:rPr>
        <w:t>If neonate: blood galactose-1-phosphate uridyl transferase</w:t>
      </w:r>
    </w:p>
    <w:p w:rsidR="0041039A" w:rsidRPr="0041039A" w:rsidRDefault="0041039A" w:rsidP="00F2772D">
      <w:pPr>
        <w:spacing w:line="360" w:lineRule="auto"/>
        <w:contextualSpacing/>
        <w:jc w:val="both"/>
        <w:rPr>
          <w:rFonts w:ascii="Arial" w:hAnsi="Arial"/>
          <w:sz w:val="22"/>
          <w:szCs w:val="22"/>
        </w:rPr>
      </w:pPr>
      <w:r w:rsidRPr="0041039A">
        <w:rPr>
          <w:rFonts w:ascii="Arial" w:hAnsi="Arial"/>
          <w:sz w:val="22"/>
          <w:szCs w:val="22"/>
        </w:rPr>
        <w:t>If more than 5 years old: copper and caeruloplasmin</w:t>
      </w:r>
    </w:p>
    <w:p w:rsidR="0041039A" w:rsidRPr="0041039A" w:rsidRDefault="0041039A" w:rsidP="00F2772D">
      <w:pPr>
        <w:spacing w:line="360" w:lineRule="auto"/>
        <w:contextualSpacing/>
        <w:jc w:val="both"/>
        <w:rPr>
          <w:rFonts w:ascii="Arial" w:hAnsi="Arial"/>
          <w:sz w:val="22"/>
          <w:szCs w:val="22"/>
        </w:rPr>
      </w:pPr>
    </w:p>
    <w:p w:rsidR="0041039A" w:rsidRPr="0041039A" w:rsidRDefault="0041039A" w:rsidP="00F2772D">
      <w:pPr>
        <w:spacing w:line="360" w:lineRule="auto"/>
        <w:contextualSpacing/>
        <w:jc w:val="both"/>
        <w:rPr>
          <w:rFonts w:ascii="Arial" w:hAnsi="Arial"/>
          <w:b/>
          <w:i/>
          <w:sz w:val="22"/>
          <w:szCs w:val="22"/>
        </w:rPr>
      </w:pPr>
      <w:r w:rsidRPr="0041039A">
        <w:rPr>
          <w:rFonts w:ascii="Arial" w:hAnsi="Arial"/>
          <w:b/>
          <w:i/>
          <w:sz w:val="22"/>
          <w:szCs w:val="22"/>
        </w:rPr>
        <w:t>Neurological degenerative disorders</w:t>
      </w:r>
    </w:p>
    <w:p w:rsidR="0041039A" w:rsidRDefault="0041039A" w:rsidP="00E61534">
      <w:pPr>
        <w:spacing w:line="360" w:lineRule="auto"/>
        <w:contextualSpacing/>
        <w:jc w:val="both"/>
        <w:rPr>
          <w:rFonts w:ascii="Arial" w:hAnsi="Arial"/>
          <w:sz w:val="22"/>
          <w:szCs w:val="22"/>
        </w:rPr>
      </w:pPr>
      <w:r w:rsidRPr="0041039A">
        <w:rPr>
          <w:rFonts w:ascii="Arial" w:hAnsi="Arial"/>
          <w:sz w:val="22"/>
          <w:szCs w:val="22"/>
        </w:rPr>
        <w:t>These include the lysosomal and peroxisomal disorders.  Detailed discussions with the duty biochemist may be required to ensure that the correct test and specimen is selected, but investigation might include urine and plasma amino acids, urinary glycosaminoglycans and oligosaccharides, plasma very long chain fatty acids and urinary organic acids.</w:t>
      </w:r>
    </w:p>
    <w:p w:rsidR="00E61534" w:rsidRPr="00E61534" w:rsidRDefault="00E61534" w:rsidP="00E61534">
      <w:pPr>
        <w:spacing w:line="360" w:lineRule="auto"/>
        <w:contextualSpacing/>
        <w:jc w:val="both"/>
        <w:rPr>
          <w:rFonts w:ascii="Arial" w:hAnsi="Arial"/>
          <w:sz w:val="22"/>
          <w:szCs w:val="22"/>
        </w:rPr>
      </w:pPr>
    </w:p>
    <w:p w:rsidR="0041039A" w:rsidRPr="0041039A" w:rsidRDefault="0041039A" w:rsidP="0041039A">
      <w:pPr>
        <w:keepNext/>
        <w:widowControl/>
        <w:numPr>
          <w:ilvl w:val="0"/>
          <w:numId w:val="4"/>
        </w:numPr>
        <w:tabs>
          <w:tab w:val="left" w:pos="-1512"/>
          <w:tab w:val="left" w:pos="-1080"/>
          <w:tab w:val="left" w:pos="-792"/>
          <w:tab w:val="left" w:pos="-72"/>
          <w:tab w:val="left" w:pos="1368"/>
          <w:tab w:val="left" w:pos="2088"/>
          <w:tab w:val="left" w:pos="2808"/>
          <w:tab w:val="left" w:pos="3528"/>
          <w:tab w:val="left" w:pos="4248"/>
          <w:tab w:val="left" w:pos="4968"/>
          <w:tab w:val="left" w:pos="5688"/>
          <w:tab w:val="left" w:pos="6408"/>
          <w:tab w:val="left" w:pos="7128"/>
          <w:tab w:val="left" w:pos="7848"/>
        </w:tabs>
        <w:jc w:val="both"/>
        <w:outlineLvl w:val="4"/>
        <w:rPr>
          <w:rFonts w:ascii="Arial" w:hAnsi="Arial"/>
          <w:b/>
          <w:sz w:val="22"/>
          <w:szCs w:val="22"/>
        </w:rPr>
      </w:pPr>
      <w:r w:rsidRPr="0041039A">
        <w:rPr>
          <w:rFonts w:ascii="Arial" w:hAnsi="Arial"/>
          <w:b/>
          <w:sz w:val="22"/>
          <w:szCs w:val="22"/>
        </w:rPr>
        <w:t>Acutely ill neonates or infants</w:t>
      </w:r>
    </w:p>
    <w:p w:rsidR="0041039A" w:rsidRPr="0041039A" w:rsidRDefault="0041039A" w:rsidP="0041039A">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both"/>
        <w:outlineLvl w:val="4"/>
        <w:rPr>
          <w:rFonts w:ascii="Arial" w:hAnsi="Arial"/>
          <w:sz w:val="22"/>
          <w:szCs w:val="22"/>
        </w:rPr>
      </w:pPr>
    </w:p>
    <w:p w:rsidR="0041039A" w:rsidRPr="0041039A" w:rsidRDefault="0041039A" w:rsidP="00F2772D">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outlineLvl w:val="4"/>
        <w:rPr>
          <w:sz w:val="22"/>
          <w:szCs w:val="22"/>
        </w:rPr>
      </w:pPr>
      <w:r w:rsidRPr="0041039A">
        <w:rPr>
          <w:rFonts w:ascii="Arial" w:hAnsi="Arial"/>
          <w:sz w:val="22"/>
          <w:szCs w:val="22"/>
        </w:rPr>
        <w:t>Initial biochemical investigations should include the following:</w:t>
      </w:r>
    </w:p>
    <w:p w:rsidR="0041039A" w:rsidRPr="0041039A" w:rsidRDefault="0041039A" w:rsidP="00F2772D">
      <w:pPr>
        <w:keepNext/>
        <w:widowControl/>
        <w:tabs>
          <w:tab w:val="left" w:pos="-1512"/>
          <w:tab w:val="left" w:pos="-1080"/>
          <w:tab w:val="left" w:pos="-792"/>
          <w:tab w:val="left" w:pos="-72"/>
          <w:tab w:val="left" w:pos="648"/>
          <w:tab w:val="left" w:pos="1276"/>
          <w:tab w:val="left" w:pos="2088"/>
          <w:tab w:val="left" w:pos="2808"/>
          <w:tab w:val="left" w:pos="3528"/>
          <w:tab w:val="left" w:pos="4248"/>
          <w:tab w:val="left" w:pos="4968"/>
          <w:tab w:val="left" w:pos="5688"/>
          <w:tab w:val="left" w:pos="6408"/>
          <w:tab w:val="left" w:pos="7128"/>
          <w:tab w:val="left" w:pos="7848"/>
        </w:tabs>
        <w:spacing w:line="360" w:lineRule="auto"/>
        <w:ind w:left="1272" w:hanging="1272"/>
        <w:contextualSpacing/>
        <w:jc w:val="both"/>
        <w:outlineLvl w:val="4"/>
        <w:rPr>
          <w:rFonts w:ascii="Arial" w:hAnsi="Arial"/>
          <w:sz w:val="22"/>
          <w:szCs w:val="22"/>
        </w:rPr>
      </w:pPr>
      <w:r w:rsidRPr="0041039A">
        <w:rPr>
          <w:rFonts w:ascii="Arial" w:hAnsi="Arial"/>
          <w:sz w:val="22"/>
          <w:szCs w:val="22"/>
        </w:rPr>
        <w:t>Urine:</w:t>
      </w:r>
      <w:r w:rsidRPr="0041039A">
        <w:rPr>
          <w:rFonts w:ascii="Arial" w:hAnsi="Arial"/>
          <w:sz w:val="22"/>
          <w:szCs w:val="22"/>
        </w:rPr>
        <w:tab/>
      </w:r>
      <w:r w:rsidRPr="0041039A">
        <w:rPr>
          <w:rFonts w:ascii="Arial" w:hAnsi="Arial"/>
          <w:sz w:val="22"/>
          <w:szCs w:val="22"/>
        </w:rPr>
        <w:tab/>
        <w:t xml:space="preserve">Glucose, ketones, bilirubin, urobilinogen by dipstick. </w:t>
      </w:r>
    </w:p>
    <w:p w:rsidR="0041039A" w:rsidRPr="0041039A" w:rsidRDefault="0041039A" w:rsidP="00F2772D">
      <w:pPr>
        <w:keepNext/>
        <w:widowControl/>
        <w:tabs>
          <w:tab w:val="left" w:pos="-1512"/>
          <w:tab w:val="left" w:pos="-1080"/>
          <w:tab w:val="left" w:pos="-792"/>
          <w:tab w:val="left" w:pos="-72"/>
          <w:tab w:val="left" w:pos="648"/>
          <w:tab w:val="left" w:pos="1276"/>
          <w:tab w:val="left" w:pos="2088"/>
          <w:tab w:val="left" w:pos="2808"/>
          <w:tab w:val="left" w:pos="3528"/>
          <w:tab w:val="left" w:pos="4248"/>
          <w:tab w:val="left" w:pos="4968"/>
          <w:tab w:val="left" w:pos="5688"/>
          <w:tab w:val="left" w:pos="6408"/>
          <w:tab w:val="left" w:pos="7128"/>
          <w:tab w:val="left" w:pos="7848"/>
        </w:tabs>
        <w:spacing w:line="360" w:lineRule="auto"/>
        <w:ind w:left="1272" w:hanging="1272"/>
        <w:contextualSpacing/>
        <w:jc w:val="both"/>
        <w:outlineLvl w:val="4"/>
        <w:rPr>
          <w:rFonts w:ascii="Arial" w:hAnsi="Arial"/>
          <w:sz w:val="22"/>
          <w:szCs w:val="22"/>
        </w:rPr>
      </w:pPr>
      <w:r w:rsidRPr="0041039A">
        <w:rPr>
          <w:rFonts w:ascii="Arial" w:hAnsi="Arial" w:cs="Arial"/>
          <w:sz w:val="22"/>
        </w:rPr>
        <w:t xml:space="preserve">Blood: </w:t>
      </w:r>
      <w:r w:rsidRPr="0041039A">
        <w:rPr>
          <w:rFonts w:ascii="Arial" w:hAnsi="Arial" w:cs="Arial"/>
          <w:sz w:val="22"/>
        </w:rPr>
        <w:tab/>
        <w:t>pH, pCO2, bicarbonate, sodium, potassium, chloride, glucose, calcium, magnesium, bilirubin (total and conjugated), alkaline phosphatase, AST or ALT, creatinine.</w:t>
      </w:r>
    </w:p>
    <w:p w:rsidR="0041039A" w:rsidRPr="0041039A" w:rsidRDefault="0041039A" w:rsidP="00F2772D">
      <w:pPr>
        <w:spacing w:line="360" w:lineRule="auto"/>
        <w:contextualSpacing/>
        <w:jc w:val="both"/>
        <w:rPr>
          <w:rFonts w:ascii="Arial" w:hAnsi="Arial"/>
          <w:sz w:val="22"/>
          <w:szCs w:val="22"/>
        </w:rPr>
      </w:pPr>
      <w:r w:rsidRPr="0041039A">
        <w:rPr>
          <w:rFonts w:ascii="Arial" w:hAnsi="Arial"/>
          <w:sz w:val="22"/>
          <w:szCs w:val="22"/>
        </w:rPr>
        <w:t xml:space="preserve">Consider toxicological investigations. </w:t>
      </w:r>
    </w:p>
    <w:p w:rsidR="0041039A" w:rsidRPr="0041039A" w:rsidRDefault="0041039A" w:rsidP="00F2772D">
      <w:pPr>
        <w:spacing w:line="360" w:lineRule="auto"/>
        <w:ind w:firstLine="648"/>
        <w:contextualSpacing/>
        <w:jc w:val="both"/>
        <w:rPr>
          <w:rFonts w:ascii="Arial" w:hAnsi="Arial"/>
          <w:sz w:val="22"/>
          <w:szCs w:val="22"/>
        </w:rPr>
      </w:pPr>
    </w:p>
    <w:p w:rsidR="0041039A" w:rsidRPr="0041039A" w:rsidRDefault="0041039A" w:rsidP="00F2772D">
      <w:pPr>
        <w:spacing w:line="360" w:lineRule="auto"/>
        <w:contextualSpacing/>
        <w:jc w:val="both"/>
        <w:rPr>
          <w:rFonts w:ascii="Arial" w:hAnsi="Arial"/>
          <w:sz w:val="22"/>
          <w:szCs w:val="22"/>
        </w:rPr>
      </w:pPr>
      <w:r w:rsidRPr="0041039A">
        <w:rPr>
          <w:rFonts w:ascii="Arial" w:hAnsi="Arial"/>
          <w:sz w:val="22"/>
          <w:szCs w:val="22"/>
        </w:rPr>
        <w:t>Further investigations should then proceed according to the clinical problems and the biochemical abnormalities identified. These can be categorised into five groups as follows:</w:t>
      </w:r>
    </w:p>
    <w:p w:rsidR="0041039A" w:rsidRPr="0041039A" w:rsidRDefault="0041039A" w:rsidP="0041039A">
      <w:pPr>
        <w:rPr>
          <w:rFonts w:ascii="Arial" w:hAnsi="Arial"/>
          <w:b/>
          <w:sz w:val="22"/>
          <w:szCs w:val="22"/>
        </w:rPr>
      </w:pPr>
    </w:p>
    <w:tbl>
      <w:tblPr>
        <w:tblStyle w:val="GridTable1Light-Accent1"/>
        <w:tblW w:w="0" w:type="auto"/>
        <w:tblLayout w:type="fixed"/>
        <w:tblLook w:val="0620" w:firstRow="1" w:lastRow="0" w:firstColumn="0" w:lastColumn="0" w:noHBand="1" w:noVBand="1"/>
        <w:tblCaption w:val="suggested investigations "/>
      </w:tblPr>
      <w:tblGrid>
        <w:gridCol w:w="3227"/>
        <w:gridCol w:w="3119"/>
        <w:gridCol w:w="3119"/>
      </w:tblGrid>
      <w:tr w:rsidR="0041039A" w:rsidRPr="0041039A" w:rsidTr="00C955E6">
        <w:trPr>
          <w:cnfStyle w:val="100000000000" w:firstRow="1" w:lastRow="0" w:firstColumn="0" w:lastColumn="0" w:oddVBand="0" w:evenVBand="0" w:oddHBand="0" w:evenHBand="0" w:firstRowFirstColumn="0" w:firstRowLastColumn="0" w:lastRowFirstColumn="0" w:lastRowLastColumn="0"/>
          <w:tblHeader/>
        </w:trPr>
        <w:tc>
          <w:tcPr>
            <w:tcW w:w="3227" w:type="dxa"/>
          </w:tcPr>
          <w:p w:rsidR="0041039A" w:rsidRPr="00C955E6" w:rsidRDefault="0041039A" w:rsidP="0041039A">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both"/>
              <w:outlineLvl w:val="4"/>
              <w:rPr>
                <w:rFonts w:ascii="Arial" w:hAnsi="Arial"/>
                <w:sz w:val="22"/>
                <w:szCs w:val="22"/>
              </w:rPr>
            </w:pPr>
            <w:r w:rsidRPr="00C955E6">
              <w:rPr>
                <w:rFonts w:ascii="Arial" w:hAnsi="Arial"/>
                <w:sz w:val="22"/>
                <w:szCs w:val="22"/>
              </w:rPr>
              <w:t>Presentation</w:t>
            </w:r>
          </w:p>
        </w:tc>
        <w:tc>
          <w:tcPr>
            <w:tcW w:w="3119" w:type="dxa"/>
          </w:tcPr>
          <w:p w:rsidR="0041039A" w:rsidRPr="00C955E6" w:rsidRDefault="0041039A" w:rsidP="0041039A">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outlineLvl w:val="4"/>
              <w:rPr>
                <w:rFonts w:ascii="Arial" w:hAnsi="Arial"/>
                <w:sz w:val="22"/>
                <w:szCs w:val="22"/>
              </w:rPr>
            </w:pPr>
            <w:r w:rsidRPr="00C955E6">
              <w:rPr>
                <w:rFonts w:ascii="Arial" w:hAnsi="Arial"/>
                <w:sz w:val="22"/>
                <w:szCs w:val="22"/>
              </w:rPr>
              <w:t>Suggested investigations for clinical presentation</w:t>
            </w:r>
          </w:p>
          <w:p w:rsidR="0041039A" w:rsidRPr="00C955E6" w:rsidRDefault="0041039A" w:rsidP="0041039A">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outlineLvl w:val="4"/>
              <w:rPr>
                <w:rFonts w:ascii="Arial" w:hAnsi="Arial"/>
                <w:sz w:val="22"/>
                <w:szCs w:val="22"/>
              </w:rPr>
            </w:pPr>
          </w:p>
        </w:tc>
        <w:tc>
          <w:tcPr>
            <w:tcW w:w="3119" w:type="dxa"/>
          </w:tcPr>
          <w:p w:rsidR="0041039A" w:rsidRPr="00C955E6" w:rsidRDefault="0041039A" w:rsidP="0041039A">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center"/>
              <w:outlineLvl w:val="4"/>
              <w:rPr>
                <w:rFonts w:ascii="Arial" w:hAnsi="Arial"/>
                <w:sz w:val="22"/>
                <w:szCs w:val="22"/>
              </w:rPr>
            </w:pPr>
            <w:r w:rsidRPr="00C955E6">
              <w:rPr>
                <w:rFonts w:ascii="Arial" w:hAnsi="Arial"/>
                <w:sz w:val="22"/>
                <w:szCs w:val="22"/>
              </w:rPr>
              <w:t>Possible metabolic disorders</w:t>
            </w:r>
          </w:p>
        </w:tc>
      </w:tr>
      <w:tr w:rsidR="0041039A" w:rsidRPr="0041039A" w:rsidTr="00C955E6">
        <w:tc>
          <w:tcPr>
            <w:tcW w:w="3227" w:type="dxa"/>
          </w:tcPr>
          <w:p w:rsidR="0041039A" w:rsidRPr="0041039A" w:rsidRDefault="00C955E6" w:rsidP="00C955E6">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center"/>
              <w:outlineLvl w:val="4"/>
              <w:rPr>
                <w:rFonts w:ascii="Arial" w:hAnsi="Arial"/>
                <w:sz w:val="22"/>
                <w:szCs w:val="22"/>
              </w:rPr>
            </w:pPr>
            <w:r>
              <w:rPr>
                <w:rFonts w:ascii="Arial" w:hAnsi="Arial"/>
                <w:sz w:val="22"/>
                <w:szCs w:val="22"/>
              </w:rPr>
              <w:t xml:space="preserve">Unexplained </w:t>
            </w:r>
            <w:r w:rsidR="0041039A" w:rsidRPr="0041039A">
              <w:rPr>
                <w:rFonts w:ascii="Arial" w:hAnsi="Arial"/>
                <w:sz w:val="22"/>
                <w:szCs w:val="22"/>
              </w:rPr>
              <w:t>hypoglycaemia</w:t>
            </w:r>
          </w:p>
        </w:tc>
        <w:tc>
          <w:tcPr>
            <w:tcW w:w="3119" w:type="dxa"/>
          </w:tcPr>
          <w:p w:rsidR="0041039A" w:rsidRPr="0041039A" w:rsidRDefault="0041039A" w:rsidP="00C955E6">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center"/>
              <w:outlineLvl w:val="4"/>
              <w:rPr>
                <w:rFonts w:ascii="Arial" w:hAnsi="Arial"/>
                <w:sz w:val="22"/>
                <w:szCs w:val="22"/>
              </w:rPr>
            </w:pPr>
            <w:r w:rsidRPr="0041039A">
              <w:rPr>
                <w:rFonts w:ascii="Arial" w:hAnsi="Arial"/>
                <w:sz w:val="22"/>
                <w:szCs w:val="22"/>
              </w:rPr>
              <w:t>Organic acids (U)</w:t>
            </w:r>
          </w:p>
          <w:p w:rsidR="0041039A" w:rsidRPr="0041039A" w:rsidRDefault="0041039A" w:rsidP="00C955E6">
            <w:pPr>
              <w:jc w:val="center"/>
              <w:rPr>
                <w:rFonts w:ascii="Arial" w:hAnsi="Arial"/>
                <w:sz w:val="22"/>
                <w:szCs w:val="22"/>
              </w:rPr>
            </w:pPr>
            <w:r w:rsidRPr="0041039A">
              <w:rPr>
                <w:rFonts w:ascii="Arial" w:hAnsi="Arial"/>
                <w:sz w:val="22"/>
                <w:szCs w:val="22"/>
              </w:rPr>
              <w:t>Amino acids (P)</w:t>
            </w:r>
          </w:p>
          <w:p w:rsidR="0041039A" w:rsidRPr="0041039A" w:rsidRDefault="0041039A" w:rsidP="00C955E6">
            <w:pPr>
              <w:jc w:val="center"/>
              <w:rPr>
                <w:rFonts w:ascii="Arial" w:hAnsi="Arial"/>
                <w:sz w:val="22"/>
                <w:szCs w:val="22"/>
              </w:rPr>
            </w:pPr>
            <w:r w:rsidRPr="0041039A">
              <w:rPr>
                <w:rFonts w:ascii="Arial" w:hAnsi="Arial"/>
                <w:sz w:val="22"/>
                <w:szCs w:val="22"/>
              </w:rPr>
              <w:t>Lactate (P)</w:t>
            </w:r>
          </w:p>
          <w:p w:rsidR="0041039A" w:rsidRPr="0041039A" w:rsidRDefault="0041039A" w:rsidP="00C955E6">
            <w:pPr>
              <w:jc w:val="center"/>
              <w:rPr>
                <w:rFonts w:ascii="Arial" w:hAnsi="Arial"/>
                <w:sz w:val="22"/>
                <w:szCs w:val="22"/>
              </w:rPr>
            </w:pPr>
            <w:r w:rsidRPr="0041039A">
              <w:rPr>
                <w:rFonts w:ascii="Arial" w:hAnsi="Arial"/>
                <w:sz w:val="22"/>
                <w:szCs w:val="22"/>
              </w:rPr>
              <w:t>Insulin (P) + C-peptide (P)</w:t>
            </w:r>
          </w:p>
          <w:p w:rsidR="0041039A" w:rsidRPr="0041039A" w:rsidRDefault="0041039A" w:rsidP="00C955E6">
            <w:pPr>
              <w:jc w:val="center"/>
              <w:rPr>
                <w:rFonts w:ascii="Arial" w:hAnsi="Arial"/>
                <w:sz w:val="22"/>
                <w:szCs w:val="22"/>
              </w:rPr>
            </w:pPr>
            <w:r w:rsidRPr="0041039A">
              <w:rPr>
                <w:rFonts w:ascii="Arial" w:hAnsi="Arial"/>
                <w:sz w:val="22"/>
                <w:szCs w:val="22"/>
              </w:rPr>
              <w:t>17-hydroxyprogesterone (S), Cortisol (S)</w:t>
            </w:r>
          </w:p>
          <w:p w:rsidR="0041039A" w:rsidRPr="0041039A" w:rsidRDefault="0041039A" w:rsidP="00C955E6">
            <w:pPr>
              <w:jc w:val="center"/>
              <w:rPr>
                <w:rFonts w:ascii="Arial" w:hAnsi="Arial"/>
                <w:sz w:val="22"/>
                <w:szCs w:val="22"/>
              </w:rPr>
            </w:pPr>
            <w:r w:rsidRPr="0041039A">
              <w:rPr>
                <w:rFonts w:ascii="Arial" w:hAnsi="Arial"/>
                <w:sz w:val="22"/>
                <w:szCs w:val="22"/>
              </w:rPr>
              <w:t>Steroid profile (U)</w:t>
            </w:r>
          </w:p>
          <w:p w:rsidR="0041039A" w:rsidRPr="0041039A" w:rsidRDefault="0041039A" w:rsidP="00C955E6">
            <w:pPr>
              <w:jc w:val="center"/>
              <w:rPr>
                <w:rFonts w:ascii="Arial" w:hAnsi="Arial"/>
                <w:sz w:val="22"/>
                <w:szCs w:val="22"/>
              </w:rPr>
            </w:pPr>
            <w:r w:rsidRPr="0041039A">
              <w:rPr>
                <w:rFonts w:ascii="Arial" w:hAnsi="Arial"/>
                <w:sz w:val="22"/>
                <w:szCs w:val="22"/>
              </w:rPr>
              <w:t>Ammonia (P)</w:t>
            </w:r>
          </w:p>
        </w:tc>
        <w:tc>
          <w:tcPr>
            <w:tcW w:w="3119" w:type="dxa"/>
          </w:tcPr>
          <w:p w:rsidR="0041039A" w:rsidRPr="0041039A" w:rsidRDefault="0041039A" w:rsidP="00C955E6">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center"/>
              <w:outlineLvl w:val="4"/>
              <w:rPr>
                <w:rFonts w:ascii="Arial" w:hAnsi="Arial"/>
                <w:sz w:val="22"/>
                <w:szCs w:val="22"/>
              </w:rPr>
            </w:pPr>
            <w:r w:rsidRPr="0041039A">
              <w:rPr>
                <w:rFonts w:ascii="Arial" w:hAnsi="Arial"/>
                <w:sz w:val="22"/>
                <w:szCs w:val="22"/>
              </w:rPr>
              <w:t>Organic acid disorders</w:t>
            </w:r>
          </w:p>
          <w:p w:rsidR="0041039A" w:rsidRPr="0041039A" w:rsidRDefault="0041039A" w:rsidP="00C955E6">
            <w:pPr>
              <w:jc w:val="center"/>
              <w:rPr>
                <w:rFonts w:ascii="Arial" w:hAnsi="Arial"/>
                <w:sz w:val="22"/>
                <w:szCs w:val="22"/>
              </w:rPr>
            </w:pPr>
            <w:r w:rsidRPr="0041039A">
              <w:rPr>
                <w:rFonts w:ascii="Arial" w:hAnsi="Arial"/>
                <w:sz w:val="22"/>
                <w:szCs w:val="22"/>
              </w:rPr>
              <w:t>Amino acid disorders</w:t>
            </w:r>
          </w:p>
          <w:p w:rsidR="0041039A" w:rsidRPr="0041039A" w:rsidRDefault="0041039A" w:rsidP="00C955E6">
            <w:pPr>
              <w:jc w:val="center"/>
              <w:rPr>
                <w:rFonts w:ascii="Arial" w:hAnsi="Arial"/>
                <w:sz w:val="22"/>
                <w:szCs w:val="22"/>
              </w:rPr>
            </w:pPr>
            <w:r w:rsidRPr="0041039A">
              <w:rPr>
                <w:rFonts w:ascii="Arial" w:hAnsi="Arial"/>
                <w:sz w:val="22"/>
                <w:szCs w:val="22"/>
              </w:rPr>
              <w:t>Glycogen storage disease (type 1)</w:t>
            </w:r>
          </w:p>
          <w:p w:rsidR="0041039A" w:rsidRPr="0041039A" w:rsidRDefault="0041039A" w:rsidP="00C955E6">
            <w:pPr>
              <w:jc w:val="center"/>
              <w:rPr>
                <w:rFonts w:ascii="Arial" w:hAnsi="Arial"/>
                <w:sz w:val="22"/>
                <w:szCs w:val="22"/>
              </w:rPr>
            </w:pPr>
            <w:r w:rsidRPr="0041039A">
              <w:rPr>
                <w:rFonts w:ascii="Arial" w:hAnsi="Arial"/>
                <w:sz w:val="22"/>
                <w:szCs w:val="22"/>
              </w:rPr>
              <w:t>Disorders of gluconeogenesis</w:t>
            </w:r>
          </w:p>
          <w:p w:rsidR="0041039A" w:rsidRPr="0041039A" w:rsidRDefault="0041039A" w:rsidP="00C955E6">
            <w:pPr>
              <w:jc w:val="center"/>
              <w:rPr>
                <w:rFonts w:ascii="Arial" w:hAnsi="Arial"/>
                <w:sz w:val="22"/>
                <w:szCs w:val="22"/>
              </w:rPr>
            </w:pPr>
            <w:r w:rsidRPr="0041039A">
              <w:rPr>
                <w:rFonts w:ascii="Arial" w:hAnsi="Arial"/>
                <w:sz w:val="22"/>
                <w:szCs w:val="22"/>
              </w:rPr>
              <w:t>Congenital adrenal hyperplasia</w:t>
            </w:r>
          </w:p>
        </w:tc>
      </w:tr>
      <w:tr w:rsidR="0041039A" w:rsidRPr="0041039A" w:rsidTr="00C955E6">
        <w:tc>
          <w:tcPr>
            <w:tcW w:w="3227" w:type="dxa"/>
          </w:tcPr>
          <w:p w:rsidR="0041039A" w:rsidRPr="0041039A" w:rsidRDefault="00C955E6" w:rsidP="00C955E6">
            <w:pPr>
              <w:keepNext/>
              <w:widowControl/>
              <w:tabs>
                <w:tab w:val="left" w:pos="-1512"/>
                <w:tab w:val="left" w:pos="-1080"/>
                <w:tab w:val="left" w:pos="-792"/>
                <w:tab w:val="left" w:pos="-72"/>
                <w:tab w:val="left" w:pos="1368"/>
                <w:tab w:val="left" w:pos="2088"/>
                <w:tab w:val="left" w:pos="2808"/>
                <w:tab w:val="left" w:pos="3528"/>
                <w:tab w:val="left" w:pos="4248"/>
                <w:tab w:val="left" w:pos="4968"/>
                <w:tab w:val="left" w:pos="5688"/>
                <w:tab w:val="left" w:pos="6408"/>
                <w:tab w:val="left" w:pos="7128"/>
                <w:tab w:val="left" w:pos="7848"/>
              </w:tabs>
              <w:jc w:val="center"/>
              <w:outlineLvl w:val="4"/>
              <w:rPr>
                <w:rFonts w:ascii="Arial" w:hAnsi="Arial"/>
                <w:sz w:val="22"/>
                <w:szCs w:val="22"/>
              </w:rPr>
            </w:pPr>
            <w:r>
              <w:rPr>
                <w:rFonts w:ascii="Arial" w:hAnsi="Arial"/>
                <w:sz w:val="22"/>
                <w:szCs w:val="22"/>
              </w:rPr>
              <w:t xml:space="preserve">Acid base imbalance </w:t>
            </w:r>
            <w:r w:rsidR="0041039A" w:rsidRPr="0041039A">
              <w:rPr>
                <w:rFonts w:ascii="Arial" w:hAnsi="Arial"/>
                <w:sz w:val="22"/>
                <w:szCs w:val="22"/>
              </w:rPr>
              <w:t>- metabolic acidosis</w:t>
            </w:r>
          </w:p>
          <w:p w:rsidR="0041039A" w:rsidRPr="0041039A" w:rsidRDefault="0041039A" w:rsidP="00C955E6">
            <w:pPr>
              <w:jc w:val="center"/>
              <w:rPr>
                <w:rFonts w:ascii="Arial" w:hAnsi="Arial"/>
                <w:sz w:val="22"/>
                <w:szCs w:val="22"/>
              </w:rPr>
            </w:pPr>
            <w:r w:rsidRPr="0041039A">
              <w:rPr>
                <w:rFonts w:ascii="Arial" w:hAnsi="Arial"/>
                <w:sz w:val="22"/>
                <w:szCs w:val="22"/>
              </w:rPr>
              <w:t>(exclude primary cardiac</w:t>
            </w:r>
            <w:r w:rsidR="00C955E6">
              <w:rPr>
                <w:rFonts w:ascii="Arial" w:hAnsi="Arial"/>
                <w:sz w:val="22"/>
                <w:szCs w:val="22"/>
              </w:rPr>
              <w:t xml:space="preserve">             </w:t>
            </w:r>
            <w:r w:rsidRPr="0041039A">
              <w:rPr>
                <w:rFonts w:ascii="Arial" w:hAnsi="Arial"/>
                <w:sz w:val="22"/>
                <w:szCs w:val="22"/>
              </w:rPr>
              <w:t xml:space="preserve">  and respiratory disorders)</w:t>
            </w:r>
          </w:p>
          <w:p w:rsidR="0041039A" w:rsidRPr="0041039A" w:rsidRDefault="0041039A" w:rsidP="00C955E6">
            <w:pPr>
              <w:jc w:val="center"/>
              <w:rPr>
                <w:rFonts w:ascii="Arial" w:hAnsi="Arial"/>
                <w:sz w:val="22"/>
                <w:szCs w:val="22"/>
              </w:rPr>
            </w:pPr>
          </w:p>
          <w:p w:rsidR="0041039A" w:rsidRPr="0041039A" w:rsidRDefault="0041039A" w:rsidP="00C955E6">
            <w:pPr>
              <w:jc w:val="center"/>
              <w:rPr>
                <w:rFonts w:ascii="Arial" w:hAnsi="Arial"/>
                <w:sz w:val="22"/>
                <w:szCs w:val="22"/>
              </w:rPr>
            </w:pPr>
          </w:p>
          <w:p w:rsidR="0041039A" w:rsidRPr="0041039A" w:rsidRDefault="0041039A" w:rsidP="00C955E6">
            <w:pPr>
              <w:jc w:val="center"/>
              <w:rPr>
                <w:rFonts w:ascii="Arial" w:hAnsi="Arial"/>
                <w:sz w:val="22"/>
                <w:szCs w:val="22"/>
              </w:rPr>
            </w:pPr>
            <w:r w:rsidRPr="0041039A">
              <w:rPr>
                <w:rFonts w:ascii="Arial" w:hAnsi="Arial"/>
                <w:sz w:val="22"/>
                <w:szCs w:val="22"/>
              </w:rPr>
              <w:t>- respiratory alkalosis</w:t>
            </w:r>
          </w:p>
        </w:tc>
        <w:tc>
          <w:tcPr>
            <w:tcW w:w="3119" w:type="dxa"/>
          </w:tcPr>
          <w:p w:rsidR="0041039A" w:rsidRPr="0041039A" w:rsidRDefault="00C955E6" w:rsidP="00C955E6">
            <w:pPr>
              <w:rPr>
                <w:rFonts w:ascii="Arial" w:hAnsi="Arial"/>
                <w:sz w:val="22"/>
                <w:szCs w:val="22"/>
              </w:rPr>
            </w:pPr>
            <w:r>
              <w:rPr>
                <w:rFonts w:ascii="Arial" w:hAnsi="Arial"/>
                <w:sz w:val="22"/>
                <w:szCs w:val="22"/>
              </w:rPr>
              <w:t xml:space="preserve">         </w:t>
            </w:r>
            <w:r w:rsidR="0041039A" w:rsidRPr="0041039A">
              <w:rPr>
                <w:rFonts w:ascii="Arial" w:hAnsi="Arial"/>
                <w:sz w:val="22"/>
                <w:szCs w:val="22"/>
              </w:rPr>
              <w:t>Organic acids (U)</w:t>
            </w:r>
          </w:p>
          <w:p w:rsidR="0041039A" w:rsidRPr="0041039A" w:rsidRDefault="0041039A" w:rsidP="00C955E6">
            <w:pPr>
              <w:jc w:val="center"/>
              <w:rPr>
                <w:rFonts w:ascii="Arial" w:hAnsi="Arial"/>
                <w:sz w:val="22"/>
                <w:szCs w:val="22"/>
              </w:rPr>
            </w:pPr>
            <w:r w:rsidRPr="0041039A">
              <w:rPr>
                <w:rFonts w:ascii="Arial" w:hAnsi="Arial"/>
                <w:sz w:val="22"/>
                <w:szCs w:val="22"/>
              </w:rPr>
              <w:t>Amino acids (P),</w:t>
            </w:r>
          </w:p>
          <w:p w:rsidR="0041039A" w:rsidRPr="0041039A" w:rsidRDefault="0041039A" w:rsidP="00C955E6">
            <w:pPr>
              <w:jc w:val="center"/>
              <w:rPr>
                <w:rFonts w:ascii="Arial" w:hAnsi="Arial"/>
                <w:sz w:val="22"/>
                <w:szCs w:val="22"/>
              </w:rPr>
            </w:pPr>
            <w:r w:rsidRPr="0041039A">
              <w:rPr>
                <w:rFonts w:ascii="Arial" w:hAnsi="Arial"/>
                <w:sz w:val="22"/>
                <w:szCs w:val="22"/>
              </w:rPr>
              <w:t>Lactate (P)</w:t>
            </w:r>
          </w:p>
          <w:p w:rsidR="0041039A" w:rsidRPr="0041039A" w:rsidRDefault="0041039A" w:rsidP="00C955E6">
            <w:pPr>
              <w:jc w:val="center"/>
              <w:rPr>
                <w:rFonts w:ascii="Arial" w:hAnsi="Arial"/>
                <w:sz w:val="22"/>
                <w:szCs w:val="22"/>
                <w:lang w:val="it-IT"/>
              </w:rPr>
            </w:pPr>
            <w:r w:rsidRPr="0041039A">
              <w:rPr>
                <w:rFonts w:ascii="Arial" w:hAnsi="Arial"/>
                <w:sz w:val="22"/>
                <w:szCs w:val="22"/>
                <w:lang w:val="it-IT"/>
              </w:rPr>
              <w:t>Ammonia (P)</w:t>
            </w:r>
          </w:p>
          <w:p w:rsidR="0041039A" w:rsidRPr="0041039A" w:rsidRDefault="0041039A" w:rsidP="00C955E6">
            <w:pPr>
              <w:jc w:val="center"/>
              <w:rPr>
                <w:rFonts w:ascii="Arial" w:hAnsi="Arial"/>
                <w:sz w:val="22"/>
                <w:szCs w:val="22"/>
                <w:lang w:val="it-IT"/>
              </w:rPr>
            </w:pPr>
          </w:p>
          <w:p w:rsidR="0041039A" w:rsidRPr="0041039A" w:rsidRDefault="0041039A" w:rsidP="00C955E6">
            <w:pPr>
              <w:jc w:val="center"/>
              <w:rPr>
                <w:rFonts w:ascii="Arial" w:hAnsi="Arial"/>
                <w:sz w:val="22"/>
                <w:szCs w:val="22"/>
                <w:lang w:val="it-IT"/>
              </w:rPr>
            </w:pPr>
            <w:r w:rsidRPr="0041039A">
              <w:rPr>
                <w:rFonts w:ascii="Arial" w:hAnsi="Arial"/>
                <w:sz w:val="22"/>
                <w:szCs w:val="22"/>
                <w:lang w:val="it-IT"/>
              </w:rPr>
              <w:t>Amino acids (P),</w:t>
            </w:r>
          </w:p>
          <w:p w:rsidR="0041039A" w:rsidRPr="0041039A" w:rsidRDefault="0041039A" w:rsidP="00C955E6">
            <w:pPr>
              <w:jc w:val="center"/>
              <w:rPr>
                <w:rFonts w:ascii="Arial" w:hAnsi="Arial"/>
                <w:sz w:val="22"/>
                <w:szCs w:val="22"/>
              </w:rPr>
            </w:pPr>
            <w:r w:rsidRPr="0041039A">
              <w:rPr>
                <w:rFonts w:ascii="Arial" w:hAnsi="Arial"/>
                <w:sz w:val="22"/>
                <w:szCs w:val="22"/>
              </w:rPr>
              <w:t>Organic acids (U),</w:t>
            </w:r>
          </w:p>
          <w:p w:rsidR="0041039A" w:rsidRPr="0041039A" w:rsidRDefault="0041039A" w:rsidP="00C955E6">
            <w:pPr>
              <w:jc w:val="center"/>
              <w:rPr>
                <w:rFonts w:ascii="Arial" w:hAnsi="Arial"/>
                <w:sz w:val="22"/>
                <w:szCs w:val="22"/>
              </w:rPr>
            </w:pPr>
            <w:r w:rsidRPr="0041039A">
              <w:rPr>
                <w:rFonts w:ascii="Arial" w:hAnsi="Arial"/>
                <w:sz w:val="22"/>
                <w:szCs w:val="22"/>
              </w:rPr>
              <w:t>Ammonia (P)</w:t>
            </w:r>
          </w:p>
        </w:tc>
        <w:tc>
          <w:tcPr>
            <w:tcW w:w="3119" w:type="dxa"/>
          </w:tcPr>
          <w:p w:rsidR="0041039A" w:rsidRPr="0041039A" w:rsidRDefault="00C955E6" w:rsidP="00C955E6">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outlineLvl w:val="4"/>
              <w:rPr>
                <w:rFonts w:ascii="Arial" w:hAnsi="Arial"/>
                <w:sz w:val="22"/>
                <w:szCs w:val="22"/>
              </w:rPr>
            </w:pPr>
            <w:r>
              <w:rPr>
                <w:rFonts w:ascii="Arial" w:hAnsi="Arial"/>
                <w:sz w:val="22"/>
                <w:szCs w:val="22"/>
              </w:rPr>
              <w:t xml:space="preserve">      </w:t>
            </w:r>
            <w:r w:rsidR="0041039A" w:rsidRPr="0041039A">
              <w:rPr>
                <w:rFonts w:ascii="Arial" w:hAnsi="Arial"/>
                <w:sz w:val="22"/>
                <w:szCs w:val="22"/>
              </w:rPr>
              <w:t>Organic acid disorders</w:t>
            </w:r>
          </w:p>
          <w:p w:rsidR="0041039A" w:rsidRPr="0041039A" w:rsidRDefault="0041039A" w:rsidP="00C955E6">
            <w:pPr>
              <w:jc w:val="center"/>
              <w:rPr>
                <w:rFonts w:ascii="Arial" w:hAnsi="Arial"/>
                <w:sz w:val="22"/>
                <w:szCs w:val="22"/>
              </w:rPr>
            </w:pPr>
            <w:r w:rsidRPr="0041039A">
              <w:rPr>
                <w:rFonts w:ascii="Arial" w:hAnsi="Arial"/>
                <w:sz w:val="22"/>
                <w:szCs w:val="22"/>
              </w:rPr>
              <w:t>Congenital lactic acidosis</w:t>
            </w:r>
          </w:p>
          <w:p w:rsidR="0041039A" w:rsidRPr="0041039A" w:rsidRDefault="0041039A" w:rsidP="00C955E6">
            <w:pPr>
              <w:jc w:val="center"/>
              <w:rPr>
                <w:rFonts w:ascii="Arial" w:hAnsi="Arial"/>
                <w:sz w:val="22"/>
                <w:szCs w:val="22"/>
              </w:rPr>
            </w:pPr>
          </w:p>
          <w:p w:rsidR="0041039A" w:rsidRPr="0041039A" w:rsidRDefault="0041039A" w:rsidP="00C955E6">
            <w:pPr>
              <w:jc w:val="center"/>
              <w:rPr>
                <w:rFonts w:ascii="Arial" w:hAnsi="Arial"/>
                <w:sz w:val="22"/>
                <w:szCs w:val="22"/>
              </w:rPr>
            </w:pPr>
          </w:p>
          <w:p w:rsidR="0041039A" w:rsidRPr="0041039A" w:rsidRDefault="0041039A" w:rsidP="00C955E6">
            <w:pPr>
              <w:jc w:val="center"/>
              <w:rPr>
                <w:rFonts w:ascii="Arial" w:hAnsi="Arial"/>
                <w:sz w:val="22"/>
                <w:szCs w:val="22"/>
              </w:rPr>
            </w:pPr>
          </w:p>
          <w:p w:rsidR="0041039A" w:rsidRPr="0041039A" w:rsidRDefault="0041039A" w:rsidP="00C955E6">
            <w:pPr>
              <w:jc w:val="center"/>
              <w:rPr>
                <w:rFonts w:ascii="Arial" w:hAnsi="Arial"/>
                <w:sz w:val="22"/>
                <w:szCs w:val="22"/>
              </w:rPr>
            </w:pPr>
            <w:r w:rsidRPr="0041039A">
              <w:rPr>
                <w:rFonts w:ascii="Arial" w:hAnsi="Arial"/>
                <w:sz w:val="22"/>
                <w:szCs w:val="22"/>
              </w:rPr>
              <w:t>Urea cycle disorders</w:t>
            </w:r>
          </w:p>
        </w:tc>
      </w:tr>
      <w:tr w:rsidR="0041039A" w:rsidRPr="0041039A" w:rsidTr="00C955E6">
        <w:tc>
          <w:tcPr>
            <w:tcW w:w="3227" w:type="dxa"/>
          </w:tcPr>
          <w:p w:rsidR="0041039A" w:rsidRPr="0041039A" w:rsidRDefault="0041039A" w:rsidP="00C955E6">
            <w:pPr>
              <w:keepNext/>
              <w:widowControl/>
              <w:tabs>
                <w:tab w:val="left" w:pos="-1512"/>
                <w:tab w:val="left" w:pos="-1080"/>
                <w:tab w:val="left" w:pos="-792"/>
                <w:tab w:val="left" w:pos="-72"/>
                <w:tab w:val="left" w:pos="1368"/>
                <w:tab w:val="left" w:pos="2088"/>
                <w:tab w:val="left" w:pos="2808"/>
                <w:tab w:val="left" w:pos="3528"/>
                <w:tab w:val="left" w:pos="4248"/>
                <w:tab w:val="left" w:pos="4968"/>
                <w:tab w:val="left" w:pos="5688"/>
                <w:tab w:val="left" w:pos="6408"/>
                <w:tab w:val="left" w:pos="7128"/>
                <w:tab w:val="left" w:pos="7848"/>
              </w:tabs>
              <w:jc w:val="center"/>
              <w:outlineLvl w:val="4"/>
              <w:rPr>
                <w:rFonts w:ascii="Arial" w:hAnsi="Arial"/>
                <w:sz w:val="22"/>
                <w:szCs w:val="22"/>
              </w:rPr>
            </w:pPr>
            <w:r w:rsidRPr="0041039A">
              <w:rPr>
                <w:rFonts w:ascii="Arial" w:hAnsi="Arial"/>
                <w:sz w:val="22"/>
                <w:szCs w:val="22"/>
              </w:rPr>
              <w:t>Liver dysfunction (often associated with hypoglycaemia and galactosuria)</w:t>
            </w:r>
          </w:p>
        </w:tc>
        <w:tc>
          <w:tcPr>
            <w:tcW w:w="3119" w:type="dxa"/>
          </w:tcPr>
          <w:p w:rsidR="0041039A" w:rsidRPr="0041039A" w:rsidRDefault="0041039A" w:rsidP="00C955E6">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center"/>
              <w:outlineLvl w:val="4"/>
              <w:rPr>
                <w:rFonts w:ascii="Arial" w:hAnsi="Arial"/>
                <w:sz w:val="22"/>
                <w:szCs w:val="22"/>
              </w:rPr>
            </w:pPr>
            <w:r w:rsidRPr="0041039A">
              <w:rPr>
                <w:rFonts w:ascii="Arial" w:hAnsi="Arial"/>
                <w:sz w:val="22"/>
                <w:szCs w:val="22"/>
              </w:rPr>
              <w:t>Galactose-1-phosphate uridyl transferase (B)</w:t>
            </w:r>
          </w:p>
          <w:p w:rsidR="0041039A" w:rsidRPr="0041039A" w:rsidRDefault="0041039A" w:rsidP="00C955E6">
            <w:pPr>
              <w:jc w:val="center"/>
              <w:rPr>
                <w:rFonts w:ascii="Arial" w:hAnsi="Arial"/>
                <w:sz w:val="22"/>
                <w:szCs w:val="22"/>
              </w:rPr>
            </w:pPr>
            <w:r w:rsidRPr="0041039A">
              <w:rPr>
                <w:rFonts w:ascii="Arial" w:hAnsi="Arial"/>
                <w:sz w:val="22"/>
                <w:szCs w:val="22"/>
              </w:rPr>
              <w:t>Amino acids (P)</w:t>
            </w:r>
          </w:p>
          <w:p w:rsidR="0041039A" w:rsidRPr="0041039A" w:rsidRDefault="0041039A" w:rsidP="00C955E6">
            <w:pPr>
              <w:jc w:val="center"/>
              <w:rPr>
                <w:rFonts w:ascii="Arial" w:hAnsi="Arial"/>
                <w:sz w:val="22"/>
                <w:szCs w:val="22"/>
              </w:rPr>
            </w:pPr>
            <w:r w:rsidRPr="0041039A">
              <w:rPr>
                <w:rFonts w:ascii="Arial" w:hAnsi="Arial"/>
                <w:sz w:val="22"/>
                <w:szCs w:val="22"/>
              </w:rPr>
              <w:t>Lactate (P)</w:t>
            </w:r>
          </w:p>
          <w:p w:rsidR="0041039A" w:rsidRPr="0041039A" w:rsidRDefault="0041039A" w:rsidP="00C955E6">
            <w:pPr>
              <w:jc w:val="center"/>
              <w:rPr>
                <w:rFonts w:ascii="Arial" w:hAnsi="Arial"/>
                <w:sz w:val="22"/>
                <w:szCs w:val="22"/>
              </w:rPr>
            </w:pPr>
            <w:r w:rsidRPr="0041039A">
              <w:rPr>
                <w:rFonts w:ascii="Arial" w:hAnsi="Arial"/>
                <w:sz w:val="22"/>
                <w:szCs w:val="22"/>
              </w:rPr>
              <w:t>Succinylacetone (U)</w:t>
            </w:r>
          </w:p>
          <w:p w:rsidR="0041039A" w:rsidRPr="0041039A" w:rsidRDefault="0041039A" w:rsidP="00C955E6">
            <w:pPr>
              <w:jc w:val="center"/>
              <w:rPr>
                <w:rFonts w:ascii="Arial" w:hAnsi="Arial"/>
                <w:sz w:val="22"/>
                <w:szCs w:val="22"/>
              </w:rPr>
            </w:pPr>
            <w:r w:rsidRPr="0041039A">
              <w:rPr>
                <w:rFonts w:ascii="Arial" w:hAnsi="Arial"/>
                <w:sz w:val="22"/>
                <w:szCs w:val="22"/>
              </w:rPr>
              <w:t>AFP (S)</w:t>
            </w:r>
          </w:p>
          <w:p w:rsidR="0041039A" w:rsidRPr="0041039A" w:rsidRDefault="0041039A" w:rsidP="00C955E6">
            <w:pPr>
              <w:jc w:val="center"/>
              <w:rPr>
                <w:rFonts w:ascii="Arial" w:hAnsi="Arial"/>
                <w:sz w:val="22"/>
                <w:szCs w:val="22"/>
              </w:rPr>
            </w:pPr>
            <w:r w:rsidRPr="0041039A">
              <w:rPr>
                <w:rFonts w:ascii="Arial" w:hAnsi="Arial"/>
                <w:sz w:val="22"/>
                <w:szCs w:val="22"/>
              </w:rPr>
              <w:t>Oligosaccharides (U)</w:t>
            </w:r>
          </w:p>
          <w:p w:rsidR="0041039A" w:rsidRPr="0041039A" w:rsidRDefault="0041039A" w:rsidP="00C955E6">
            <w:pPr>
              <w:jc w:val="center"/>
              <w:rPr>
                <w:rFonts w:ascii="Arial" w:hAnsi="Arial"/>
                <w:sz w:val="22"/>
                <w:szCs w:val="22"/>
              </w:rPr>
            </w:pPr>
            <w:r w:rsidRPr="0041039A">
              <w:rPr>
                <w:rFonts w:ascii="Arial" w:hAnsi="Arial"/>
                <w:sz w:val="22"/>
                <w:szCs w:val="22"/>
              </w:rPr>
              <w:t>Organic Acids (U)</w:t>
            </w:r>
          </w:p>
          <w:p w:rsidR="0041039A" w:rsidRPr="0041039A" w:rsidRDefault="0041039A" w:rsidP="00C955E6">
            <w:pPr>
              <w:jc w:val="center"/>
              <w:rPr>
                <w:rFonts w:ascii="Arial" w:hAnsi="Arial"/>
                <w:sz w:val="22"/>
                <w:szCs w:val="22"/>
              </w:rPr>
            </w:pPr>
            <w:r w:rsidRPr="0041039A">
              <w:rPr>
                <w:rFonts w:ascii="Arial" w:hAnsi="Arial"/>
                <w:sz w:val="22"/>
                <w:szCs w:val="22"/>
              </w:rPr>
              <w:sym w:font="Symbol" w:char="F061"/>
            </w:r>
            <w:r w:rsidRPr="0041039A">
              <w:rPr>
                <w:rFonts w:ascii="Arial" w:hAnsi="Arial"/>
                <w:sz w:val="22"/>
                <w:szCs w:val="22"/>
                <w:vertAlign w:val="subscript"/>
              </w:rPr>
              <w:t>1</w:t>
            </w:r>
            <w:r w:rsidRPr="0041039A">
              <w:rPr>
                <w:rFonts w:ascii="Arial" w:hAnsi="Arial"/>
                <w:sz w:val="22"/>
                <w:szCs w:val="22"/>
              </w:rPr>
              <w:t>-antitrypsin (S)</w:t>
            </w:r>
          </w:p>
        </w:tc>
        <w:tc>
          <w:tcPr>
            <w:tcW w:w="3119" w:type="dxa"/>
          </w:tcPr>
          <w:p w:rsidR="0041039A" w:rsidRPr="0041039A" w:rsidRDefault="0041039A" w:rsidP="00C955E6">
            <w:pPr>
              <w:jc w:val="center"/>
              <w:rPr>
                <w:rFonts w:ascii="Arial" w:hAnsi="Arial"/>
                <w:sz w:val="22"/>
                <w:szCs w:val="22"/>
              </w:rPr>
            </w:pPr>
            <w:r w:rsidRPr="0041039A">
              <w:rPr>
                <w:rFonts w:ascii="Arial" w:hAnsi="Arial"/>
                <w:sz w:val="22"/>
                <w:szCs w:val="22"/>
              </w:rPr>
              <w:t>Galactosaemia</w:t>
            </w:r>
          </w:p>
          <w:p w:rsidR="0041039A" w:rsidRPr="0041039A" w:rsidRDefault="0041039A" w:rsidP="00C955E6">
            <w:pPr>
              <w:jc w:val="center"/>
              <w:rPr>
                <w:rFonts w:ascii="Arial" w:hAnsi="Arial"/>
                <w:sz w:val="22"/>
                <w:szCs w:val="22"/>
              </w:rPr>
            </w:pPr>
            <w:r w:rsidRPr="0041039A">
              <w:rPr>
                <w:rFonts w:ascii="Arial" w:hAnsi="Arial"/>
                <w:sz w:val="22"/>
                <w:szCs w:val="22"/>
              </w:rPr>
              <w:t>Fructose 1.6 diphosphatase deficiency</w:t>
            </w:r>
          </w:p>
          <w:p w:rsidR="0041039A" w:rsidRPr="0041039A" w:rsidRDefault="0041039A" w:rsidP="00C955E6">
            <w:pPr>
              <w:jc w:val="center"/>
              <w:rPr>
                <w:rFonts w:ascii="Arial" w:hAnsi="Arial"/>
                <w:sz w:val="22"/>
                <w:szCs w:val="22"/>
              </w:rPr>
            </w:pPr>
            <w:r w:rsidRPr="0041039A">
              <w:rPr>
                <w:rFonts w:ascii="Arial" w:hAnsi="Arial"/>
                <w:sz w:val="22"/>
                <w:szCs w:val="22"/>
              </w:rPr>
              <w:t>Fructose intolerance</w:t>
            </w:r>
          </w:p>
          <w:p w:rsidR="0041039A" w:rsidRPr="0041039A" w:rsidRDefault="0041039A" w:rsidP="00C955E6">
            <w:pPr>
              <w:jc w:val="center"/>
              <w:rPr>
                <w:rFonts w:ascii="Arial" w:hAnsi="Arial"/>
                <w:sz w:val="22"/>
                <w:szCs w:val="22"/>
              </w:rPr>
            </w:pPr>
            <w:r w:rsidRPr="0041039A">
              <w:rPr>
                <w:rFonts w:ascii="Arial" w:hAnsi="Arial"/>
                <w:sz w:val="22"/>
                <w:szCs w:val="22"/>
              </w:rPr>
              <w:t>Tyrosinaemia (type 1)</w:t>
            </w:r>
          </w:p>
          <w:p w:rsidR="0041039A" w:rsidRPr="0041039A" w:rsidRDefault="0041039A" w:rsidP="00C955E6">
            <w:pPr>
              <w:jc w:val="center"/>
              <w:rPr>
                <w:rFonts w:ascii="Arial" w:hAnsi="Arial"/>
                <w:sz w:val="22"/>
                <w:szCs w:val="22"/>
              </w:rPr>
            </w:pPr>
            <w:r w:rsidRPr="0041039A">
              <w:rPr>
                <w:rFonts w:ascii="Arial" w:hAnsi="Arial"/>
                <w:sz w:val="22"/>
                <w:szCs w:val="22"/>
              </w:rPr>
              <w:t>Glycogen storage (type 1)</w:t>
            </w:r>
          </w:p>
          <w:p w:rsidR="0041039A" w:rsidRPr="0041039A" w:rsidRDefault="0041039A" w:rsidP="00C955E6">
            <w:pPr>
              <w:jc w:val="center"/>
              <w:rPr>
                <w:rFonts w:ascii="Arial" w:hAnsi="Arial"/>
                <w:sz w:val="22"/>
                <w:szCs w:val="22"/>
              </w:rPr>
            </w:pPr>
            <w:r w:rsidRPr="0041039A">
              <w:rPr>
                <w:rFonts w:ascii="Arial" w:hAnsi="Arial"/>
                <w:sz w:val="22"/>
                <w:szCs w:val="22"/>
              </w:rPr>
              <w:t>Disorders of gluconeogenesis</w:t>
            </w:r>
          </w:p>
          <w:p w:rsidR="0041039A" w:rsidRPr="0041039A" w:rsidRDefault="0041039A" w:rsidP="00C955E6">
            <w:pPr>
              <w:jc w:val="center"/>
              <w:rPr>
                <w:rFonts w:ascii="Arial" w:hAnsi="Arial"/>
                <w:sz w:val="22"/>
                <w:szCs w:val="22"/>
              </w:rPr>
            </w:pPr>
          </w:p>
        </w:tc>
      </w:tr>
      <w:tr w:rsidR="0041039A" w:rsidRPr="0041039A" w:rsidTr="00C955E6">
        <w:tc>
          <w:tcPr>
            <w:tcW w:w="3227" w:type="dxa"/>
          </w:tcPr>
          <w:p w:rsidR="0041039A" w:rsidRPr="0041039A" w:rsidRDefault="0041039A" w:rsidP="00C955E6">
            <w:pPr>
              <w:keepNext/>
              <w:widowControl/>
              <w:tabs>
                <w:tab w:val="left" w:pos="-1512"/>
                <w:tab w:val="left" w:pos="-1080"/>
                <w:tab w:val="left" w:pos="-792"/>
                <w:tab w:val="left" w:pos="-72"/>
                <w:tab w:val="left" w:pos="1368"/>
                <w:tab w:val="left" w:pos="2088"/>
                <w:tab w:val="left" w:pos="2808"/>
                <w:tab w:val="left" w:pos="3528"/>
                <w:tab w:val="left" w:pos="4248"/>
                <w:tab w:val="left" w:pos="4968"/>
                <w:tab w:val="left" w:pos="5688"/>
                <w:tab w:val="left" w:pos="6408"/>
                <w:tab w:val="left" w:pos="7128"/>
                <w:tab w:val="left" w:pos="7848"/>
              </w:tabs>
              <w:jc w:val="center"/>
              <w:outlineLvl w:val="4"/>
              <w:rPr>
                <w:rFonts w:ascii="Arial" w:hAnsi="Arial"/>
                <w:sz w:val="22"/>
                <w:szCs w:val="22"/>
              </w:rPr>
            </w:pPr>
            <w:r w:rsidRPr="0041039A">
              <w:rPr>
                <w:rFonts w:ascii="Arial" w:hAnsi="Arial"/>
                <w:sz w:val="22"/>
                <w:szCs w:val="22"/>
              </w:rPr>
              <w:t>Neurological dysfunction</w:t>
            </w:r>
          </w:p>
          <w:p w:rsidR="0041039A" w:rsidRPr="0041039A" w:rsidRDefault="0041039A" w:rsidP="00C955E6">
            <w:pPr>
              <w:jc w:val="center"/>
              <w:rPr>
                <w:rFonts w:ascii="Arial" w:hAnsi="Arial"/>
                <w:sz w:val="22"/>
                <w:szCs w:val="22"/>
              </w:rPr>
            </w:pPr>
            <w:r w:rsidRPr="0041039A">
              <w:rPr>
                <w:rFonts w:ascii="Arial" w:hAnsi="Arial"/>
                <w:sz w:val="22"/>
                <w:szCs w:val="22"/>
              </w:rPr>
              <w:t>- seizures</w:t>
            </w:r>
          </w:p>
          <w:p w:rsidR="0041039A" w:rsidRPr="0041039A" w:rsidRDefault="0041039A" w:rsidP="00C955E6">
            <w:pPr>
              <w:jc w:val="center"/>
              <w:rPr>
                <w:rFonts w:ascii="Arial" w:hAnsi="Arial"/>
                <w:sz w:val="22"/>
                <w:szCs w:val="22"/>
                <w:lang w:val="en-US"/>
              </w:rPr>
            </w:pPr>
            <w:r w:rsidRPr="0041039A">
              <w:rPr>
                <w:rFonts w:ascii="Arial" w:hAnsi="Arial"/>
                <w:sz w:val="22"/>
                <w:szCs w:val="22"/>
                <w:lang w:val="en-US"/>
              </w:rPr>
              <w:t>- depressed consciousness</w:t>
            </w:r>
          </w:p>
          <w:p w:rsidR="0041039A" w:rsidRPr="0041039A" w:rsidRDefault="0041039A" w:rsidP="00C955E6">
            <w:pPr>
              <w:jc w:val="center"/>
              <w:rPr>
                <w:rFonts w:ascii="Arial" w:hAnsi="Arial"/>
                <w:sz w:val="22"/>
                <w:szCs w:val="22"/>
              </w:rPr>
            </w:pPr>
            <w:r w:rsidRPr="0041039A">
              <w:rPr>
                <w:rFonts w:ascii="Arial" w:hAnsi="Arial"/>
                <w:sz w:val="22"/>
                <w:szCs w:val="22"/>
              </w:rPr>
              <w:t>- hypotonia</w:t>
            </w:r>
          </w:p>
          <w:p w:rsidR="0041039A" w:rsidRPr="0041039A" w:rsidRDefault="0041039A" w:rsidP="00C955E6">
            <w:pPr>
              <w:jc w:val="center"/>
              <w:rPr>
                <w:rFonts w:ascii="Arial" w:hAnsi="Arial"/>
                <w:sz w:val="22"/>
                <w:szCs w:val="22"/>
              </w:rPr>
            </w:pPr>
          </w:p>
        </w:tc>
        <w:tc>
          <w:tcPr>
            <w:tcW w:w="3119" w:type="dxa"/>
          </w:tcPr>
          <w:p w:rsidR="0041039A" w:rsidRPr="0041039A" w:rsidRDefault="0041039A" w:rsidP="00C955E6">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center"/>
              <w:outlineLvl w:val="4"/>
              <w:rPr>
                <w:rFonts w:ascii="Arial" w:hAnsi="Arial"/>
                <w:sz w:val="22"/>
                <w:szCs w:val="22"/>
              </w:rPr>
            </w:pPr>
            <w:r w:rsidRPr="0041039A">
              <w:rPr>
                <w:rFonts w:ascii="Arial" w:hAnsi="Arial"/>
                <w:sz w:val="22"/>
                <w:szCs w:val="22"/>
              </w:rPr>
              <w:t>Amino acids (P)</w:t>
            </w:r>
          </w:p>
          <w:p w:rsidR="0041039A" w:rsidRPr="0041039A" w:rsidRDefault="0041039A" w:rsidP="00C955E6">
            <w:pPr>
              <w:jc w:val="center"/>
              <w:rPr>
                <w:rFonts w:ascii="Arial" w:hAnsi="Arial"/>
                <w:sz w:val="22"/>
                <w:szCs w:val="22"/>
              </w:rPr>
            </w:pPr>
            <w:r w:rsidRPr="0041039A">
              <w:rPr>
                <w:rFonts w:ascii="Arial" w:hAnsi="Arial"/>
                <w:sz w:val="22"/>
                <w:szCs w:val="22"/>
              </w:rPr>
              <w:t>Organic acids (U)</w:t>
            </w:r>
          </w:p>
          <w:p w:rsidR="0041039A" w:rsidRPr="0041039A" w:rsidRDefault="0041039A" w:rsidP="00C955E6">
            <w:pPr>
              <w:jc w:val="center"/>
              <w:rPr>
                <w:rFonts w:ascii="Arial" w:hAnsi="Arial"/>
                <w:sz w:val="22"/>
                <w:szCs w:val="22"/>
              </w:rPr>
            </w:pPr>
            <w:r w:rsidRPr="0041039A">
              <w:rPr>
                <w:rFonts w:ascii="Arial" w:hAnsi="Arial"/>
                <w:sz w:val="22"/>
                <w:szCs w:val="22"/>
              </w:rPr>
              <w:t>Orotic acid (U)</w:t>
            </w:r>
          </w:p>
          <w:p w:rsidR="0041039A" w:rsidRPr="0041039A" w:rsidRDefault="0041039A" w:rsidP="00C955E6">
            <w:pPr>
              <w:jc w:val="center"/>
              <w:rPr>
                <w:rFonts w:ascii="Arial" w:hAnsi="Arial"/>
                <w:sz w:val="22"/>
                <w:szCs w:val="22"/>
              </w:rPr>
            </w:pPr>
            <w:r w:rsidRPr="0041039A">
              <w:rPr>
                <w:rFonts w:ascii="Arial" w:hAnsi="Arial"/>
                <w:sz w:val="22"/>
                <w:szCs w:val="22"/>
              </w:rPr>
              <w:t>Ammonia (P)</w:t>
            </w:r>
          </w:p>
          <w:p w:rsidR="0041039A" w:rsidRPr="0041039A" w:rsidRDefault="0041039A" w:rsidP="00C955E6">
            <w:pPr>
              <w:jc w:val="center"/>
              <w:rPr>
                <w:rFonts w:ascii="Arial" w:hAnsi="Arial"/>
                <w:sz w:val="22"/>
                <w:szCs w:val="22"/>
              </w:rPr>
            </w:pPr>
            <w:r w:rsidRPr="0041039A">
              <w:rPr>
                <w:rFonts w:ascii="Arial" w:hAnsi="Arial"/>
                <w:sz w:val="22"/>
                <w:szCs w:val="22"/>
              </w:rPr>
              <w:t>Urate (S,U)</w:t>
            </w:r>
          </w:p>
          <w:p w:rsidR="0041039A" w:rsidRPr="0041039A" w:rsidRDefault="0041039A" w:rsidP="00C955E6">
            <w:pPr>
              <w:jc w:val="center"/>
              <w:rPr>
                <w:rFonts w:ascii="Arial" w:hAnsi="Arial"/>
                <w:sz w:val="22"/>
                <w:szCs w:val="22"/>
              </w:rPr>
            </w:pPr>
            <w:r w:rsidRPr="0041039A">
              <w:rPr>
                <w:rFonts w:ascii="Arial" w:hAnsi="Arial"/>
                <w:sz w:val="22"/>
                <w:szCs w:val="22"/>
              </w:rPr>
              <w:t>Sulphite (U)</w:t>
            </w:r>
          </w:p>
          <w:p w:rsidR="0041039A" w:rsidRPr="0041039A" w:rsidRDefault="0041039A" w:rsidP="00C955E6">
            <w:pPr>
              <w:jc w:val="center"/>
              <w:rPr>
                <w:rFonts w:ascii="Arial" w:hAnsi="Arial"/>
                <w:sz w:val="22"/>
                <w:szCs w:val="22"/>
              </w:rPr>
            </w:pPr>
            <w:r w:rsidRPr="0041039A">
              <w:rPr>
                <w:rFonts w:ascii="Arial" w:hAnsi="Arial"/>
                <w:sz w:val="22"/>
                <w:szCs w:val="22"/>
              </w:rPr>
              <w:t>Lactate (P)</w:t>
            </w:r>
          </w:p>
        </w:tc>
        <w:tc>
          <w:tcPr>
            <w:tcW w:w="3119" w:type="dxa"/>
          </w:tcPr>
          <w:p w:rsidR="0041039A" w:rsidRPr="0041039A" w:rsidRDefault="0041039A" w:rsidP="00C955E6">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center"/>
              <w:outlineLvl w:val="4"/>
              <w:rPr>
                <w:rFonts w:ascii="Arial" w:hAnsi="Arial"/>
                <w:sz w:val="22"/>
                <w:szCs w:val="22"/>
              </w:rPr>
            </w:pPr>
            <w:r w:rsidRPr="0041039A">
              <w:rPr>
                <w:rFonts w:ascii="Arial" w:hAnsi="Arial"/>
                <w:sz w:val="22"/>
                <w:szCs w:val="22"/>
              </w:rPr>
              <w:t>Non-ketonic hyperglycinaemia</w:t>
            </w:r>
          </w:p>
          <w:p w:rsidR="0041039A" w:rsidRPr="0041039A" w:rsidRDefault="0041039A" w:rsidP="00C955E6">
            <w:pPr>
              <w:jc w:val="center"/>
              <w:rPr>
                <w:rFonts w:ascii="Arial" w:hAnsi="Arial"/>
                <w:sz w:val="22"/>
                <w:szCs w:val="22"/>
              </w:rPr>
            </w:pPr>
            <w:r w:rsidRPr="0041039A">
              <w:rPr>
                <w:rFonts w:ascii="Arial" w:hAnsi="Arial"/>
                <w:sz w:val="22"/>
                <w:szCs w:val="22"/>
              </w:rPr>
              <w:t>Glyceric acidaemia</w:t>
            </w:r>
          </w:p>
          <w:p w:rsidR="0041039A" w:rsidRPr="0041039A" w:rsidRDefault="0041039A" w:rsidP="00C955E6">
            <w:pPr>
              <w:jc w:val="center"/>
              <w:rPr>
                <w:rFonts w:ascii="Arial" w:hAnsi="Arial"/>
                <w:sz w:val="22"/>
                <w:szCs w:val="22"/>
              </w:rPr>
            </w:pPr>
            <w:r w:rsidRPr="0041039A">
              <w:rPr>
                <w:rFonts w:ascii="Arial" w:hAnsi="Arial"/>
                <w:sz w:val="22"/>
                <w:szCs w:val="22"/>
              </w:rPr>
              <w:t>Urea cycle disorder</w:t>
            </w:r>
          </w:p>
          <w:p w:rsidR="0041039A" w:rsidRPr="0041039A" w:rsidRDefault="0041039A" w:rsidP="00C955E6">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center"/>
              <w:outlineLvl w:val="4"/>
              <w:rPr>
                <w:rFonts w:ascii="Arial" w:hAnsi="Arial"/>
                <w:sz w:val="22"/>
                <w:szCs w:val="22"/>
              </w:rPr>
            </w:pPr>
            <w:r w:rsidRPr="0041039A">
              <w:rPr>
                <w:rFonts w:ascii="Arial" w:hAnsi="Arial"/>
                <w:sz w:val="22"/>
                <w:szCs w:val="22"/>
              </w:rPr>
              <w:t>Xanthine/sulphite oxidase deficiency</w:t>
            </w:r>
          </w:p>
        </w:tc>
      </w:tr>
      <w:tr w:rsidR="0041039A" w:rsidRPr="0041039A" w:rsidTr="00C955E6">
        <w:tc>
          <w:tcPr>
            <w:tcW w:w="3227" w:type="dxa"/>
          </w:tcPr>
          <w:p w:rsidR="0041039A" w:rsidRPr="0041039A" w:rsidRDefault="0041039A" w:rsidP="00C955E6">
            <w:pPr>
              <w:keepNext/>
              <w:widowControl/>
              <w:tabs>
                <w:tab w:val="left" w:pos="-1512"/>
                <w:tab w:val="left" w:pos="-1080"/>
                <w:tab w:val="left" w:pos="-792"/>
                <w:tab w:val="left" w:pos="-72"/>
                <w:tab w:val="left" w:pos="1368"/>
                <w:tab w:val="left" w:pos="2088"/>
                <w:tab w:val="left" w:pos="2808"/>
                <w:tab w:val="left" w:pos="3528"/>
                <w:tab w:val="left" w:pos="4248"/>
                <w:tab w:val="left" w:pos="4968"/>
                <w:tab w:val="left" w:pos="5688"/>
                <w:tab w:val="left" w:pos="6408"/>
                <w:tab w:val="left" w:pos="7128"/>
                <w:tab w:val="left" w:pos="7848"/>
              </w:tabs>
              <w:jc w:val="center"/>
              <w:outlineLvl w:val="4"/>
              <w:rPr>
                <w:rFonts w:ascii="Arial" w:hAnsi="Arial"/>
                <w:sz w:val="22"/>
                <w:szCs w:val="22"/>
              </w:rPr>
            </w:pPr>
            <w:r w:rsidRPr="0041039A">
              <w:rPr>
                <w:rFonts w:ascii="Arial" w:hAnsi="Arial"/>
                <w:sz w:val="22"/>
                <w:szCs w:val="22"/>
              </w:rPr>
              <w:t>Cardiomyopathy</w:t>
            </w:r>
          </w:p>
        </w:tc>
        <w:tc>
          <w:tcPr>
            <w:tcW w:w="3119" w:type="dxa"/>
          </w:tcPr>
          <w:p w:rsidR="0041039A" w:rsidRPr="0041039A" w:rsidRDefault="0041039A" w:rsidP="00C955E6">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center"/>
              <w:outlineLvl w:val="4"/>
              <w:rPr>
                <w:rFonts w:ascii="Arial" w:hAnsi="Arial"/>
                <w:sz w:val="22"/>
                <w:szCs w:val="22"/>
              </w:rPr>
            </w:pPr>
            <w:r w:rsidRPr="0041039A">
              <w:rPr>
                <w:rFonts w:ascii="Arial" w:hAnsi="Arial"/>
                <w:sz w:val="22"/>
                <w:szCs w:val="22"/>
              </w:rPr>
              <w:t>Lactate (P),</w:t>
            </w:r>
          </w:p>
          <w:p w:rsidR="0041039A" w:rsidRPr="0041039A" w:rsidRDefault="0041039A" w:rsidP="00C955E6">
            <w:pPr>
              <w:jc w:val="center"/>
              <w:rPr>
                <w:rFonts w:ascii="Arial" w:hAnsi="Arial"/>
                <w:sz w:val="22"/>
                <w:szCs w:val="22"/>
              </w:rPr>
            </w:pPr>
            <w:r w:rsidRPr="0041039A">
              <w:rPr>
                <w:rFonts w:ascii="Arial" w:hAnsi="Arial"/>
                <w:sz w:val="22"/>
                <w:szCs w:val="22"/>
              </w:rPr>
              <w:t>Oligosaccharides (U),</w:t>
            </w:r>
          </w:p>
          <w:p w:rsidR="0041039A" w:rsidRPr="0041039A" w:rsidRDefault="0041039A" w:rsidP="00C955E6">
            <w:pPr>
              <w:jc w:val="center"/>
              <w:rPr>
                <w:rFonts w:ascii="Arial" w:hAnsi="Arial"/>
                <w:sz w:val="22"/>
                <w:szCs w:val="22"/>
              </w:rPr>
            </w:pPr>
            <w:r w:rsidRPr="0041039A">
              <w:rPr>
                <w:rFonts w:ascii="Arial" w:hAnsi="Arial"/>
                <w:sz w:val="22"/>
                <w:szCs w:val="22"/>
              </w:rPr>
              <w:t>Organic acids (U)</w:t>
            </w:r>
          </w:p>
          <w:p w:rsidR="0041039A" w:rsidRPr="0041039A" w:rsidRDefault="0041039A" w:rsidP="00C955E6">
            <w:pPr>
              <w:jc w:val="center"/>
              <w:rPr>
                <w:rFonts w:ascii="Arial" w:hAnsi="Arial"/>
                <w:sz w:val="22"/>
                <w:szCs w:val="22"/>
              </w:rPr>
            </w:pPr>
            <w:r w:rsidRPr="0041039A">
              <w:rPr>
                <w:rFonts w:ascii="Arial" w:hAnsi="Arial"/>
                <w:sz w:val="22"/>
                <w:szCs w:val="22"/>
              </w:rPr>
              <w:t>Glycosaminoglycans (U)</w:t>
            </w:r>
          </w:p>
          <w:p w:rsidR="0041039A" w:rsidRPr="0041039A" w:rsidRDefault="0041039A" w:rsidP="00C955E6">
            <w:pPr>
              <w:jc w:val="center"/>
              <w:rPr>
                <w:rFonts w:ascii="Arial" w:hAnsi="Arial"/>
                <w:sz w:val="22"/>
                <w:szCs w:val="22"/>
              </w:rPr>
            </w:pPr>
            <w:r w:rsidRPr="0041039A">
              <w:rPr>
                <w:rFonts w:ascii="Arial" w:hAnsi="Arial"/>
                <w:sz w:val="22"/>
                <w:szCs w:val="22"/>
              </w:rPr>
              <w:t>Carnitine (P)</w:t>
            </w:r>
          </w:p>
          <w:p w:rsidR="0041039A" w:rsidRPr="0041039A" w:rsidRDefault="0041039A" w:rsidP="00C955E6">
            <w:pPr>
              <w:jc w:val="center"/>
              <w:rPr>
                <w:rFonts w:ascii="Arial" w:hAnsi="Arial"/>
                <w:sz w:val="22"/>
                <w:szCs w:val="22"/>
              </w:rPr>
            </w:pPr>
            <w:r w:rsidRPr="0041039A">
              <w:rPr>
                <w:rFonts w:ascii="Arial" w:hAnsi="Arial"/>
                <w:sz w:val="22"/>
                <w:szCs w:val="22"/>
              </w:rPr>
              <w:t>Amino acids (P)</w:t>
            </w:r>
          </w:p>
          <w:p w:rsidR="0041039A" w:rsidRPr="0041039A" w:rsidRDefault="0041039A" w:rsidP="00C955E6">
            <w:pPr>
              <w:jc w:val="center"/>
              <w:rPr>
                <w:rFonts w:ascii="Arial" w:hAnsi="Arial"/>
                <w:sz w:val="22"/>
                <w:szCs w:val="22"/>
              </w:rPr>
            </w:pPr>
            <w:r w:rsidRPr="0041039A">
              <w:rPr>
                <w:rFonts w:ascii="Arial" w:hAnsi="Arial"/>
                <w:sz w:val="22"/>
                <w:szCs w:val="22"/>
              </w:rPr>
              <w:t>TFT (S)</w:t>
            </w:r>
          </w:p>
        </w:tc>
        <w:tc>
          <w:tcPr>
            <w:tcW w:w="3119" w:type="dxa"/>
          </w:tcPr>
          <w:p w:rsidR="0041039A" w:rsidRPr="0041039A" w:rsidRDefault="0041039A" w:rsidP="00C955E6">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center"/>
              <w:outlineLvl w:val="4"/>
              <w:rPr>
                <w:rFonts w:ascii="Arial" w:hAnsi="Arial"/>
                <w:sz w:val="22"/>
                <w:szCs w:val="22"/>
              </w:rPr>
            </w:pPr>
            <w:r w:rsidRPr="0041039A">
              <w:rPr>
                <w:rFonts w:ascii="Arial" w:hAnsi="Arial"/>
                <w:sz w:val="22"/>
                <w:szCs w:val="22"/>
              </w:rPr>
              <w:t>Glycogen storage type II (Pompe’s)</w:t>
            </w:r>
          </w:p>
          <w:p w:rsidR="0041039A" w:rsidRPr="0041039A" w:rsidRDefault="0041039A" w:rsidP="00C955E6">
            <w:pPr>
              <w:jc w:val="center"/>
              <w:rPr>
                <w:rFonts w:ascii="Arial" w:hAnsi="Arial"/>
                <w:sz w:val="22"/>
                <w:szCs w:val="22"/>
              </w:rPr>
            </w:pPr>
            <w:r w:rsidRPr="0041039A">
              <w:rPr>
                <w:rFonts w:ascii="Arial" w:hAnsi="Arial"/>
                <w:sz w:val="22"/>
                <w:szCs w:val="22"/>
              </w:rPr>
              <w:t>Fatty acid oxidation disorders</w:t>
            </w:r>
          </w:p>
          <w:p w:rsidR="0041039A" w:rsidRPr="0041039A" w:rsidRDefault="0041039A" w:rsidP="00C955E6">
            <w:pPr>
              <w:jc w:val="center"/>
              <w:rPr>
                <w:rFonts w:ascii="Arial" w:hAnsi="Arial"/>
                <w:sz w:val="22"/>
                <w:szCs w:val="22"/>
              </w:rPr>
            </w:pPr>
            <w:r w:rsidRPr="0041039A">
              <w:rPr>
                <w:rFonts w:ascii="Arial" w:hAnsi="Arial"/>
                <w:sz w:val="22"/>
                <w:szCs w:val="22"/>
              </w:rPr>
              <w:t>Tyrosinaemia (type I)</w:t>
            </w:r>
          </w:p>
          <w:p w:rsidR="0041039A" w:rsidRPr="0041039A" w:rsidRDefault="0041039A" w:rsidP="00C955E6">
            <w:pPr>
              <w:jc w:val="center"/>
              <w:rPr>
                <w:rFonts w:ascii="Arial" w:hAnsi="Arial"/>
                <w:sz w:val="22"/>
                <w:szCs w:val="22"/>
              </w:rPr>
            </w:pPr>
            <w:r w:rsidRPr="0041039A">
              <w:rPr>
                <w:rFonts w:ascii="Arial" w:hAnsi="Arial"/>
                <w:sz w:val="22"/>
                <w:szCs w:val="22"/>
              </w:rPr>
              <w:t>Mucopolysaccharidosis</w:t>
            </w:r>
          </w:p>
        </w:tc>
      </w:tr>
    </w:tbl>
    <w:p w:rsidR="0041039A" w:rsidRPr="0041039A" w:rsidRDefault="0041039A" w:rsidP="0041039A">
      <w:pPr>
        <w:rPr>
          <w:rFonts w:ascii="Arial" w:hAnsi="Arial"/>
          <w:i/>
          <w:sz w:val="22"/>
          <w:szCs w:val="22"/>
        </w:rPr>
      </w:pPr>
      <w:r w:rsidRPr="0041039A">
        <w:rPr>
          <w:rFonts w:ascii="Arial" w:hAnsi="Arial"/>
          <w:i/>
          <w:sz w:val="22"/>
          <w:szCs w:val="22"/>
        </w:rPr>
        <w:t>Blood (B), Plasma (P), Serum (S), Urine (U)</w:t>
      </w:r>
    </w:p>
    <w:p w:rsidR="0041039A" w:rsidRPr="0041039A" w:rsidRDefault="0041039A" w:rsidP="0041039A">
      <w:pPr>
        <w:jc w:val="both"/>
        <w:rPr>
          <w:sz w:val="22"/>
          <w:szCs w:val="22"/>
        </w:rPr>
      </w:pPr>
    </w:p>
    <w:p w:rsidR="0041039A" w:rsidRPr="0041039A" w:rsidRDefault="0041039A" w:rsidP="00B66AC9">
      <w:pPr>
        <w:keepNext/>
        <w:widowControl/>
        <w:numPr>
          <w:ilvl w:val="0"/>
          <w:numId w:val="33"/>
        </w:numPr>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outlineLvl w:val="4"/>
        <w:rPr>
          <w:rFonts w:ascii="Arial" w:hAnsi="Arial"/>
          <w:b/>
          <w:sz w:val="22"/>
          <w:szCs w:val="22"/>
        </w:rPr>
      </w:pPr>
      <w:r w:rsidRPr="0041039A">
        <w:rPr>
          <w:rFonts w:ascii="Arial" w:hAnsi="Arial"/>
          <w:b/>
          <w:sz w:val="22"/>
          <w:szCs w:val="22"/>
        </w:rPr>
        <w:t>Cystic Fibrosis</w:t>
      </w:r>
    </w:p>
    <w:p w:rsidR="0041039A" w:rsidRPr="0041039A" w:rsidRDefault="0041039A" w:rsidP="00B66AC9">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ind w:left="357"/>
        <w:contextualSpacing/>
        <w:jc w:val="both"/>
        <w:outlineLvl w:val="4"/>
        <w:rPr>
          <w:sz w:val="22"/>
          <w:szCs w:val="22"/>
        </w:rPr>
      </w:pPr>
      <w:r w:rsidRPr="0041039A">
        <w:rPr>
          <w:rFonts w:ascii="Arial" w:hAnsi="Arial"/>
          <w:sz w:val="22"/>
          <w:szCs w:val="22"/>
        </w:rPr>
        <w:t>The incidence of cystic fibrosis (CF) in the UK is 1 in 2500 live births.  There is a national screening programme for CF. Identification of heterozygotes is also possible using mutation analysis. However, the gold standard test for diagnosing CF in symptomatic infants remains the sweat test with measurement of sweat chloride concentration.  Sweat tests are carried out by ward staff using the Wescor Macroduct method of sweat collection followed by laboratory measurement of chloride concentration.</w:t>
      </w:r>
    </w:p>
    <w:p w:rsidR="0041039A" w:rsidRPr="0041039A" w:rsidRDefault="0041039A" w:rsidP="0041039A">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both"/>
        <w:outlineLvl w:val="4"/>
        <w:rPr>
          <w:rFonts w:ascii="Arial" w:hAnsi="Arial"/>
          <w:sz w:val="22"/>
          <w:szCs w:val="22"/>
        </w:rPr>
      </w:pPr>
    </w:p>
    <w:p w:rsidR="0041039A" w:rsidRPr="0041039A" w:rsidRDefault="0041039A" w:rsidP="0041039A">
      <w:pPr>
        <w:rPr>
          <w:sz w:val="22"/>
          <w:szCs w:val="22"/>
        </w:rPr>
      </w:pPr>
    </w:p>
    <w:p w:rsidR="0041039A" w:rsidRPr="0041039A" w:rsidRDefault="0041039A" w:rsidP="0041039A">
      <w:pPr>
        <w:widowControl/>
        <w:rPr>
          <w:rFonts w:ascii="Arial" w:hAnsi="Arial"/>
          <w:b/>
          <w:snapToGrid/>
          <w:szCs w:val="24"/>
        </w:rPr>
      </w:pPr>
      <w:r w:rsidRPr="0041039A">
        <w:rPr>
          <w:rFonts w:ascii="Arial" w:hAnsi="Arial"/>
          <w:b/>
          <w:snapToGrid/>
          <w:szCs w:val="24"/>
        </w:rPr>
        <w:t>TOXICOLOGY INVESTIGATIONS</w:t>
      </w:r>
    </w:p>
    <w:p w:rsidR="0041039A" w:rsidRPr="0041039A" w:rsidRDefault="0041039A" w:rsidP="0041039A">
      <w:pPr>
        <w:widowControl/>
        <w:rPr>
          <w:rFonts w:ascii="Arial" w:hAnsi="Arial"/>
          <w:i/>
          <w:snapToGrid/>
          <w:sz w:val="22"/>
          <w:szCs w:val="22"/>
        </w:rPr>
      </w:pPr>
    </w:p>
    <w:p w:rsidR="0041039A" w:rsidRPr="0041039A" w:rsidRDefault="0041039A" w:rsidP="00F2772D">
      <w:pPr>
        <w:widowControl/>
        <w:shd w:val="clear" w:color="auto" w:fill="FFFFFF"/>
        <w:spacing w:line="360" w:lineRule="auto"/>
        <w:contextualSpacing/>
        <w:jc w:val="both"/>
        <w:rPr>
          <w:rFonts w:ascii="Arial" w:hAnsi="Arial" w:cs="Arial"/>
          <w:snapToGrid/>
          <w:sz w:val="22"/>
          <w:szCs w:val="22"/>
          <w:lang w:eastAsia="en-GB"/>
        </w:rPr>
      </w:pPr>
      <w:r w:rsidRPr="0041039A">
        <w:rPr>
          <w:rFonts w:ascii="Arial" w:hAnsi="Arial"/>
          <w:snapToGrid/>
          <w:sz w:val="22"/>
          <w:szCs w:val="22"/>
          <w:lang w:eastAsia="en-GB"/>
        </w:rPr>
        <w:t xml:space="preserve">(Adapted from: </w:t>
      </w:r>
      <w:hyperlink r:id="rId36" w:history="1">
        <w:r w:rsidRPr="0041039A">
          <w:rPr>
            <w:rFonts w:ascii="Arial" w:hAnsi="Arial" w:cs="Arial"/>
            <w:snapToGrid/>
            <w:sz w:val="22"/>
            <w:szCs w:val="22"/>
            <w:lang w:eastAsia="en-GB"/>
          </w:rPr>
          <w:t>Guidelines for laboratory analyses for poisoned patients in the United Kingdom.</w:t>
        </w:r>
      </w:hyperlink>
      <w:r w:rsidRPr="0041039A">
        <w:rPr>
          <w:rFonts w:ascii="Arial" w:hAnsi="Arial" w:cs="Arial"/>
          <w:snapToGrid/>
          <w:sz w:val="22"/>
          <w:szCs w:val="22"/>
          <w:lang w:eastAsia="en-GB"/>
        </w:rPr>
        <w:t xml:space="preserve"> Thompson JP, </w:t>
      </w:r>
      <w:r w:rsidRPr="0041039A">
        <w:rPr>
          <w:rFonts w:ascii="Arial" w:hAnsi="Arial" w:cs="Arial"/>
          <w:bCs/>
          <w:snapToGrid/>
          <w:sz w:val="22"/>
          <w:szCs w:val="22"/>
          <w:lang w:eastAsia="en-GB"/>
        </w:rPr>
        <w:t>et al</w:t>
      </w:r>
      <w:r w:rsidRPr="0041039A">
        <w:rPr>
          <w:rFonts w:ascii="Arial" w:hAnsi="Arial" w:cs="Arial"/>
          <w:snapToGrid/>
          <w:sz w:val="22"/>
          <w:szCs w:val="22"/>
          <w:lang w:eastAsia="en-GB"/>
        </w:rPr>
        <w:t>. Ann Clin Biochem. 2014 May;51:312-25)</w:t>
      </w:r>
    </w:p>
    <w:p w:rsidR="0041039A" w:rsidRPr="0041039A" w:rsidRDefault="0041039A" w:rsidP="00F2772D">
      <w:pPr>
        <w:widowControl/>
        <w:spacing w:line="360" w:lineRule="auto"/>
        <w:contextualSpacing/>
        <w:jc w:val="both"/>
        <w:rPr>
          <w:rFonts w:ascii="Arial" w:hAnsi="Arial"/>
          <w:snapToGrid/>
          <w:sz w:val="22"/>
          <w:szCs w:val="22"/>
        </w:rPr>
      </w:pPr>
    </w:p>
    <w:p w:rsidR="0041039A" w:rsidRPr="0041039A" w:rsidRDefault="0041039A" w:rsidP="00F2772D">
      <w:pPr>
        <w:widowControl/>
        <w:autoSpaceDE w:val="0"/>
        <w:autoSpaceDN w:val="0"/>
        <w:adjustRightInd w:val="0"/>
        <w:spacing w:line="360" w:lineRule="auto"/>
        <w:contextualSpacing/>
        <w:jc w:val="both"/>
        <w:rPr>
          <w:rFonts w:ascii="Arial" w:hAnsi="Arial" w:cs="Arial"/>
          <w:snapToGrid/>
          <w:color w:val="0000FF"/>
          <w:sz w:val="22"/>
          <w:szCs w:val="22"/>
          <w:u w:val="single"/>
          <w:lang w:eastAsia="en-GB"/>
        </w:rPr>
      </w:pPr>
      <w:r w:rsidRPr="0041039A">
        <w:rPr>
          <w:rFonts w:ascii="Arial" w:hAnsi="Arial" w:cs="Arial"/>
          <w:sz w:val="22"/>
          <w:szCs w:val="22"/>
        </w:rPr>
        <w:t xml:space="preserve">Clinical advice on poisoning for healthcare professionals can be obtained from National Poison’s information Service on </w:t>
      </w:r>
      <w:r w:rsidRPr="0041039A">
        <w:rPr>
          <w:rFonts w:ascii="Arial" w:hAnsi="Arial" w:cs="Arial"/>
          <w:snapToGrid/>
          <w:sz w:val="22"/>
          <w:szCs w:val="22"/>
          <w:lang w:eastAsia="en-GB"/>
        </w:rPr>
        <w:t>0</w:t>
      </w:r>
      <w:r w:rsidR="00F2772D">
        <w:rPr>
          <w:rFonts w:ascii="Arial" w:hAnsi="Arial" w:cs="Arial"/>
          <w:snapToGrid/>
          <w:sz w:val="22"/>
          <w:szCs w:val="22"/>
          <w:lang w:eastAsia="en-GB"/>
        </w:rPr>
        <w:t>3</w:t>
      </w:r>
      <w:r w:rsidRPr="0041039A">
        <w:rPr>
          <w:rFonts w:ascii="Arial" w:hAnsi="Arial" w:cs="Arial"/>
          <w:snapToGrid/>
          <w:sz w:val="22"/>
          <w:szCs w:val="22"/>
          <w:lang w:eastAsia="en-GB"/>
        </w:rPr>
        <w:t xml:space="preserve">44 892 0111 </w:t>
      </w:r>
      <w:r w:rsidRPr="0041039A">
        <w:rPr>
          <w:rFonts w:ascii="Arial" w:hAnsi="Arial" w:cs="Arial"/>
          <w:snapToGrid/>
          <w:color w:val="000000"/>
          <w:sz w:val="22"/>
          <w:szCs w:val="22"/>
          <w:lang w:eastAsia="en-GB"/>
        </w:rPr>
        <w:t xml:space="preserve">or </w:t>
      </w:r>
      <w:hyperlink r:id="rId37" w:history="1">
        <w:r w:rsidRPr="0041039A">
          <w:rPr>
            <w:rFonts w:ascii="Arial" w:hAnsi="Arial" w:cs="Arial"/>
            <w:color w:val="0000FF"/>
            <w:sz w:val="22"/>
            <w:szCs w:val="22"/>
            <w:u w:val="single"/>
            <w:lang w:eastAsia="en-GB"/>
          </w:rPr>
          <w:t>http://www.toxbase.org</w:t>
        </w:r>
      </w:hyperlink>
      <w:r w:rsidRPr="0041039A">
        <w:rPr>
          <w:rFonts w:ascii="Arial" w:hAnsi="Arial" w:cs="Arial"/>
          <w:snapToGrid/>
          <w:color w:val="000000"/>
          <w:sz w:val="22"/>
          <w:szCs w:val="22"/>
          <w:lang w:eastAsia="en-GB"/>
        </w:rPr>
        <w:t xml:space="preserve">. </w:t>
      </w:r>
    </w:p>
    <w:p w:rsidR="0041039A" w:rsidRPr="0041039A" w:rsidRDefault="0041039A" w:rsidP="0041039A">
      <w:pPr>
        <w:keepNext/>
        <w:spacing w:before="240" w:after="120"/>
        <w:ind w:right="96"/>
        <w:outlineLvl w:val="0"/>
        <w:rPr>
          <w:rFonts w:ascii="Arial" w:hAnsi="Arial"/>
          <w:b/>
          <w:kern w:val="28"/>
          <w:sz w:val="22"/>
          <w:szCs w:val="22"/>
        </w:rPr>
      </w:pPr>
      <w:r w:rsidRPr="0041039A">
        <w:rPr>
          <w:rFonts w:ascii="Arial" w:hAnsi="Arial"/>
          <w:b/>
          <w:kern w:val="28"/>
          <w:sz w:val="22"/>
          <w:szCs w:val="22"/>
        </w:rPr>
        <w:t>Carbamazepine</w:t>
      </w:r>
    </w:p>
    <w:p w:rsidR="0041039A" w:rsidRPr="0041039A" w:rsidRDefault="0041039A" w:rsidP="00F2772D">
      <w:pPr>
        <w:keepNext/>
        <w:widowControl/>
        <w:numPr>
          <w:ilvl w:val="0"/>
          <w:numId w:val="6"/>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6"/>
        <w:contextualSpacing/>
        <w:jc w:val="both"/>
        <w:rPr>
          <w:rFonts w:ascii="Arial" w:hAnsi="Arial"/>
          <w:sz w:val="22"/>
          <w:szCs w:val="22"/>
        </w:rPr>
      </w:pPr>
      <w:r w:rsidRPr="0041039A">
        <w:rPr>
          <w:rFonts w:ascii="Arial" w:hAnsi="Arial"/>
          <w:sz w:val="22"/>
          <w:szCs w:val="22"/>
        </w:rPr>
        <w:t>The acute management of carbamazepine poisoning, including the need for multiple doses of oral activated charcoal, is determined by the clinical picture. There is no need for a carbamazepine assay in the great majority of patients who have taken an overdose</w:t>
      </w:r>
    </w:p>
    <w:p w:rsidR="0041039A" w:rsidRPr="0041039A" w:rsidRDefault="0041039A" w:rsidP="00F2772D">
      <w:pPr>
        <w:keepNext/>
        <w:widowControl/>
        <w:numPr>
          <w:ilvl w:val="0"/>
          <w:numId w:val="6"/>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6"/>
        <w:contextualSpacing/>
        <w:jc w:val="both"/>
        <w:rPr>
          <w:rFonts w:ascii="Arial" w:hAnsi="Arial"/>
          <w:sz w:val="22"/>
          <w:szCs w:val="22"/>
        </w:rPr>
      </w:pPr>
      <w:r w:rsidRPr="0041039A">
        <w:rPr>
          <w:rFonts w:ascii="Arial" w:hAnsi="Arial"/>
          <w:sz w:val="22"/>
          <w:szCs w:val="22"/>
        </w:rPr>
        <w:t>Urgent measurement of serum carbamazepine concentrations is only required when multiple dose activated charcoal is being considered or there is doubt about the diagnosis, for example in patients with</w:t>
      </w:r>
    </w:p>
    <w:p w:rsidR="0041039A" w:rsidRPr="0041039A" w:rsidRDefault="0041039A" w:rsidP="00F2772D">
      <w:pPr>
        <w:widowControl/>
        <w:numPr>
          <w:ilvl w:val="0"/>
          <w:numId w:val="7"/>
        </w:numPr>
        <w:tabs>
          <w:tab w:val="left" w:pos="-1080"/>
          <w:tab w:val="left" w:pos="-360"/>
          <w:tab w:val="num"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714" w:right="96" w:hanging="357"/>
        <w:contextualSpacing/>
        <w:jc w:val="both"/>
        <w:rPr>
          <w:rFonts w:ascii="Arial" w:hAnsi="Arial"/>
          <w:sz w:val="22"/>
          <w:szCs w:val="22"/>
        </w:rPr>
      </w:pPr>
      <w:r w:rsidRPr="0041039A">
        <w:rPr>
          <w:rFonts w:ascii="Arial" w:hAnsi="Arial"/>
          <w:sz w:val="22"/>
          <w:szCs w:val="22"/>
        </w:rPr>
        <w:t>Coma</w:t>
      </w:r>
    </w:p>
    <w:p w:rsidR="0041039A" w:rsidRPr="0041039A" w:rsidRDefault="0041039A" w:rsidP="00F2772D">
      <w:pPr>
        <w:widowControl/>
        <w:numPr>
          <w:ilvl w:val="0"/>
          <w:numId w:val="7"/>
        </w:numPr>
        <w:tabs>
          <w:tab w:val="left" w:pos="-1080"/>
          <w:tab w:val="left" w:pos="-360"/>
          <w:tab w:val="num"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714" w:right="96" w:hanging="357"/>
        <w:contextualSpacing/>
        <w:jc w:val="both"/>
        <w:rPr>
          <w:rFonts w:ascii="Arial" w:hAnsi="Arial"/>
          <w:sz w:val="22"/>
          <w:szCs w:val="22"/>
        </w:rPr>
      </w:pPr>
      <w:r w:rsidRPr="0041039A">
        <w:rPr>
          <w:rFonts w:ascii="Arial" w:hAnsi="Arial"/>
          <w:sz w:val="22"/>
          <w:szCs w:val="22"/>
        </w:rPr>
        <w:t>Respiratory depression</w:t>
      </w:r>
    </w:p>
    <w:p w:rsidR="0041039A" w:rsidRPr="0041039A" w:rsidRDefault="0041039A" w:rsidP="00F2772D">
      <w:pPr>
        <w:widowControl/>
        <w:numPr>
          <w:ilvl w:val="0"/>
          <w:numId w:val="7"/>
        </w:numPr>
        <w:tabs>
          <w:tab w:val="left" w:pos="-1080"/>
          <w:tab w:val="left" w:pos="-360"/>
          <w:tab w:val="num"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714" w:right="96" w:hanging="357"/>
        <w:contextualSpacing/>
        <w:jc w:val="both"/>
        <w:rPr>
          <w:rFonts w:ascii="Arial" w:hAnsi="Arial"/>
          <w:sz w:val="22"/>
          <w:szCs w:val="22"/>
        </w:rPr>
      </w:pPr>
      <w:r w:rsidRPr="0041039A">
        <w:rPr>
          <w:rFonts w:ascii="Arial" w:hAnsi="Arial"/>
          <w:sz w:val="22"/>
          <w:szCs w:val="22"/>
        </w:rPr>
        <w:t>Arrhythmias</w:t>
      </w:r>
    </w:p>
    <w:p w:rsidR="0041039A" w:rsidRPr="0041039A" w:rsidRDefault="0041039A" w:rsidP="00F2772D">
      <w:pPr>
        <w:widowControl/>
        <w:numPr>
          <w:ilvl w:val="0"/>
          <w:numId w:val="8"/>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6"/>
        <w:contextualSpacing/>
        <w:jc w:val="both"/>
        <w:rPr>
          <w:rFonts w:ascii="Arial" w:hAnsi="Arial"/>
          <w:sz w:val="22"/>
          <w:szCs w:val="22"/>
        </w:rPr>
      </w:pPr>
      <w:r w:rsidRPr="0041039A">
        <w:rPr>
          <w:rFonts w:ascii="Arial" w:hAnsi="Arial"/>
          <w:sz w:val="22"/>
          <w:szCs w:val="22"/>
        </w:rPr>
        <w:t xml:space="preserve">Serious complications are unusual at serum concentrations less than 25 mg/L. Most patients with life threatening toxicity have serum carbamazepine concentrations in excess of 40 mg/L </w:t>
      </w:r>
    </w:p>
    <w:p w:rsidR="0041039A" w:rsidRPr="0041039A" w:rsidRDefault="0041039A" w:rsidP="00F2772D">
      <w:pPr>
        <w:widowControl/>
        <w:numPr>
          <w:ilvl w:val="0"/>
          <w:numId w:val="8"/>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8"/>
        <w:contextualSpacing/>
        <w:jc w:val="both"/>
        <w:rPr>
          <w:rFonts w:ascii="Arial" w:hAnsi="Arial"/>
          <w:sz w:val="22"/>
          <w:szCs w:val="22"/>
        </w:rPr>
      </w:pPr>
      <w:r w:rsidRPr="0041039A">
        <w:rPr>
          <w:rFonts w:ascii="Arial" w:hAnsi="Arial"/>
          <w:sz w:val="22"/>
          <w:szCs w:val="22"/>
        </w:rPr>
        <w:t xml:space="preserve">Non-urgent measurement is helpful to determine when to restart chronic carbamazepine therapy.  </w:t>
      </w:r>
    </w:p>
    <w:p w:rsidR="0041039A" w:rsidRPr="0041039A" w:rsidRDefault="0041039A" w:rsidP="0041039A">
      <w:pPr>
        <w:keepNext/>
        <w:spacing w:before="240" w:after="120"/>
        <w:ind w:right="98"/>
        <w:outlineLvl w:val="0"/>
        <w:rPr>
          <w:rFonts w:ascii="Arial" w:hAnsi="Arial"/>
          <w:kern w:val="28"/>
          <w:sz w:val="22"/>
          <w:szCs w:val="22"/>
        </w:rPr>
      </w:pPr>
      <w:r w:rsidRPr="0041039A">
        <w:rPr>
          <w:rFonts w:ascii="Arial" w:hAnsi="Arial"/>
          <w:b/>
          <w:kern w:val="28"/>
          <w:sz w:val="22"/>
          <w:szCs w:val="22"/>
        </w:rPr>
        <w:t>Carboxyhaemoglobin</w:t>
      </w:r>
    </w:p>
    <w:p w:rsidR="0041039A" w:rsidRPr="0041039A" w:rsidRDefault="0041039A" w:rsidP="00365C54">
      <w:pPr>
        <w:numPr>
          <w:ilvl w:val="0"/>
          <w:numId w:val="9"/>
        </w:numPr>
        <w:spacing w:line="360" w:lineRule="auto"/>
        <w:ind w:right="96"/>
        <w:contextualSpacing/>
        <w:jc w:val="both"/>
        <w:rPr>
          <w:rFonts w:ascii="Arial" w:hAnsi="Arial"/>
          <w:sz w:val="22"/>
          <w:szCs w:val="22"/>
        </w:rPr>
      </w:pPr>
      <w:r w:rsidRPr="0041039A">
        <w:rPr>
          <w:rFonts w:ascii="Arial" w:hAnsi="Arial"/>
          <w:sz w:val="22"/>
          <w:szCs w:val="22"/>
        </w:rPr>
        <w:t>Carboxyhaemoglobin should be measured urgently in all patients with suspected carbon monoxide poisoning (including those with suspected smoke inhalation)</w:t>
      </w:r>
    </w:p>
    <w:p w:rsidR="0041039A" w:rsidRPr="0041039A" w:rsidRDefault="0041039A" w:rsidP="00365C54">
      <w:pPr>
        <w:numPr>
          <w:ilvl w:val="0"/>
          <w:numId w:val="9"/>
        </w:numPr>
        <w:spacing w:line="360" w:lineRule="auto"/>
        <w:ind w:right="96"/>
        <w:contextualSpacing/>
        <w:jc w:val="both"/>
        <w:rPr>
          <w:rFonts w:ascii="Arial" w:hAnsi="Arial"/>
          <w:sz w:val="22"/>
          <w:szCs w:val="22"/>
        </w:rPr>
      </w:pPr>
      <w:r w:rsidRPr="0041039A">
        <w:rPr>
          <w:rFonts w:ascii="Arial" w:hAnsi="Arial"/>
          <w:sz w:val="22"/>
          <w:szCs w:val="22"/>
        </w:rPr>
        <w:t xml:space="preserve">A carboxyhaemoglobin percentage of </w:t>
      </w:r>
      <w:r w:rsidRPr="0041039A">
        <w:rPr>
          <w:rFonts w:ascii="Arial" w:hAnsi="Arial"/>
          <w:sz w:val="22"/>
          <w:szCs w:val="22"/>
        </w:rPr>
        <w:sym w:font="Symbol" w:char="F0B3"/>
      </w:r>
      <w:r w:rsidRPr="0041039A">
        <w:rPr>
          <w:rFonts w:ascii="Arial" w:hAnsi="Arial"/>
          <w:sz w:val="22"/>
          <w:szCs w:val="22"/>
        </w:rPr>
        <w:t>20% indicates significant exposure. However, concentrations less than this do not exclude significant poisoning and the relationship between carboxyhaemoglobin and severity of poisoning and/or clinical outcome is poor</w:t>
      </w:r>
    </w:p>
    <w:p w:rsidR="0041039A" w:rsidRPr="0041039A" w:rsidRDefault="0041039A" w:rsidP="00365C54">
      <w:pPr>
        <w:numPr>
          <w:ilvl w:val="0"/>
          <w:numId w:val="9"/>
        </w:numPr>
        <w:spacing w:line="360" w:lineRule="auto"/>
        <w:ind w:right="96"/>
        <w:contextualSpacing/>
        <w:jc w:val="both"/>
        <w:rPr>
          <w:rFonts w:ascii="Arial" w:hAnsi="Arial"/>
          <w:sz w:val="22"/>
          <w:szCs w:val="22"/>
        </w:rPr>
      </w:pPr>
      <w:r w:rsidRPr="0041039A">
        <w:rPr>
          <w:rFonts w:ascii="Arial" w:hAnsi="Arial"/>
          <w:sz w:val="22"/>
          <w:szCs w:val="22"/>
        </w:rPr>
        <w:t>Management should be determined by the clinical condition of the patient rather than the carboxyhaemoglobin concentration</w:t>
      </w:r>
      <w:r w:rsidRPr="0041039A">
        <w:rPr>
          <w:rFonts w:ascii="Arial" w:hAnsi="Arial"/>
          <w:color w:val="0000FF"/>
          <w:sz w:val="22"/>
          <w:szCs w:val="22"/>
        </w:rPr>
        <w:t xml:space="preserve"> </w:t>
      </w:r>
    </w:p>
    <w:p w:rsidR="0041039A" w:rsidRPr="0041039A" w:rsidRDefault="0041039A" w:rsidP="00365C54">
      <w:pPr>
        <w:numPr>
          <w:ilvl w:val="0"/>
          <w:numId w:val="9"/>
        </w:numPr>
        <w:spacing w:line="360" w:lineRule="auto"/>
        <w:ind w:right="96"/>
        <w:contextualSpacing/>
        <w:jc w:val="both"/>
        <w:rPr>
          <w:rFonts w:ascii="Arial" w:hAnsi="Arial"/>
          <w:sz w:val="22"/>
          <w:szCs w:val="22"/>
        </w:rPr>
      </w:pPr>
      <w:r w:rsidRPr="0041039A">
        <w:rPr>
          <w:rFonts w:ascii="Arial" w:hAnsi="Arial"/>
          <w:sz w:val="22"/>
          <w:szCs w:val="22"/>
        </w:rPr>
        <w:t>High flow oxygen therapy should be administered pending the results of carboxyhaemoglobin measurement</w:t>
      </w:r>
    </w:p>
    <w:p w:rsidR="0041039A" w:rsidRPr="0041039A" w:rsidRDefault="0041039A" w:rsidP="00365C54">
      <w:pPr>
        <w:numPr>
          <w:ilvl w:val="0"/>
          <w:numId w:val="9"/>
        </w:numPr>
        <w:spacing w:line="360" w:lineRule="auto"/>
        <w:ind w:right="96"/>
        <w:contextualSpacing/>
        <w:jc w:val="both"/>
        <w:rPr>
          <w:rFonts w:ascii="Arial" w:hAnsi="Arial"/>
          <w:sz w:val="22"/>
          <w:szCs w:val="22"/>
        </w:rPr>
      </w:pPr>
      <w:r w:rsidRPr="0041039A">
        <w:rPr>
          <w:rFonts w:ascii="Arial" w:hAnsi="Arial"/>
          <w:sz w:val="22"/>
          <w:szCs w:val="22"/>
        </w:rPr>
        <w:t>Reference ranges:</w:t>
      </w:r>
    </w:p>
    <w:p w:rsidR="0041039A" w:rsidRPr="0041039A" w:rsidRDefault="0041039A" w:rsidP="00365C54">
      <w:pPr>
        <w:spacing w:line="360" w:lineRule="auto"/>
        <w:ind w:left="360" w:right="96"/>
        <w:contextualSpacing/>
        <w:jc w:val="both"/>
        <w:rPr>
          <w:rFonts w:ascii="Arial" w:hAnsi="Arial"/>
          <w:sz w:val="22"/>
          <w:szCs w:val="22"/>
        </w:rPr>
      </w:pPr>
      <w:r w:rsidRPr="0041039A">
        <w:rPr>
          <w:rFonts w:ascii="Arial" w:hAnsi="Arial"/>
          <w:sz w:val="22"/>
          <w:szCs w:val="22"/>
        </w:rPr>
        <w:t>Non smokers &lt;1.5%</w:t>
      </w:r>
    </w:p>
    <w:p w:rsidR="0041039A" w:rsidRPr="0041039A" w:rsidRDefault="0041039A" w:rsidP="00365C54">
      <w:pPr>
        <w:spacing w:line="360" w:lineRule="auto"/>
        <w:ind w:left="360" w:right="96"/>
        <w:contextualSpacing/>
        <w:jc w:val="both"/>
        <w:rPr>
          <w:rFonts w:ascii="Arial" w:hAnsi="Arial"/>
          <w:sz w:val="22"/>
          <w:szCs w:val="22"/>
        </w:rPr>
      </w:pPr>
      <w:r w:rsidRPr="0041039A">
        <w:rPr>
          <w:rFonts w:ascii="Arial" w:hAnsi="Arial"/>
          <w:sz w:val="22"/>
          <w:szCs w:val="22"/>
        </w:rPr>
        <w:t>Smokers 1-2 packs per day 4-5%</w:t>
      </w:r>
    </w:p>
    <w:p w:rsidR="0041039A" w:rsidRPr="0041039A" w:rsidRDefault="0041039A" w:rsidP="00365C54">
      <w:pPr>
        <w:spacing w:line="360" w:lineRule="auto"/>
        <w:ind w:left="360" w:right="96"/>
        <w:contextualSpacing/>
        <w:jc w:val="both"/>
        <w:rPr>
          <w:rFonts w:ascii="Arial" w:hAnsi="Arial"/>
          <w:sz w:val="22"/>
          <w:szCs w:val="22"/>
        </w:rPr>
      </w:pPr>
      <w:r w:rsidRPr="0041039A">
        <w:rPr>
          <w:rFonts w:ascii="Arial" w:hAnsi="Arial"/>
          <w:sz w:val="22"/>
          <w:szCs w:val="22"/>
        </w:rPr>
        <w:t>Smokers greater than 2 packs per day 8-9%</w:t>
      </w:r>
    </w:p>
    <w:p w:rsidR="0041039A" w:rsidRPr="0041039A" w:rsidRDefault="0041039A" w:rsidP="00365C54">
      <w:pPr>
        <w:spacing w:line="360" w:lineRule="auto"/>
        <w:ind w:left="360" w:right="96"/>
        <w:contextualSpacing/>
        <w:jc w:val="both"/>
        <w:rPr>
          <w:rFonts w:ascii="Arial" w:hAnsi="Arial"/>
          <w:sz w:val="22"/>
          <w:szCs w:val="22"/>
        </w:rPr>
      </w:pPr>
      <w:r w:rsidRPr="0041039A">
        <w:rPr>
          <w:rFonts w:ascii="Arial" w:hAnsi="Arial"/>
          <w:sz w:val="22"/>
          <w:szCs w:val="22"/>
        </w:rPr>
        <w:t>Values greater than 20% are considered toxic</w:t>
      </w:r>
    </w:p>
    <w:p w:rsidR="0041039A" w:rsidRPr="0041039A" w:rsidRDefault="0041039A" w:rsidP="00365C54">
      <w:pPr>
        <w:spacing w:line="360" w:lineRule="auto"/>
        <w:ind w:left="360" w:right="96"/>
        <w:contextualSpacing/>
        <w:jc w:val="both"/>
        <w:rPr>
          <w:rFonts w:ascii="Arial" w:hAnsi="Arial"/>
          <w:sz w:val="22"/>
          <w:szCs w:val="22"/>
        </w:rPr>
      </w:pPr>
      <w:r w:rsidRPr="0041039A">
        <w:rPr>
          <w:rFonts w:ascii="Arial" w:hAnsi="Arial"/>
          <w:sz w:val="22"/>
          <w:szCs w:val="22"/>
        </w:rPr>
        <w:t>Values greater than 50% are considered lethal</w:t>
      </w:r>
    </w:p>
    <w:p w:rsidR="00F2772D" w:rsidRDefault="00F2772D"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ind w:right="98"/>
        <w:rPr>
          <w:rFonts w:ascii="Arial" w:hAnsi="Arial"/>
          <w:b/>
          <w:sz w:val="22"/>
          <w:szCs w:val="22"/>
        </w:rPr>
      </w:pPr>
    </w:p>
    <w:p w:rsidR="0041039A" w:rsidRPr="0041039A" w:rsidRDefault="0041039A"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ind w:right="98"/>
        <w:rPr>
          <w:rFonts w:ascii="Arial" w:hAnsi="Arial"/>
          <w:b/>
          <w:sz w:val="22"/>
          <w:szCs w:val="22"/>
        </w:rPr>
      </w:pPr>
      <w:r w:rsidRPr="0041039A">
        <w:rPr>
          <w:rFonts w:ascii="Arial" w:hAnsi="Arial"/>
          <w:b/>
          <w:sz w:val="22"/>
          <w:szCs w:val="22"/>
        </w:rPr>
        <w:t>Digoxin</w:t>
      </w:r>
    </w:p>
    <w:p w:rsidR="0041039A" w:rsidRPr="0041039A" w:rsidRDefault="0041039A" w:rsidP="00D8441A">
      <w:pPr>
        <w:widowControl/>
        <w:numPr>
          <w:ilvl w:val="0"/>
          <w:numId w:val="10"/>
        </w:numPr>
        <w:tabs>
          <w:tab w:val="left" w:pos="-1080"/>
          <w:tab w:val="left" w:pos="-360"/>
          <w:tab w:val="num" w:pos="405"/>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sz w:val="22"/>
          <w:szCs w:val="22"/>
        </w:rPr>
      </w:pPr>
      <w:r w:rsidRPr="0041039A">
        <w:rPr>
          <w:rFonts w:ascii="Arial" w:hAnsi="Arial"/>
          <w:sz w:val="22"/>
          <w:szCs w:val="22"/>
        </w:rPr>
        <w:t>Serum digoxin concentrations correlate poorly with the severity of poisoning, especially soon after acute overdose</w:t>
      </w:r>
    </w:p>
    <w:p w:rsidR="0041039A" w:rsidRPr="0041039A" w:rsidRDefault="0041039A" w:rsidP="00D8441A">
      <w:pPr>
        <w:widowControl/>
        <w:numPr>
          <w:ilvl w:val="0"/>
          <w:numId w:val="10"/>
        </w:numPr>
        <w:tabs>
          <w:tab w:val="left" w:pos="-1080"/>
          <w:tab w:val="left" w:pos="-360"/>
          <w:tab w:val="num" w:pos="405"/>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sz w:val="22"/>
          <w:szCs w:val="22"/>
        </w:rPr>
      </w:pPr>
      <w:r w:rsidRPr="0041039A">
        <w:rPr>
          <w:rFonts w:ascii="Arial" w:hAnsi="Arial"/>
          <w:sz w:val="22"/>
          <w:szCs w:val="22"/>
        </w:rPr>
        <w:t>Severe toxicity is usually (but not invariably) associated with concentrations &gt; 4 ug/L. Hypokalaemia enhances digoxin toxicity.  In acute life-threatening poisoning, hyperkalaemia is usually present.</w:t>
      </w:r>
    </w:p>
    <w:p w:rsidR="0041039A" w:rsidRPr="0041039A" w:rsidRDefault="0041039A" w:rsidP="00D8441A">
      <w:pPr>
        <w:widowControl/>
        <w:numPr>
          <w:ilvl w:val="0"/>
          <w:numId w:val="11"/>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color w:val="0000FF"/>
          <w:sz w:val="22"/>
          <w:szCs w:val="22"/>
        </w:rPr>
      </w:pPr>
      <w:r w:rsidRPr="0041039A">
        <w:rPr>
          <w:rFonts w:ascii="Arial" w:hAnsi="Arial"/>
          <w:color w:val="000000"/>
          <w:sz w:val="22"/>
          <w:szCs w:val="22"/>
        </w:rPr>
        <w:t xml:space="preserve">Urgent </w:t>
      </w:r>
      <w:r w:rsidRPr="0041039A">
        <w:rPr>
          <w:rFonts w:ascii="Arial" w:hAnsi="Arial"/>
          <w:sz w:val="22"/>
          <w:szCs w:val="22"/>
        </w:rPr>
        <w:t xml:space="preserve">measurement of serum digoxin concentration is essential if digoxin-specific antibodies are to be used. The digoxin concentration is useful in determining an appropriate dose of digoxin specific antibodies, as well as confirming the diagnosis. </w:t>
      </w:r>
    </w:p>
    <w:p w:rsidR="0041039A" w:rsidRPr="0041039A" w:rsidRDefault="0041039A" w:rsidP="00D8441A">
      <w:pPr>
        <w:widowControl/>
        <w:numPr>
          <w:ilvl w:val="0"/>
          <w:numId w:val="11"/>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color w:val="0000FF"/>
          <w:sz w:val="22"/>
          <w:szCs w:val="22"/>
        </w:rPr>
      </w:pPr>
      <w:r w:rsidRPr="0041039A">
        <w:rPr>
          <w:rFonts w:ascii="Arial" w:hAnsi="Arial"/>
          <w:sz w:val="22"/>
          <w:szCs w:val="22"/>
        </w:rPr>
        <w:t>In patients with life threatening arrhythmias due to digoxin toxicity, treatment with digoxin-specific antibodies should not be delayed pending the results of plasma digoxin concentrations</w:t>
      </w:r>
    </w:p>
    <w:p w:rsidR="0041039A" w:rsidRPr="0041039A" w:rsidRDefault="0041039A" w:rsidP="00D8441A">
      <w:pPr>
        <w:widowControl/>
        <w:numPr>
          <w:ilvl w:val="0"/>
          <w:numId w:val="10"/>
        </w:numPr>
        <w:tabs>
          <w:tab w:val="left" w:pos="-1080"/>
          <w:tab w:val="left" w:pos="-360"/>
          <w:tab w:val="num" w:pos="405"/>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sz w:val="22"/>
          <w:szCs w:val="22"/>
        </w:rPr>
      </w:pPr>
      <w:r w:rsidRPr="0041039A">
        <w:rPr>
          <w:rFonts w:ascii="Arial" w:hAnsi="Arial"/>
          <w:sz w:val="22"/>
          <w:szCs w:val="22"/>
        </w:rPr>
        <w:t xml:space="preserve">Samples should always be taken </w:t>
      </w:r>
      <w:r w:rsidRPr="0041039A">
        <w:rPr>
          <w:rFonts w:ascii="Arial" w:hAnsi="Arial"/>
          <w:b/>
          <w:i/>
          <w:sz w:val="22"/>
          <w:szCs w:val="22"/>
        </w:rPr>
        <w:t>before</w:t>
      </w:r>
      <w:r w:rsidRPr="0041039A">
        <w:rPr>
          <w:rFonts w:ascii="Arial" w:hAnsi="Arial"/>
          <w:sz w:val="22"/>
          <w:szCs w:val="22"/>
        </w:rPr>
        <w:t xml:space="preserve"> antibody administration since plasma digoxin concentrations cannot be interpreted once these have been given</w:t>
      </w:r>
    </w:p>
    <w:p w:rsidR="0041039A" w:rsidRPr="0041039A" w:rsidRDefault="0041039A" w:rsidP="00D8441A">
      <w:pPr>
        <w:widowControl/>
        <w:numPr>
          <w:ilvl w:val="0"/>
          <w:numId w:val="10"/>
        </w:numPr>
        <w:tabs>
          <w:tab w:val="left" w:pos="-1080"/>
          <w:tab w:val="left" w:pos="-360"/>
          <w:tab w:val="num" w:pos="405"/>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sz w:val="22"/>
          <w:szCs w:val="22"/>
        </w:rPr>
      </w:pPr>
      <w:r w:rsidRPr="0041039A">
        <w:rPr>
          <w:rFonts w:ascii="Arial" w:hAnsi="Arial"/>
          <w:sz w:val="22"/>
          <w:szCs w:val="22"/>
        </w:rPr>
        <w:t>Samples taken to investigate possible chronic digoxin intoxication should be taken at least 6 h after dosing and do not usually need to be analysed urgently, unless life-threatening features are present and use of digoxin antibodies is being contemplated</w:t>
      </w:r>
    </w:p>
    <w:p w:rsidR="0041039A" w:rsidRPr="0041039A" w:rsidRDefault="0041039A" w:rsidP="00D8441A">
      <w:pPr>
        <w:widowControl/>
        <w:numPr>
          <w:ilvl w:val="0"/>
          <w:numId w:val="10"/>
        </w:numPr>
        <w:tabs>
          <w:tab w:val="left" w:pos="-1080"/>
          <w:tab w:val="left" w:pos="-360"/>
          <w:tab w:val="num" w:pos="405"/>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sz w:val="22"/>
          <w:szCs w:val="22"/>
        </w:rPr>
      </w:pPr>
      <w:r w:rsidRPr="0041039A">
        <w:rPr>
          <w:rFonts w:ascii="Arial" w:hAnsi="Arial"/>
          <w:sz w:val="22"/>
          <w:szCs w:val="22"/>
        </w:rPr>
        <w:t xml:space="preserve">Repeat samples, analysed routinely, may help determine when to re-institute chronic therapy after acute overdose. However, these are not of value for several days following the administration of digoxin antibodies, </w:t>
      </w:r>
      <w:r w:rsidRPr="0041039A">
        <w:rPr>
          <w:rFonts w:ascii="Arial" w:hAnsi="Arial"/>
          <w:b/>
          <w:i/>
          <w:sz w:val="22"/>
          <w:szCs w:val="22"/>
        </w:rPr>
        <w:t xml:space="preserve"> </w:t>
      </w:r>
      <w:r w:rsidRPr="0041039A">
        <w:rPr>
          <w:rFonts w:ascii="Arial" w:hAnsi="Arial"/>
          <w:sz w:val="22"/>
          <w:szCs w:val="22"/>
        </w:rPr>
        <w:t>since the elimination half-life of the complex under normal conditions is 16-20 h</w:t>
      </w:r>
    </w:p>
    <w:p w:rsidR="0041039A" w:rsidRPr="0041039A" w:rsidRDefault="0041039A" w:rsidP="00D8441A">
      <w:pPr>
        <w:widowControl/>
        <w:numPr>
          <w:ilvl w:val="0"/>
          <w:numId w:val="10"/>
        </w:numPr>
        <w:tabs>
          <w:tab w:val="left" w:pos="-1080"/>
          <w:tab w:val="left" w:pos="-360"/>
          <w:tab w:val="num" w:pos="405"/>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sz w:val="22"/>
          <w:szCs w:val="22"/>
        </w:rPr>
      </w:pPr>
      <w:r w:rsidRPr="0041039A">
        <w:rPr>
          <w:rFonts w:ascii="Arial" w:hAnsi="Arial"/>
          <w:sz w:val="22"/>
          <w:szCs w:val="22"/>
        </w:rPr>
        <w:t>Assays routinely used in the UK are not ideal for accurate quantification of digitoxin or plant glycosides, although they may provide qualitative supportive evidence of exposure.</w:t>
      </w:r>
    </w:p>
    <w:p w:rsidR="0041039A" w:rsidRPr="0041039A" w:rsidRDefault="0041039A" w:rsidP="0041039A">
      <w:pPr>
        <w:widowControl/>
        <w:tabs>
          <w:tab w:val="left" w:pos="-1080"/>
          <w:tab w:val="left" w:pos="-360"/>
          <w:tab w:val="num" w:pos="405"/>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ind w:right="98"/>
        <w:jc w:val="both"/>
        <w:rPr>
          <w:rFonts w:ascii="Arial" w:hAnsi="Arial"/>
          <w:sz w:val="22"/>
          <w:szCs w:val="22"/>
        </w:rPr>
      </w:pPr>
    </w:p>
    <w:p w:rsidR="0041039A" w:rsidRPr="0041039A" w:rsidRDefault="0041039A"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ind w:right="98"/>
        <w:rPr>
          <w:rFonts w:ascii="Arial" w:hAnsi="Arial"/>
          <w:b/>
          <w:sz w:val="22"/>
          <w:szCs w:val="22"/>
        </w:rPr>
      </w:pPr>
      <w:r w:rsidRPr="0041039A">
        <w:rPr>
          <w:rFonts w:ascii="Arial" w:hAnsi="Arial"/>
          <w:b/>
          <w:sz w:val="22"/>
          <w:szCs w:val="22"/>
        </w:rPr>
        <w:t>Ethanol</w:t>
      </w:r>
    </w:p>
    <w:p w:rsidR="0041039A" w:rsidRPr="0041039A" w:rsidRDefault="0041039A" w:rsidP="00D8441A">
      <w:pPr>
        <w:widowControl/>
        <w:numPr>
          <w:ilvl w:val="0"/>
          <w:numId w:val="12"/>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6" w:hanging="357"/>
        <w:contextualSpacing/>
        <w:jc w:val="both"/>
        <w:rPr>
          <w:rFonts w:ascii="Arial" w:hAnsi="Arial"/>
          <w:sz w:val="22"/>
          <w:szCs w:val="22"/>
        </w:rPr>
      </w:pPr>
      <w:r w:rsidRPr="0041039A">
        <w:rPr>
          <w:rFonts w:ascii="Arial" w:hAnsi="Arial"/>
          <w:sz w:val="22"/>
          <w:szCs w:val="22"/>
        </w:rPr>
        <w:t>Plasma ethanol concentrations are usually not required in patients who have ingested ethanol unless severe poisoning is suspected</w:t>
      </w:r>
    </w:p>
    <w:p w:rsidR="0041039A" w:rsidRPr="0041039A" w:rsidRDefault="0041039A" w:rsidP="00D8441A">
      <w:pPr>
        <w:widowControl/>
        <w:numPr>
          <w:ilvl w:val="0"/>
          <w:numId w:val="12"/>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6" w:hanging="357"/>
        <w:contextualSpacing/>
        <w:jc w:val="both"/>
        <w:rPr>
          <w:rFonts w:ascii="Arial" w:hAnsi="Arial"/>
          <w:sz w:val="22"/>
          <w:szCs w:val="22"/>
        </w:rPr>
      </w:pPr>
      <w:r w:rsidRPr="0041039A">
        <w:rPr>
          <w:rFonts w:ascii="Arial" w:hAnsi="Arial"/>
          <w:sz w:val="22"/>
          <w:szCs w:val="22"/>
        </w:rPr>
        <w:t>Ethanol concentrations should be measured urgently</w:t>
      </w:r>
    </w:p>
    <w:p w:rsidR="0041039A" w:rsidRPr="0041039A" w:rsidRDefault="0041039A" w:rsidP="00D8441A">
      <w:pPr>
        <w:widowControl/>
        <w:numPr>
          <w:ilvl w:val="0"/>
          <w:numId w:val="13"/>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6" w:hanging="357"/>
        <w:contextualSpacing/>
        <w:jc w:val="both"/>
        <w:rPr>
          <w:rFonts w:ascii="Arial" w:hAnsi="Arial"/>
          <w:sz w:val="22"/>
          <w:szCs w:val="22"/>
        </w:rPr>
      </w:pPr>
      <w:r w:rsidRPr="0041039A">
        <w:rPr>
          <w:rFonts w:ascii="Arial" w:hAnsi="Arial"/>
          <w:sz w:val="22"/>
          <w:szCs w:val="22"/>
        </w:rPr>
        <w:t xml:space="preserve">In patients with undiagnosed coma or widened osmolar gap (N.B. 1000 mg/L [21.75 mmol/L] ethanol  </w:t>
      </w:r>
      <w:r w:rsidRPr="0041039A">
        <w:rPr>
          <w:rFonts w:ascii="Arial" w:hAnsi="Arial"/>
          <w:sz w:val="22"/>
          <w:szCs w:val="22"/>
        </w:rPr>
        <w:sym w:font="Symbol" w:char="F0BA"/>
      </w:r>
      <w:r w:rsidRPr="0041039A">
        <w:rPr>
          <w:rFonts w:ascii="Arial" w:hAnsi="Arial"/>
          <w:sz w:val="22"/>
          <w:szCs w:val="22"/>
        </w:rPr>
        <w:t xml:space="preserve"> 20 mmol/kg)</w:t>
      </w:r>
    </w:p>
    <w:p w:rsidR="0041039A" w:rsidRPr="0041039A" w:rsidRDefault="0041039A" w:rsidP="00D8441A">
      <w:pPr>
        <w:widowControl/>
        <w:numPr>
          <w:ilvl w:val="0"/>
          <w:numId w:val="13"/>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6" w:hanging="357"/>
        <w:contextualSpacing/>
        <w:jc w:val="both"/>
        <w:rPr>
          <w:rFonts w:ascii="Arial" w:hAnsi="Arial"/>
          <w:sz w:val="22"/>
          <w:szCs w:val="22"/>
        </w:rPr>
      </w:pPr>
      <w:r w:rsidRPr="0041039A">
        <w:rPr>
          <w:rFonts w:ascii="Arial" w:hAnsi="Arial"/>
          <w:sz w:val="22"/>
          <w:szCs w:val="22"/>
        </w:rPr>
        <w:t>In children with unexplained metabolic acidosis</w:t>
      </w:r>
    </w:p>
    <w:p w:rsidR="0041039A" w:rsidRPr="0041039A" w:rsidRDefault="0041039A" w:rsidP="00D8441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contextualSpacing/>
        <w:jc w:val="both"/>
        <w:rPr>
          <w:rFonts w:ascii="Arial" w:hAnsi="Arial"/>
          <w:sz w:val="22"/>
          <w:szCs w:val="22"/>
        </w:rPr>
      </w:pPr>
      <w:r w:rsidRPr="0041039A">
        <w:rPr>
          <w:rFonts w:ascii="Arial" w:hAnsi="Arial"/>
          <w:sz w:val="22"/>
          <w:szCs w:val="22"/>
        </w:rPr>
        <w:t>(c) In patients with suspected severe ethanol intoxication</w:t>
      </w:r>
    </w:p>
    <w:p w:rsidR="0041039A" w:rsidRPr="0041039A" w:rsidRDefault="0041039A" w:rsidP="00D8441A">
      <w:pPr>
        <w:widowControl/>
        <w:numPr>
          <w:ilvl w:val="0"/>
          <w:numId w:val="12"/>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contextualSpacing/>
        <w:jc w:val="both"/>
        <w:rPr>
          <w:rFonts w:ascii="Arial" w:hAnsi="Arial"/>
          <w:sz w:val="22"/>
          <w:szCs w:val="22"/>
        </w:rPr>
      </w:pPr>
      <w:r w:rsidRPr="0041039A">
        <w:rPr>
          <w:rFonts w:ascii="Arial" w:hAnsi="Arial"/>
          <w:sz w:val="22"/>
          <w:szCs w:val="22"/>
        </w:rPr>
        <w:t xml:space="preserve">Concentrations &gt;1800 mg/L are associated with disorientation. In the absence of other toxins, ethanol concentrations &gt;3500 mg/L are usually required to produce coma. Fatal poisoning is usually associated with concentrations &gt; 4500 mg/L. Ethanol toxicity is enhanced in the presence of other sedative agents (and </w:t>
      </w:r>
      <w:r w:rsidRPr="0041039A">
        <w:rPr>
          <w:rFonts w:ascii="Arial" w:hAnsi="Arial"/>
          <w:i/>
          <w:sz w:val="22"/>
          <w:szCs w:val="22"/>
        </w:rPr>
        <w:t>vice versa</w:t>
      </w:r>
      <w:r w:rsidRPr="0041039A">
        <w:rPr>
          <w:rFonts w:ascii="Arial" w:hAnsi="Arial"/>
          <w:sz w:val="22"/>
          <w:szCs w:val="22"/>
        </w:rPr>
        <w:t>).</w:t>
      </w:r>
    </w:p>
    <w:p w:rsidR="0041039A" w:rsidRPr="0041039A" w:rsidRDefault="0041039A" w:rsidP="00D8441A">
      <w:pPr>
        <w:widowControl/>
        <w:numPr>
          <w:ilvl w:val="0"/>
          <w:numId w:val="12"/>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contextualSpacing/>
        <w:jc w:val="both"/>
        <w:rPr>
          <w:rFonts w:ascii="Arial" w:hAnsi="Arial"/>
          <w:sz w:val="22"/>
          <w:szCs w:val="22"/>
        </w:rPr>
      </w:pPr>
      <w:r w:rsidRPr="0041039A">
        <w:rPr>
          <w:rFonts w:ascii="Arial" w:hAnsi="Arial"/>
          <w:sz w:val="22"/>
          <w:szCs w:val="22"/>
        </w:rPr>
        <w:t xml:space="preserve">Plasma ethanol concentrations performed urgently are essential for monitoring the use of ethanol as an antidote for poisoning with ethylene glycol or methanol, particularly if dialysis is also being used. Ethanol should be monitored every 1-2 h initially until a concentration of 1000-1500 mg/L is reached, thereafter every 2-4 h. </w:t>
      </w:r>
    </w:p>
    <w:p w:rsidR="0041039A" w:rsidRPr="0041039A" w:rsidRDefault="0041039A" w:rsidP="00D8441A">
      <w:pPr>
        <w:widowControl/>
        <w:numPr>
          <w:ilvl w:val="0"/>
          <w:numId w:val="12"/>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contextualSpacing/>
        <w:jc w:val="both"/>
        <w:rPr>
          <w:rFonts w:ascii="Arial" w:hAnsi="Arial"/>
          <w:b/>
          <w:sz w:val="22"/>
          <w:szCs w:val="22"/>
        </w:rPr>
      </w:pPr>
      <w:r w:rsidRPr="0041039A">
        <w:rPr>
          <w:rFonts w:ascii="Arial" w:hAnsi="Arial"/>
          <w:sz w:val="22"/>
          <w:szCs w:val="22"/>
        </w:rPr>
        <w:t>For conscious patients, breath alcohol measurement may be used for monitoring ethanol therapy, if facilities are available locally, aiming for target concentrations of 440-660 ug/L (44–66 ug/100 mL) breath. (N.B. This is equivalent to 1000-1500 mg/L blood, if a blood-breath partition co-efficient value of 2300 is used).</w:t>
      </w:r>
    </w:p>
    <w:p w:rsidR="00F2772D" w:rsidRDefault="00F2772D"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ind w:right="98"/>
        <w:rPr>
          <w:rFonts w:ascii="Arial" w:hAnsi="Arial"/>
          <w:b/>
          <w:sz w:val="22"/>
          <w:szCs w:val="22"/>
        </w:rPr>
      </w:pPr>
    </w:p>
    <w:p w:rsidR="0041039A" w:rsidRPr="0041039A" w:rsidRDefault="0041039A"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ind w:right="98"/>
        <w:rPr>
          <w:rFonts w:ascii="Arial" w:hAnsi="Arial"/>
          <w:sz w:val="22"/>
          <w:szCs w:val="22"/>
        </w:rPr>
      </w:pPr>
      <w:r w:rsidRPr="0041039A">
        <w:rPr>
          <w:rFonts w:ascii="Arial" w:hAnsi="Arial"/>
          <w:b/>
          <w:sz w:val="22"/>
          <w:szCs w:val="22"/>
        </w:rPr>
        <w:t>Iron</w:t>
      </w:r>
    </w:p>
    <w:p w:rsidR="0041039A" w:rsidRPr="0041039A" w:rsidRDefault="0041039A" w:rsidP="00D8441A">
      <w:pPr>
        <w:numPr>
          <w:ilvl w:val="0"/>
          <w:numId w:val="14"/>
        </w:numPr>
        <w:tabs>
          <w:tab w:val="num" w:pos="1080"/>
        </w:tabs>
        <w:spacing w:line="360" w:lineRule="auto"/>
        <w:ind w:right="98"/>
        <w:contextualSpacing/>
        <w:jc w:val="both"/>
        <w:rPr>
          <w:rFonts w:ascii="Arial" w:hAnsi="Arial"/>
          <w:sz w:val="22"/>
          <w:szCs w:val="22"/>
        </w:rPr>
      </w:pPr>
      <w:r w:rsidRPr="0041039A">
        <w:rPr>
          <w:rFonts w:ascii="Arial" w:hAnsi="Arial"/>
          <w:sz w:val="22"/>
          <w:szCs w:val="22"/>
        </w:rPr>
        <w:t>Serum iron concentrations help to determine prognosis and the need for antidotal treatment with desferrioxamine in patients with suspected iron poisoning</w:t>
      </w:r>
    </w:p>
    <w:p w:rsidR="0041039A" w:rsidRPr="0041039A" w:rsidRDefault="0041039A" w:rsidP="00D8441A">
      <w:pPr>
        <w:numPr>
          <w:ilvl w:val="0"/>
          <w:numId w:val="14"/>
        </w:numPr>
        <w:tabs>
          <w:tab w:val="num" w:pos="1080"/>
        </w:tabs>
        <w:spacing w:line="360" w:lineRule="auto"/>
        <w:ind w:right="98"/>
        <w:contextualSpacing/>
        <w:jc w:val="both"/>
        <w:rPr>
          <w:rFonts w:ascii="Arial" w:hAnsi="Arial"/>
          <w:sz w:val="22"/>
          <w:szCs w:val="22"/>
        </w:rPr>
      </w:pPr>
      <w:r w:rsidRPr="0041039A">
        <w:rPr>
          <w:rFonts w:ascii="Arial" w:hAnsi="Arial"/>
          <w:sz w:val="22"/>
          <w:szCs w:val="22"/>
        </w:rPr>
        <w:t>They should be measured urgently in</w:t>
      </w:r>
    </w:p>
    <w:p w:rsidR="0041039A" w:rsidRPr="0041039A" w:rsidRDefault="0041039A" w:rsidP="00D8441A">
      <w:pPr>
        <w:numPr>
          <w:ilvl w:val="0"/>
          <w:numId w:val="16"/>
        </w:numPr>
        <w:spacing w:line="360" w:lineRule="auto"/>
        <w:ind w:right="98"/>
        <w:contextualSpacing/>
        <w:jc w:val="both"/>
        <w:rPr>
          <w:rFonts w:ascii="Arial" w:hAnsi="Arial"/>
          <w:sz w:val="22"/>
          <w:szCs w:val="22"/>
        </w:rPr>
      </w:pPr>
      <w:r w:rsidRPr="0041039A">
        <w:rPr>
          <w:rFonts w:ascii="Arial" w:hAnsi="Arial"/>
          <w:sz w:val="22"/>
          <w:szCs w:val="22"/>
        </w:rPr>
        <w:t xml:space="preserve">Asymptomatic patients who have ingested &gt; 20 mg/kg elemental iron within 6 hours. </w:t>
      </w:r>
    </w:p>
    <w:p w:rsidR="0041039A" w:rsidRPr="0041039A" w:rsidRDefault="0041039A" w:rsidP="00D8441A">
      <w:pPr>
        <w:numPr>
          <w:ilvl w:val="0"/>
          <w:numId w:val="16"/>
        </w:numPr>
        <w:spacing w:line="360" w:lineRule="auto"/>
        <w:ind w:right="98"/>
        <w:contextualSpacing/>
        <w:jc w:val="both"/>
        <w:rPr>
          <w:rFonts w:ascii="Arial" w:hAnsi="Arial"/>
          <w:sz w:val="22"/>
          <w:szCs w:val="22"/>
        </w:rPr>
      </w:pPr>
      <w:r w:rsidRPr="0041039A">
        <w:rPr>
          <w:rFonts w:ascii="Arial" w:hAnsi="Arial"/>
          <w:sz w:val="22"/>
          <w:szCs w:val="22"/>
        </w:rPr>
        <w:t>Patients with symptoms (including transient symptoms) suspected to be due to iron intoxication</w:t>
      </w:r>
    </w:p>
    <w:p w:rsidR="0041039A" w:rsidRPr="0041039A" w:rsidRDefault="0041039A" w:rsidP="00D8441A">
      <w:pPr>
        <w:spacing w:line="360" w:lineRule="auto"/>
        <w:ind w:left="360" w:right="98"/>
        <w:contextualSpacing/>
        <w:jc w:val="both"/>
        <w:rPr>
          <w:rFonts w:ascii="Arial" w:hAnsi="Arial"/>
          <w:sz w:val="22"/>
          <w:szCs w:val="22"/>
        </w:rPr>
      </w:pPr>
      <w:r w:rsidRPr="0041039A">
        <w:rPr>
          <w:rFonts w:ascii="Arial" w:hAnsi="Arial"/>
          <w:sz w:val="22"/>
          <w:szCs w:val="22"/>
        </w:rPr>
        <w:t>For both groups, the sample should be taken immediately in patients with suspected severe poisoning. It is desirable to take a further sample 2 h after the first sample. The peak is likely to have passed 6 h after ingestion. It is important that the sample is not haemolysed</w:t>
      </w:r>
    </w:p>
    <w:p w:rsidR="0041039A" w:rsidRPr="0041039A" w:rsidRDefault="0041039A" w:rsidP="00D8441A">
      <w:pPr>
        <w:numPr>
          <w:ilvl w:val="0"/>
          <w:numId w:val="14"/>
        </w:numPr>
        <w:tabs>
          <w:tab w:val="num" w:pos="1080"/>
        </w:tabs>
        <w:spacing w:line="360" w:lineRule="auto"/>
        <w:ind w:right="98"/>
        <w:contextualSpacing/>
        <w:jc w:val="both"/>
        <w:rPr>
          <w:rFonts w:ascii="Arial" w:hAnsi="Arial"/>
          <w:sz w:val="22"/>
          <w:szCs w:val="22"/>
        </w:rPr>
      </w:pPr>
      <w:r w:rsidRPr="0041039A">
        <w:rPr>
          <w:rFonts w:ascii="Arial" w:hAnsi="Arial"/>
          <w:sz w:val="22"/>
          <w:szCs w:val="22"/>
        </w:rPr>
        <w:t xml:space="preserve">Severe toxicity is unlikely if symptoms have not developed within 6 hours of ingestion. </w:t>
      </w:r>
    </w:p>
    <w:p w:rsidR="0041039A" w:rsidRPr="0041039A" w:rsidRDefault="0041039A" w:rsidP="00D8441A">
      <w:pPr>
        <w:keepNext/>
        <w:numPr>
          <w:ilvl w:val="0"/>
          <w:numId w:val="14"/>
        </w:numPr>
        <w:tabs>
          <w:tab w:val="num" w:pos="1080"/>
        </w:tabs>
        <w:spacing w:line="360" w:lineRule="auto"/>
        <w:ind w:right="101"/>
        <w:contextualSpacing/>
        <w:jc w:val="both"/>
        <w:rPr>
          <w:rFonts w:ascii="Arial" w:hAnsi="Arial"/>
          <w:sz w:val="22"/>
          <w:szCs w:val="22"/>
        </w:rPr>
      </w:pPr>
      <w:r w:rsidRPr="0041039A">
        <w:rPr>
          <w:rFonts w:ascii="Arial" w:hAnsi="Arial"/>
          <w:sz w:val="22"/>
          <w:szCs w:val="22"/>
        </w:rPr>
        <w:t>Serum iron concentrations following ingestion are interpreted as follows</w:t>
      </w:r>
    </w:p>
    <w:p w:rsidR="0041039A" w:rsidRPr="0041039A" w:rsidRDefault="0041039A" w:rsidP="00D8441A">
      <w:pPr>
        <w:keepNext/>
        <w:spacing w:line="360" w:lineRule="auto"/>
        <w:ind w:left="720" w:right="102"/>
        <w:contextualSpacing/>
        <w:jc w:val="both"/>
        <w:rPr>
          <w:rFonts w:ascii="Arial" w:hAnsi="Arial"/>
          <w:sz w:val="22"/>
          <w:szCs w:val="22"/>
        </w:rPr>
      </w:pPr>
      <w:r w:rsidRPr="0041039A">
        <w:rPr>
          <w:rFonts w:ascii="Arial" w:hAnsi="Arial"/>
          <w:sz w:val="22"/>
          <w:szCs w:val="22"/>
        </w:rPr>
        <w:t xml:space="preserve">&lt;55 umol/L </w:t>
      </w:r>
      <w:r w:rsidRPr="0041039A">
        <w:rPr>
          <w:rFonts w:ascii="Arial" w:hAnsi="Arial"/>
          <w:sz w:val="22"/>
          <w:szCs w:val="22"/>
        </w:rPr>
        <w:tab/>
      </w:r>
      <w:r w:rsidRPr="0041039A">
        <w:rPr>
          <w:rFonts w:ascii="Arial" w:hAnsi="Arial"/>
          <w:sz w:val="22"/>
          <w:szCs w:val="22"/>
        </w:rPr>
        <w:tab/>
        <w:t>mild poisoning</w:t>
      </w:r>
    </w:p>
    <w:p w:rsidR="0041039A" w:rsidRPr="0041039A" w:rsidRDefault="0041039A" w:rsidP="00D8441A">
      <w:pPr>
        <w:keepNext/>
        <w:spacing w:line="360" w:lineRule="auto"/>
        <w:ind w:left="720" w:right="102"/>
        <w:contextualSpacing/>
        <w:jc w:val="both"/>
        <w:rPr>
          <w:rFonts w:ascii="Arial" w:hAnsi="Arial"/>
          <w:sz w:val="22"/>
          <w:szCs w:val="22"/>
        </w:rPr>
      </w:pPr>
      <w:r w:rsidRPr="0041039A">
        <w:rPr>
          <w:rFonts w:ascii="Arial" w:hAnsi="Arial"/>
          <w:sz w:val="22"/>
          <w:szCs w:val="22"/>
        </w:rPr>
        <w:t>55–90 umol/L</w:t>
      </w:r>
      <w:r w:rsidRPr="0041039A">
        <w:rPr>
          <w:rFonts w:ascii="Arial" w:hAnsi="Arial"/>
          <w:sz w:val="22"/>
          <w:szCs w:val="22"/>
        </w:rPr>
        <w:tab/>
      </w:r>
      <w:r w:rsidRPr="0041039A">
        <w:rPr>
          <w:rFonts w:ascii="Arial" w:hAnsi="Arial"/>
          <w:sz w:val="22"/>
          <w:szCs w:val="22"/>
        </w:rPr>
        <w:tab/>
        <w:t>moderate poisoning</w:t>
      </w:r>
    </w:p>
    <w:p w:rsidR="0041039A" w:rsidRPr="0041039A" w:rsidRDefault="0041039A" w:rsidP="00D8441A">
      <w:pPr>
        <w:keepNext/>
        <w:spacing w:line="360" w:lineRule="auto"/>
        <w:ind w:left="720" w:right="102"/>
        <w:contextualSpacing/>
        <w:jc w:val="both"/>
        <w:rPr>
          <w:rFonts w:ascii="Arial" w:hAnsi="Arial"/>
          <w:sz w:val="22"/>
          <w:szCs w:val="22"/>
        </w:rPr>
      </w:pPr>
      <w:r w:rsidRPr="0041039A">
        <w:rPr>
          <w:rFonts w:ascii="Arial" w:hAnsi="Arial"/>
          <w:sz w:val="22"/>
          <w:szCs w:val="22"/>
        </w:rPr>
        <w:t>&gt;90 umol/L</w:t>
      </w:r>
      <w:r w:rsidRPr="0041039A">
        <w:rPr>
          <w:rFonts w:ascii="Arial" w:hAnsi="Arial"/>
          <w:sz w:val="22"/>
          <w:szCs w:val="22"/>
        </w:rPr>
        <w:tab/>
      </w:r>
      <w:r w:rsidRPr="0041039A">
        <w:rPr>
          <w:rFonts w:ascii="Arial" w:hAnsi="Arial"/>
          <w:sz w:val="22"/>
          <w:szCs w:val="22"/>
        </w:rPr>
        <w:tab/>
        <w:t>severe poisonin</w:t>
      </w:r>
      <w:r w:rsidR="00F2772D">
        <w:rPr>
          <w:rFonts w:ascii="Arial" w:hAnsi="Arial"/>
          <w:sz w:val="22"/>
          <w:szCs w:val="22"/>
        </w:rPr>
        <w:t>g</w:t>
      </w:r>
    </w:p>
    <w:p w:rsidR="0041039A" w:rsidRPr="0041039A" w:rsidRDefault="0041039A" w:rsidP="00D8441A">
      <w:pPr>
        <w:numPr>
          <w:ilvl w:val="0"/>
          <w:numId w:val="15"/>
        </w:numPr>
        <w:tabs>
          <w:tab w:val="num" w:pos="720"/>
        </w:tabs>
        <w:spacing w:line="360" w:lineRule="auto"/>
        <w:ind w:right="98"/>
        <w:contextualSpacing/>
        <w:jc w:val="both"/>
        <w:rPr>
          <w:rFonts w:ascii="Arial" w:hAnsi="Arial"/>
          <w:sz w:val="22"/>
          <w:szCs w:val="22"/>
        </w:rPr>
      </w:pPr>
      <w:r w:rsidRPr="0041039A">
        <w:rPr>
          <w:rFonts w:ascii="Arial" w:hAnsi="Arial"/>
          <w:sz w:val="22"/>
          <w:szCs w:val="22"/>
        </w:rPr>
        <w:t>Antidotal therapy with desferrioxamine is indicated without waiting for the plasma iron concentration in patients with severe clinical features (e.g. unconscious, fitting or shocked</w:t>
      </w:r>
      <w:r w:rsidRPr="0041039A">
        <w:rPr>
          <w:rFonts w:ascii="Arial" w:hAnsi="Arial"/>
          <w:color w:val="000000"/>
          <w:sz w:val="22"/>
          <w:szCs w:val="22"/>
        </w:rPr>
        <w:t xml:space="preserve">) </w:t>
      </w:r>
    </w:p>
    <w:p w:rsidR="0041039A" w:rsidRPr="0041039A" w:rsidRDefault="0041039A" w:rsidP="00D8441A">
      <w:pPr>
        <w:numPr>
          <w:ilvl w:val="0"/>
          <w:numId w:val="17"/>
        </w:numPr>
        <w:spacing w:line="360" w:lineRule="auto"/>
        <w:ind w:right="98"/>
        <w:contextualSpacing/>
        <w:jc w:val="both"/>
        <w:rPr>
          <w:rFonts w:ascii="Arial" w:hAnsi="Arial"/>
          <w:sz w:val="22"/>
          <w:szCs w:val="22"/>
        </w:rPr>
      </w:pPr>
      <w:r w:rsidRPr="0041039A">
        <w:rPr>
          <w:rFonts w:ascii="Arial" w:hAnsi="Arial"/>
          <w:sz w:val="22"/>
          <w:szCs w:val="22"/>
        </w:rPr>
        <w:t xml:space="preserve">Antidotal treatment may also be indicated for patients with iron concentrations &gt;55 umol/L if there is additional evidence of toxicity (e.g. prolonged (&gt;4 h) gastrointestinal symptoms, leucocytosis or hyperglycaemia). Further advice on individual cases can be obtained from the NPIS. </w:t>
      </w:r>
    </w:p>
    <w:p w:rsidR="0041039A" w:rsidRPr="0041039A" w:rsidRDefault="0041039A" w:rsidP="00D8441A">
      <w:pPr>
        <w:numPr>
          <w:ilvl w:val="0"/>
          <w:numId w:val="17"/>
        </w:numPr>
        <w:spacing w:line="360" w:lineRule="auto"/>
        <w:ind w:right="98"/>
        <w:contextualSpacing/>
        <w:jc w:val="both"/>
        <w:rPr>
          <w:rFonts w:ascii="Arial" w:hAnsi="Arial"/>
          <w:sz w:val="22"/>
          <w:szCs w:val="22"/>
        </w:rPr>
      </w:pPr>
      <w:r w:rsidRPr="0041039A">
        <w:rPr>
          <w:rFonts w:ascii="Arial" w:hAnsi="Arial"/>
          <w:sz w:val="22"/>
          <w:szCs w:val="22"/>
        </w:rPr>
        <w:t>All colorimetric iron assays are unreliable in the presence of desferrioxamine</w:t>
      </w:r>
    </w:p>
    <w:p w:rsidR="0041039A" w:rsidRPr="0041039A" w:rsidRDefault="0041039A" w:rsidP="00D8441A">
      <w:pPr>
        <w:numPr>
          <w:ilvl w:val="0"/>
          <w:numId w:val="15"/>
        </w:numPr>
        <w:tabs>
          <w:tab w:val="num" w:pos="720"/>
        </w:tabs>
        <w:spacing w:line="360" w:lineRule="auto"/>
        <w:ind w:right="98"/>
        <w:contextualSpacing/>
        <w:jc w:val="both"/>
        <w:rPr>
          <w:rFonts w:ascii="Arial" w:hAnsi="Arial"/>
          <w:sz w:val="22"/>
          <w:szCs w:val="22"/>
        </w:rPr>
      </w:pPr>
      <w:r w:rsidRPr="0041039A">
        <w:rPr>
          <w:rFonts w:ascii="Arial" w:hAnsi="Arial"/>
          <w:sz w:val="22"/>
          <w:szCs w:val="22"/>
        </w:rPr>
        <w:t>Measurement of iron-binding capacity has no role in the management of iron poisoning</w:t>
      </w:r>
    </w:p>
    <w:p w:rsidR="0041039A" w:rsidRPr="0041039A" w:rsidRDefault="0041039A" w:rsidP="0041039A">
      <w:pPr>
        <w:tabs>
          <w:tab w:val="num" w:pos="720"/>
        </w:tabs>
        <w:spacing w:after="120"/>
        <w:ind w:right="98"/>
        <w:rPr>
          <w:rFonts w:ascii="Arial" w:hAnsi="Arial"/>
          <w:sz w:val="22"/>
          <w:szCs w:val="22"/>
        </w:rPr>
      </w:pPr>
    </w:p>
    <w:p w:rsidR="0041039A" w:rsidRPr="0041039A" w:rsidRDefault="0041039A"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ind w:right="98"/>
        <w:rPr>
          <w:rFonts w:ascii="Arial" w:hAnsi="Arial"/>
          <w:sz w:val="22"/>
          <w:szCs w:val="22"/>
        </w:rPr>
      </w:pPr>
      <w:r w:rsidRPr="0041039A">
        <w:rPr>
          <w:rFonts w:ascii="Arial" w:hAnsi="Arial"/>
          <w:b/>
          <w:sz w:val="22"/>
          <w:szCs w:val="22"/>
        </w:rPr>
        <w:t>Lithium</w:t>
      </w:r>
    </w:p>
    <w:p w:rsidR="0041039A" w:rsidRPr="0041039A" w:rsidRDefault="0041039A" w:rsidP="00D8441A">
      <w:pPr>
        <w:widowControl/>
        <w:numPr>
          <w:ilvl w:val="0"/>
          <w:numId w:val="18"/>
        </w:numPr>
        <w:tabs>
          <w:tab w:val="left" w:pos="-1080"/>
          <w:tab w:val="left" w:pos="-360"/>
          <w:tab w:val="num"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6" w:hanging="357"/>
        <w:contextualSpacing/>
        <w:jc w:val="both"/>
        <w:rPr>
          <w:rFonts w:ascii="Arial" w:hAnsi="Arial"/>
          <w:sz w:val="22"/>
          <w:szCs w:val="22"/>
        </w:rPr>
      </w:pPr>
      <w:r w:rsidRPr="0041039A">
        <w:rPr>
          <w:rFonts w:ascii="Arial" w:hAnsi="Arial"/>
          <w:sz w:val="22"/>
          <w:szCs w:val="22"/>
        </w:rPr>
        <w:t xml:space="preserve">Blood should be sampled immediately and the serum lithium concentration measured urgently in patients who have </w:t>
      </w:r>
    </w:p>
    <w:p w:rsidR="0041039A" w:rsidRPr="0041039A" w:rsidRDefault="0041039A" w:rsidP="00D8441A">
      <w:pPr>
        <w:widowControl/>
        <w:numPr>
          <w:ilvl w:val="0"/>
          <w:numId w:val="19"/>
        </w:numPr>
        <w:tabs>
          <w:tab w:val="left" w:pos="-1080"/>
          <w:tab w:val="left" w:pos="-360"/>
          <w:tab w:val="left" w:pos="1080"/>
          <w:tab w:val="num" w:pos="1498"/>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6" w:hanging="357"/>
        <w:contextualSpacing/>
        <w:jc w:val="both"/>
        <w:rPr>
          <w:rFonts w:ascii="Arial" w:hAnsi="Arial"/>
          <w:sz w:val="22"/>
          <w:szCs w:val="22"/>
        </w:rPr>
      </w:pPr>
      <w:r w:rsidRPr="0041039A">
        <w:rPr>
          <w:rFonts w:ascii="Arial" w:hAnsi="Arial"/>
          <w:sz w:val="22"/>
          <w:szCs w:val="22"/>
        </w:rPr>
        <w:t>suspected acute on chronic or chronic toxicity</w:t>
      </w:r>
    </w:p>
    <w:p w:rsidR="0041039A" w:rsidRPr="0041039A" w:rsidRDefault="0041039A" w:rsidP="00D8441A">
      <w:pPr>
        <w:widowControl/>
        <w:numPr>
          <w:ilvl w:val="0"/>
          <w:numId w:val="19"/>
        </w:numPr>
        <w:tabs>
          <w:tab w:val="left" w:pos="-1080"/>
          <w:tab w:val="left" w:pos="-360"/>
          <w:tab w:val="left" w:pos="1080"/>
          <w:tab w:val="num" w:pos="1498"/>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6" w:hanging="357"/>
        <w:contextualSpacing/>
        <w:jc w:val="both"/>
        <w:rPr>
          <w:rFonts w:ascii="Arial" w:hAnsi="Arial"/>
          <w:sz w:val="22"/>
          <w:szCs w:val="22"/>
        </w:rPr>
      </w:pPr>
      <w:r w:rsidRPr="0041039A">
        <w:rPr>
          <w:rFonts w:ascii="Arial" w:hAnsi="Arial"/>
          <w:sz w:val="22"/>
          <w:szCs w:val="22"/>
        </w:rPr>
        <w:t>Acute lithium intoxication associated with relevant symptoms</w:t>
      </w:r>
    </w:p>
    <w:p w:rsidR="0041039A" w:rsidRPr="0041039A" w:rsidRDefault="0041039A" w:rsidP="00D8441A">
      <w:pPr>
        <w:widowControl/>
        <w:numPr>
          <w:ilvl w:val="0"/>
          <w:numId w:val="18"/>
        </w:numPr>
        <w:tabs>
          <w:tab w:val="left" w:pos="-1080"/>
          <w:tab w:val="left" w:pos="-360"/>
          <w:tab w:val="num"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6" w:hanging="357"/>
        <w:contextualSpacing/>
        <w:jc w:val="both"/>
        <w:rPr>
          <w:rFonts w:ascii="Arial" w:hAnsi="Arial"/>
          <w:sz w:val="22"/>
          <w:szCs w:val="22"/>
        </w:rPr>
      </w:pPr>
      <w:r w:rsidRPr="0041039A">
        <w:rPr>
          <w:rFonts w:ascii="Arial" w:hAnsi="Arial"/>
          <w:sz w:val="22"/>
          <w:szCs w:val="22"/>
        </w:rPr>
        <w:t>In acute lithium overdose where there are no relevant symptoms, the serum concentration should be measured approximately 6 hours after ingestion and the result obtained urgently.</w:t>
      </w:r>
    </w:p>
    <w:p w:rsidR="0041039A" w:rsidRPr="0041039A" w:rsidRDefault="0041039A" w:rsidP="00D8441A">
      <w:pPr>
        <w:widowControl/>
        <w:numPr>
          <w:ilvl w:val="0"/>
          <w:numId w:val="18"/>
        </w:numPr>
        <w:tabs>
          <w:tab w:val="left" w:pos="-1080"/>
          <w:tab w:val="left" w:pos="-360"/>
          <w:tab w:val="num"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6" w:hanging="357"/>
        <w:contextualSpacing/>
        <w:jc w:val="both"/>
        <w:rPr>
          <w:rFonts w:ascii="Arial" w:hAnsi="Arial"/>
          <w:sz w:val="22"/>
          <w:szCs w:val="22"/>
        </w:rPr>
      </w:pPr>
      <w:r w:rsidRPr="0041039A">
        <w:rPr>
          <w:rFonts w:ascii="Arial" w:hAnsi="Arial"/>
          <w:sz w:val="22"/>
          <w:szCs w:val="22"/>
        </w:rPr>
        <w:t>If severe poisoning is confirmed, or if a sustained release preparation may have been taken, the serum  lithium concentration should be repeated 6-12 hourly until the concentration is falling</w:t>
      </w:r>
    </w:p>
    <w:p w:rsidR="0041039A" w:rsidRPr="0041039A" w:rsidRDefault="0041039A" w:rsidP="00D8441A">
      <w:pPr>
        <w:widowControl/>
        <w:numPr>
          <w:ilvl w:val="0"/>
          <w:numId w:val="20"/>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6" w:hanging="357"/>
        <w:contextualSpacing/>
        <w:jc w:val="both"/>
        <w:rPr>
          <w:rFonts w:ascii="Arial" w:hAnsi="Arial"/>
          <w:sz w:val="22"/>
          <w:szCs w:val="22"/>
        </w:rPr>
      </w:pPr>
      <w:r w:rsidRPr="0041039A">
        <w:rPr>
          <w:rFonts w:ascii="Arial" w:hAnsi="Arial"/>
          <w:sz w:val="22"/>
          <w:szCs w:val="22"/>
        </w:rPr>
        <w:t>The principle value of urgent lithium measurement is to determine the need for haemodialysis in severe poisoning</w:t>
      </w:r>
      <w:r w:rsidRPr="0041039A">
        <w:rPr>
          <w:rFonts w:ascii="Arial" w:hAnsi="Arial"/>
          <w:b/>
          <w:i/>
          <w:sz w:val="22"/>
          <w:szCs w:val="22"/>
        </w:rPr>
        <w:t xml:space="preserve">. </w:t>
      </w:r>
      <w:r w:rsidRPr="0041039A">
        <w:rPr>
          <w:rFonts w:ascii="Arial" w:hAnsi="Arial"/>
          <w:sz w:val="22"/>
          <w:szCs w:val="22"/>
        </w:rPr>
        <w:t>Low thresholds should be considered for haemodialysis in the presence of neurological or cardiac features, particularly if concentrations are increasing. Advice on the interpretation of lithium concentrations and on the appropriate use of haemodialysis can be obtained from the NPIS.</w:t>
      </w:r>
    </w:p>
    <w:p w:rsidR="0041039A" w:rsidRPr="0041039A" w:rsidRDefault="0041039A" w:rsidP="00D8441A">
      <w:pPr>
        <w:widowControl/>
        <w:numPr>
          <w:ilvl w:val="0"/>
          <w:numId w:val="18"/>
        </w:numPr>
        <w:tabs>
          <w:tab w:val="left" w:pos="-1080"/>
          <w:tab w:val="left" w:pos="-360"/>
          <w:tab w:val="num"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6" w:hanging="357"/>
        <w:contextualSpacing/>
        <w:jc w:val="both"/>
        <w:rPr>
          <w:rFonts w:ascii="Arial" w:hAnsi="Arial"/>
          <w:sz w:val="22"/>
          <w:szCs w:val="22"/>
        </w:rPr>
      </w:pPr>
      <w:r w:rsidRPr="0041039A">
        <w:rPr>
          <w:rFonts w:ascii="Arial" w:hAnsi="Arial"/>
          <w:sz w:val="22"/>
          <w:szCs w:val="22"/>
        </w:rPr>
        <w:t>There is a risk of rebound increases in lithium concentration after haemodialysis and lithium concentrations should be measured 6 h after haemodialysis is discontinued.</w:t>
      </w:r>
    </w:p>
    <w:p w:rsidR="0041039A" w:rsidRPr="0041039A" w:rsidRDefault="0041039A" w:rsidP="00D8441A">
      <w:pPr>
        <w:widowControl/>
        <w:numPr>
          <w:ilvl w:val="0"/>
          <w:numId w:val="18"/>
        </w:numPr>
        <w:tabs>
          <w:tab w:val="left" w:pos="-1080"/>
          <w:tab w:val="left" w:pos="-360"/>
          <w:tab w:val="num"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6" w:hanging="357"/>
        <w:contextualSpacing/>
        <w:jc w:val="both"/>
        <w:rPr>
          <w:rFonts w:ascii="Arial" w:hAnsi="Arial"/>
          <w:sz w:val="22"/>
          <w:szCs w:val="22"/>
        </w:rPr>
      </w:pPr>
      <w:r w:rsidRPr="0041039A">
        <w:rPr>
          <w:rFonts w:ascii="Arial" w:hAnsi="Arial"/>
          <w:sz w:val="22"/>
          <w:szCs w:val="22"/>
        </w:rPr>
        <w:t xml:space="preserve">Repeated measurements of lithium concentration, performed routinely (12 h post-dose), are helpful in timing the appropriate re-institution of chronic therapy following an episode of toxicity. </w:t>
      </w:r>
    </w:p>
    <w:p w:rsidR="0041039A" w:rsidRPr="0041039A" w:rsidRDefault="0041039A"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ind w:right="98"/>
        <w:rPr>
          <w:rFonts w:ascii="Arial" w:hAnsi="Arial"/>
          <w:b/>
          <w:sz w:val="22"/>
          <w:szCs w:val="22"/>
        </w:rPr>
      </w:pPr>
    </w:p>
    <w:p w:rsidR="0041039A" w:rsidRPr="0041039A" w:rsidRDefault="0041039A"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ind w:right="98"/>
        <w:rPr>
          <w:rFonts w:ascii="Arial" w:hAnsi="Arial"/>
          <w:sz w:val="22"/>
          <w:szCs w:val="22"/>
        </w:rPr>
      </w:pPr>
      <w:r w:rsidRPr="0041039A">
        <w:rPr>
          <w:rFonts w:ascii="Arial" w:hAnsi="Arial"/>
          <w:b/>
          <w:sz w:val="22"/>
          <w:szCs w:val="22"/>
        </w:rPr>
        <w:t>Paracetamol</w:t>
      </w:r>
    </w:p>
    <w:p w:rsidR="0041039A" w:rsidRPr="0041039A" w:rsidRDefault="0041039A" w:rsidP="00D8441A">
      <w:pPr>
        <w:keepNext/>
        <w:widowControl/>
        <w:numPr>
          <w:ilvl w:val="0"/>
          <w:numId w:val="21"/>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101" w:hanging="357"/>
        <w:contextualSpacing/>
        <w:jc w:val="both"/>
        <w:rPr>
          <w:rFonts w:ascii="Arial" w:hAnsi="Arial"/>
          <w:sz w:val="22"/>
          <w:szCs w:val="22"/>
        </w:rPr>
      </w:pPr>
      <w:r w:rsidRPr="0041039A">
        <w:rPr>
          <w:rFonts w:ascii="Arial" w:hAnsi="Arial"/>
          <w:sz w:val="22"/>
          <w:szCs w:val="22"/>
        </w:rPr>
        <w:t>Measurement of serum paracetamol concentration is essential for determining the need for antidotal treatment and should be performed urgently in all patients with known or suspected paracetamol overdose</w:t>
      </w:r>
    </w:p>
    <w:p w:rsidR="0041039A" w:rsidRPr="0041039A" w:rsidRDefault="0041039A" w:rsidP="00D8441A">
      <w:pPr>
        <w:widowControl/>
        <w:numPr>
          <w:ilvl w:val="0"/>
          <w:numId w:val="21"/>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sz w:val="22"/>
          <w:szCs w:val="22"/>
        </w:rPr>
      </w:pPr>
      <w:r w:rsidRPr="0041039A">
        <w:rPr>
          <w:rFonts w:ascii="Arial" w:hAnsi="Arial"/>
          <w:sz w:val="22"/>
          <w:szCs w:val="22"/>
        </w:rPr>
        <w:t>Serum paracetamol concentrations should also be measured urgently in all patients when there is a clinical suspicion that paracetamol poisoning may be present. Examples would be:</w:t>
      </w:r>
      <w:r w:rsidRPr="0041039A">
        <w:rPr>
          <w:rFonts w:ascii="Arial" w:hAnsi="Arial"/>
          <w:sz w:val="22"/>
          <w:szCs w:val="22"/>
        </w:rPr>
        <w:br/>
        <w:t>(a) Drug overdose patients, when the history appears unreliable</w:t>
      </w:r>
      <w:r w:rsidRPr="0041039A">
        <w:rPr>
          <w:rFonts w:ascii="Arial" w:hAnsi="Arial"/>
          <w:sz w:val="22"/>
          <w:szCs w:val="22"/>
        </w:rPr>
        <w:br/>
        <w:t xml:space="preserve">(b) Patients with undiagnosed coma where there is a clinical suspicion of drug overdose </w:t>
      </w:r>
    </w:p>
    <w:p w:rsidR="0041039A" w:rsidRPr="0041039A" w:rsidRDefault="0041039A" w:rsidP="00D8441A">
      <w:pPr>
        <w:widowControl/>
        <w:numPr>
          <w:ilvl w:val="0"/>
          <w:numId w:val="23"/>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sz w:val="22"/>
          <w:szCs w:val="22"/>
        </w:rPr>
      </w:pPr>
      <w:r w:rsidRPr="0041039A">
        <w:rPr>
          <w:rFonts w:ascii="Arial" w:hAnsi="Arial"/>
          <w:sz w:val="22"/>
          <w:szCs w:val="22"/>
        </w:rPr>
        <w:t xml:space="preserve">Measurement of paracetamol concentrations in alert patients who deny taking paracetamol, when there is no clinical suspicion, rarely provides evidence of significant paracetamol toxicity and is therefore not routinely recommended. </w:t>
      </w:r>
    </w:p>
    <w:p w:rsidR="0041039A" w:rsidRPr="0041039A" w:rsidRDefault="0041039A" w:rsidP="00D8441A">
      <w:pPr>
        <w:widowControl/>
        <w:numPr>
          <w:ilvl w:val="0"/>
          <w:numId w:val="21"/>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sz w:val="22"/>
          <w:szCs w:val="22"/>
        </w:rPr>
      </w:pPr>
      <w:r w:rsidRPr="0041039A">
        <w:rPr>
          <w:rFonts w:ascii="Arial" w:hAnsi="Arial"/>
          <w:sz w:val="22"/>
          <w:szCs w:val="22"/>
        </w:rPr>
        <w:t>The sample must be taken 4 h after ingestion, or immediately, should the patient present after an interval of more than 4 h. The PT/INR should also be measured and this should be repeated in patients at risk of, or developing, hepatotoxicity</w:t>
      </w:r>
    </w:p>
    <w:p w:rsidR="0041039A" w:rsidRPr="0041039A" w:rsidRDefault="0041039A" w:rsidP="00D8441A">
      <w:pPr>
        <w:widowControl/>
        <w:numPr>
          <w:ilvl w:val="0"/>
          <w:numId w:val="21"/>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sz w:val="22"/>
          <w:szCs w:val="22"/>
        </w:rPr>
      </w:pPr>
      <w:r w:rsidRPr="0041039A">
        <w:rPr>
          <w:rFonts w:ascii="Arial" w:hAnsi="Arial"/>
          <w:sz w:val="22"/>
          <w:szCs w:val="22"/>
        </w:rPr>
        <w:t>Serum electrolytes, liver and renal function tests should also be undertaken</w:t>
      </w:r>
    </w:p>
    <w:p w:rsidR="0041039A" w:rsidRPr="0041039A" w:rsidRDefault="0041039A" w:rsidP="00D8441A">
      <w:pPr>
        <w:widowControl/>
        <w:numPr>
          <w:ilvl w:val="0"/>
          <w:numId w:val="21"/>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b/>
          <w:i/>
          <w:sz w:val="22"/>
          <w:szCs w:val="22"/>
        </w:rPr>
      </w:pPr>
      <w:r w:rsidRPr="0041039A">
        <w:rPr>
          <w:rFonts w:ascii="Arial" w:hAnsi="Arial"/>
          <w:sz w:val="22"/>
          <w:szCs w:val="22"/>
        </w:rPr>
        <w:t xml:space="preserve">Serum paracetamol concentration measurement is occasionally helpful in some patients with unexplained hepatotoxicity, although a negative result does not exclude paracetamol as a cause </w:t>
      </w:r>
    </w:p>
    <w:p w:rsidR="0041039A" w:rsidRPr="0041039A" w:rsidRDefault="0041039A" w:rsidP="00D8441A">
      <w:pPr>
        <w:widowControl/>
        <w:numPr>
          <w:ilvl w:val="0"/>
          <w:numId w:val="21"/>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b/>
          <w:i/>
          <w:sz w:val="22"/>
          <w:szCs w:val="22"/>
        </w:rPr>
      </w:pPr>
      <w:r w:rsidRPr="0041039A">
        <w:rPr>
          <w:rFonts w:ascii="Arial" w:hAnsi="Arial"/>
          <w:sz w:val="22"/>
          <w:szCs w:val="22"/>
        </w:rPr>
        <w:t>For the great majority of patients only a single measurement of paracetamol concentration is indicated.  A second sample, after an interval of 2-3 h, may be helpful for occasional patients who have taken staggered overdoses or when the timing of ingestion is particularly uncertain. Interpretation of the results is difficult and should be discussed with the NPIS when there is uncertainty. In these cases it is often appropriate to give N-acetylcysteine pending the results of the second paracetamol concentration</w:t>
      </w:r>
      <w:r w:rsidRPr="0041039A">
        <w:rPr>
          <w:rFonts w:ascii="Arial" w:hAnsi="Arial"/>
          <w:b/>
          <w:i/>
          <w:sz w:val="22"/>
          <w:szCs w:val="22"/>
        </w:rPr>
        <w:t>.</w:t>
      </w:r>
    </w:p>
    <w:p w:rsidR="0041039A" w:rsidRPr="0041039A" w:rsidRDefault="0041039A" w:rsidP="00D8441A">
      <w:pPr>
        <w:widowControl/>
        <w:numPr>
          <w:ilvl w:val="0"/>
          <w:numId w:val="21"/>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b/>
          <w:i/>
          <w:sz w:val="22"/>
          <w:szCs w:val="22"/>
        </w:rPr>
      </w:pPr>
      <w:r w:rsidRPr="0041039A">
        <w:rPr>
          <w:rFonts w:ascii="Arial" w:hAnsi="Arial"/>
          <w:sz w:val="22"/>
          <w:szCs w:val="22"/>
        </w:rPr>
        <w:t>NB: Samples taken after the administration of N-acetylcysteine may give falsely low paracetamol concentrations</w:t>
      </w:r>
      <w:r w:rsidRPr="0041039A">
        <w:rPr>
          <w:rFonts w:ascii="Arial" w:hAnsi="Arial"/>
          <w:b/>
          <w:i/>
          <w:sz w:val="22"/>
          <w:szCs w:val="22"/>
        </w:rPr>
        <w:t>.</w:t>
      </w:r>
    </w:p>
    <w:p w:rsidR="0041039A" w:rsidRPr="0041039A" w:rsidRDefault="0041039A"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exact"/>
        <w:ind w:right="98"/>
        <w:jc w:val="both"/>
        <w:rPr>
          <w:rFonts w:ascii="Arial" w:hAnsi="Arial"/>
          <w:color w:val="0000FF"/>
          <w:sz w:val="22"/>
          <w:szCs w:val="22"/>
        </w:rPr>
      </w:pPr>
    </w:p>
    <w:p w:rsidR="0041039A" w:rsidRPr="0041039A" w:rsidRDefault="0041039A" w:rsidP="0041039A">
      <w:pPr>
        <w:keepNext/>
        <w:ind w:right="98"/>
        <w:outlineLvl w:val="3"/>
        <w:rPr>
          <w:rFonts w:ascii="Arial" w:hAnsi="Arial"/>
          <w:b/>
          <w:sz w:val="22"/>
          <w:szCs w:val="22"/>
        </w:rPr>
      </w:pPr>
      <w:r w:rsidRPr="0041039A">
        <w:rPr>
          <w:rFonts w:ascii="Arial" w:hAnsi="Arial"/>
          <w:b/>
          <w:sz w:val="22"/>
          <w:szCs w:val="22"/>
        </w:rPr>
        <w:t>Paraquat (urinary, qualitative assay)</w:t>
      </w:r>
    </w:p>
    <w:p w:rsidR="0041039A" w:rsidRPr="0041039A" w:rsidRDefault="0041039A" w:rsidP="0041039A">
      <w:pPr>
        <w:rPr>
          <w:sz w:val="22"/>
          <w:szCs w:val="22"/>
        </w:rPr>
      </w:pPr>
    </w:p>
    <w:p w:rsidR="0041039A" w:rsidRPr="0041039A" w:rsidRDefault="0041039A" w:rsidP="00F2772D">
      <w:pPr>
        <w:keepNext/>
        <w:widowControl/>
        <w:numPr>
          <w:ilvl w:val="0"/>
          <w:numId w:val="22"/>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8"/>
        <w:contextualSpacing/>
        <w:jc w:val="both"/>
        <w:rPr>
          <w:rFonts w:ascii="Arial" w:hAnsi="Arial"/>
          <w:sz w:val="22"/>
          <w:szCs w:val="22"/>
        </w:rPr>
      </w:pPr>
      <w:r w:rsidRPr="0041039A">
        <w:rPr>
          <w:rFonts w:ascii="Arial" w:hAnsi="Arial"/>
          <w:sz w:val="22"/>
          <w:szCs w:val="22"/>
        </w:rPr>
        <w:t>There is no specific treatment of proven value for paraquat poisoning. Investigations are directed at confirming exposure and determining prognosis</w:t>
      </w:r>
    </w:p>
    <w:p w:rsidR="0041039A" w:rsidRPr="0041039A" w:rsidRDefault="0041039A" w:rsidP="00F2772D">
      <w:pPr>
        <w:widowControl/>
        <w:numPr>
          <w:ilvl w:val="0"/>
          <w:numId w:val="22"/>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sz w:val="22"/>
          <w:szCs w:val="22"/>
        </w:rPr>
      </w:pPr>
      <w:r w:rsidRPr="0041039A">
        <w:rPr>
          <w:rFonts w:ascii="Arial" w:hAnsi="Arial"/>
          <w:sz w:val="22"/>
          <w:szCs w:val="22"/>
        </w:rPr>
        <w:t>A qualitative urine test (dithionite spot test) should be performed urgently in all patients presenting with suspected paraquat poisoning to confirm exposure</w:t>
      </w:r>
    </w:p>
    <w:p w:rsidR="0041039A" w:rsidRPr="0041039A" w:rsidRDefault="0041039A" w:rsidP="00F2772D">
      <w:pPr>
        <w:widowControl/>
        <w:numPr>
          <w:ilvl w:val="0"/>
          <w:numId w:val="22"/>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8"/>
        <w:contextualSpacing/>
        <w:jc w:val="both"/>
        <w:rPr>
          <w:rFonts w:ascii="Arial" w:hAnsi="Arial"/>
          <w:sz w:val="22"/>
          <w:szCs w:val="22"/>
        </w:rPr>
      </w:pPr>
      <w:r w:rsidRPr="0041039A">
        <w:rPr>
          <w:rFonts w:ascii="Arial" w:hAnsi="Arial"/>
          <w:sz w:val="22"/>
          <w:szCs w:val="22"/>
        </w:rPr>
        <w:t>In patients with a positive spot test, a blood sample should be taken for routine analysis in a specialist laboratory, as this provides valuable prognostic information.</w:t>
      </w:r>
    </w:p>
    <w:p w:rsidR="0041039A" w:rsidRPr="0041039A" w:rsidRDefault="0041039A" w:rsidP="00F2772D">
      <w:pPr>
        <w:widowControl/>
        <w:numPr>
          <w:ilvl w:val="0"/>
          <w:numId w:val="22"/>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8"/>
        <w:contextualSpacing/>
        <w:jc w:val="both"/>
        <w:rPr>
          <w:rFonts w:ascii="Arial" w:hAnsi="Arial"/>
          <w:sz w:val="22"/>
          <w:szCs w:val="22"/>
        </w:rPr>
      </w:pPr>
      <w:r w:rsidRPr="0041039A">
        <w:rPr>
          <w:rFonts w:ascii="Arial" w:hAnsi="Arial"/>
          <w:sz w:val="22"/>
          <w:szCs w:val="22"/>
        </w:rPr>
        <w:t xml:space="preserve">All requests </w:t>
      </w:r>
      <w:r w:rsidRPr="0041039A">
        <w:rPr>
          <w:rFonts w:ascii="Arial" w:hAnsi="Arial"/>
          <w:b/>
          <w:sz w:val="22"/>
          <w:szCs w:val="22"/>
        </w:rPr>
        <w:t>must</w:t>
      </w:r>
      <w:r w:rsidRPr="0041039A">
        <w:rPr>
          <w:rFonts w:ascii="Arial" w:hAnsi="Arial"/>
          <w:sz w:val="22"/>
          <w:szCs w:val="22"/>
        </w:rPr>
        <w:t xml:space="preserve"> be discussed with the duty biochemist.</w:t>
      </w:r>
    </w:p>
    <w:p w:rsidR="0041039A" w:rsidRPr="0041039A" w:rsidRDefault="0041039A" w:rsidP="00F2772D">
      <w:pPr>
        <w:widowControl/>
        <w:numPr>
          <w:ilvl w:val="0"/>
          <w:numId w:val="22"/>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right="98"/>
        <w:contextualSpacing/>
        <w:jc w:val="both"/>
        <w:rPr>
          <w:rFonts w:ascii="Arial" w:hAnsi="Arial"/>
          <w:sz w:val="22"/>
          <w:szCs w:val="22"/>
        </w:rPr>
      </w:pPr>
      <w:r w:rsidRPr="0041039A">
        <w:rPr>
          <w:rFonts w:ascii="Arial" w:hAnsi="Arial"/>
          <w:sz w:val="22"/>
          <w:szCs w:val="22"/>
        </w:rPr>
        <w:t>All samples are sent to City Assays, Birmingham for analysis.</w:t>
      </w:r>
      <w:r w:rsidRPr="0041039A">
        <w:rPr>
          <w:rFonts w:ascii="Arial" w:hAnsi="Arial"/>
          <w:sz w:val="22"/>
          <w:szCs w:val="22"/>
        </w:rPr>
        <w:br/>
      </w:r>
    </w:p>
    <w:p w:rsidR="0041039A" w:rsidRPr="0041039A" w:rsidRDefault="0041039A"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ind w:right="98"/>
        <w:rPr>
          <w:rFonts w:ascii="Arial" w:hAnsi="Arial"/>
          <w:b/>
          <w:sz w:val="22"/>
          <w:szCs w:val="22"/>
        </w:rPr>
      </w:pPr>
      <w:r w:rsidRPr="0041039A">
        <w:rPr>
          <w:rFonts w:ascii="Arial" w:hAnsi="Arial"/>
          <w:b/>
          <w:sz w:val="22"/>
          <w:szCs w:val="22"/>
        </w:rPr>
        <w:t>Phenytoin</w:t>
      </w:r>
    </w:p>
    <w:p w:rsidR="0041039A" w:rsidRPr="0041039A" w:rsidRDefault="0041039A" w:rsidP="00D8441A">
      <w:pPr>
        <w:widowControl/>
        <w:numPr>
          <w:ilvl w:val="0"/>
          <w:numId w:val="24"/>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sz w:val="22"/>
          <w:szCs w:val="22"/>
        </w:rPr>
      </w:pPr>
      <w:r w:rsidRPr="0041039A">
        <w:rPr>
          <w:rFonts w:ascii="Arial" w:hAnsi="Arial"/>
          <w:sz w:val="22"/>
          <w:szCs w:val="22"/>
        </w:rPr>
        <w:t>Most patients with acute phenytoin overdose do not require measurement of plasma phenytoin concentration</w:t>
      </w:r>
    </w:p>
    <w:p w:rsidR="0041039A" w:rsidRPr="0041039A" w:rsidRDefault="0041039A" w:rsidP="00D8441A">
      <w:pPr>
        <w:widowControl/>
        <w:numPr>
          <w:ilvl w:val="0"/>
          <w:numId w:val="24"/>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b/>
          <w:sz w:val="22"/>
          <w:szCs w:val="22"/>
        </w:rPr>
      </w:pPr>
      <w:r w:rsidRPr="0041039A">
        <w:rPr>
          <w:rFonts w:ascii="Arial" w:hAnsi="Arial"/>
          <w:sz w:val="22"/>
          <w:szCs w:val="22"/>
        </w:rPr>
        <w:t>An urgent phenytoin concentration is helpful (but not essential) if multiple dose activated charcoal is being contemplated, particularly if the diagnosis is in doubt, e.g. in patients with coma, respiratory depression or arrhythmias</w:t>
      </w:r>
      <w:r w:rsidRPr="0041039A">
        <w:rPr>
          <w:rFonts w:ascii="Arial" w:hAnsi="Arial"/>
          <w:color w:val="0000FF"/>
          <w:sz w:val="22"/>
          <w:szCs w:val="22"/>
        </w:rPr>
        <w:t xml:space="preserve">. </w:t>
      </w:r>
      <w:r w:rsidRPr="0041039A">
        <w:rPr>
          <w:rFonts w:ascii="Arial" w:hAnsi="Arial"/>
          <w:color w:val="000000"/>
          <w:sz w:val="22"/>
          <w:szCs w:val="22"/>
        </w:rPr>
        <w:t xml:space="preserve">However, the clinical value of this elimination method for phenytoin intoxication is unproven </w:t>
      </w:r>
    </w:p>
    <w:p w:rsidR="0041039A" w:rsidRPr="0041039A" w:rsidRDefault="0041039A" w:rsidP="00D8441A">
      <w:pPr>
        <w:widowControl/>
        <w:numPr>
          <w:ilvl w:val="0"/>
          <w:numId w:val="24"/>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b/>
          <w:sz w:val="22"/>
          <w:szCs w:val="22"/>
        </w:rPr>
      </w:pPr>
      <w:r w:rsidRPr="0041039A">
        <w:rPr>
          <w:rFonts w:ascii="Arial" w:hAnsi="Arial"/>
          <w:sz w:val="22"/>
          <w:szCs w:val="22"/>
        </w:rPr>
        <w:t>Rarely, urgent measurement of the phenytoin concentration may help to differentiate between convulsions due to phenytoin toxicity and those resulting from inadequate anticonvulsant concentrations</w:t>
      </w:r>
    </w:p>
    <w:p w:rsidR="0041039A" w:rsidRPr="0041039A" w:rsidRDefault="0041039A" w:rsidP="00D8441A">
      <w:pPr>
        <w:widowControl/>
        <w:numPr>
          <w:ilvl w:val="0"/>
          <w:numId w:val="24"/>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sz w:val="22"/>
          <w:szCs w:val="22"/>
        </w:rPr>
      </w:pPr>
      <w:r w:rsidRPr="0041039A">
        <w:rPr>
          <w:rFonts w:ascii="Arial" w:hAnsi="Arial"/>
          <w:sz w:val="22"/>
          <w:szCs w:val="22"/>
        </w:rPr>
        <w:t>Patients with suspected chronic phenytoin toxicity as a result of therapeutic dosing should have their plasma phenytoin concentration measured, but there is no need for this to be done urgently</w:t>
      </w:r>
    </w:p>
    <w:p w:rsidR="0041039A" w:rsidRPr="0041039A" w:rsidRDefault="0041039A" w:rsidP="00D8441A">
      <w:pPr>
        <w:widowControl/>
        <w:numPr>
          <w:ilvl w:val="0"/>
          <w:numId w:val="24"/>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sz w:val="22"/>
          <w:szCs w:val="22"/>
        </w:rPr>
      </w:pPr>
      <w:r w:rsidRPr="0041039A">
        <w:rPr>
          <w:rFonts w:ascii="Arial" w:hAnsi="Arial"/>
          <w:sz w:val="22"/>
          <w:szCs w:val="22"/>
        </w:rPr>
        <w:t>Symptomatic toxicity is usually associated with concentrations &gt;20 mg/L, while concentrations &gt;40 mg/L suggest serious toxicity</w:t>
      </w:r>
    </w:p>
    <w:p w:rsidR="0041039A" w:rsidRPr="0041039A" w:rsidRDefault="0041039A" w:rsidP="00D8441A">
      <w:pPr>
        <w:widowControl/>
        <w:numPr>
          <w:ilvl w:val="0"/>
          <w:numId w:val="24"/>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sz w:val="22"/>
          <w:szCs w:val="22"/>
        </w:rPr>
      </w:pPr>
      <w:r w:rsidRPr="0041039A">
        <w:rPr>
          <w:rFonts w:ascii="Arial" w:hAnsi="Arial"/>
          <w:sz w:val="22"/>
          <w:szCs w:val="22"/>
        </w:rPr>
        <w:t>Routine measurements may be useful to monitor anti-epileptic therapy or to time the re-institution of chronic therapy after overdose.</w:t>
      </w:r>
    </w:p>
    <w:p w:rsidR="0041039A" w:rsidRPr="0041039A" w:rsidRDefault="0041039A" w:rsidP="0041039A">
      <w:pPr>
        <w:keepNext/>
        <w:spacing w:before="240" w:after="120"/>
        <w:ind w:right="98"/>
        <w:outlineLvl w:val="0"/>
        <w:rPr>
          <w:rFonts w:ascii="Arial" w:hAnsi="Arial"/>
          <w:b/>
          <w:kern w:val="28"/>
          <w:sz w:val="22"/>
          <w:szCs w:val="22"/>
        </w:rPr>
      </w:pPr>
      <w:r w:rsidRPr="0041039A">
        <w:rPr>
          <w:rFonts w:ascii="Arial" w:hAnsi="Arial"/>
          <w:b/>
          <w:kern w:val="28"/>
          <w:sz w:val="22"/>
          <w:szCs w:val="22"/>
        </w:rPr>
        <w:t xml:space="preserve">Salicylate </w:t>
      </w:r>
    </w:p>
    <w:p w:rsidR="0041039A" w:rsidRPr="001753F1" w:rsidRDefault="0041039A" w:rsidP="00D8441A">
      <w:pPr>
        <w:widowControl/>
        <w:numPr>
          <w:ilvl w:val="0"/>
          <w:numId w:val="25"/>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sz w:val="22"/>
          <w:szCs w:val="22"/>
        </w:rPr>
      </w:pPr>
      <w:r w:rsidRPr="00D8441A">
        <w:rPr>
          <w:rFonts w:ascii="Arial" w:hAnsi="Arial"/>
          <w:sz w:val="22"/>
          <w:szCs w:val="22"/>
        </w:rPr>
        <w:t>There is no need to measure salicylate concentrations in conscious overdose patients who deny taking salicylate-containing preparations and who have no features suggesting salicylate toxicity</w:t>
      </w:r>
      <w:r w:rsidR="005D0C46">
        <w:rPr>
          <w:rFonts w:ascii="Arial" w:hAnsi="Arial"/>
          <w:sz w:val="22"/>
          <w:szCs w:val="22"/>
        </w:rPr>
        <w:t>.</w:t>
      </w:r>
    </w:p>
    <w:p w:rsidR="0041039A" w:rsidRPr="0041039A" w:rsidRDefault="0041039A" w:rsidP="00D8441A">
      <w:pPr>
        <w:widowControl/>
        <w:numPr>
          <w:ilvl w:val="0"/>
          <w:numId w:val="25"/>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sz w:val="22"/>
          <w:szCs w:val="22"/>
        </w:rPr>
      </w:pPr>
      <w:r w:rsidRPr="0041039A">
        <w:rPr>
          <w:rFonts w:ascii="Arial" w:hAnsi="Arial"/>
          <w:sz w:val="22"/>
          <w:szCs w:val="22"/>
        </w:rPr>
        <w:t>Serum salicylate concentration should be measured urgently for patients who are thought to have ingested &gt; 125 mg/kg of aspirin (acetyl salicylate), as well as those who have taken methylsalicylate (oil of wintergreen) or salicylamide</w:t>
      </w:r>
    </w:p>
    <w:p w:rsidR="0041039A" w:rsidRPr="0041039A" w:rsidRDefault="0041039A" w:rsidP="00D8441A">
      <w:pPr>
        <w:widowControl/>
        <w:numPr>
          <w:ilvl w:val="0"/>
          <w:numId w:val="25"/>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sz w:val="22"/>
          <w:szCs w:val="22"/>
        </w:rPr>
      </w:pPr>
      <w:r w:rsidRPr="0041039A">
        <w:rPr>
          <w:rFonts w:ascii="Arial" w:hAnsi="Arial"/>
          <w:sz w:val="22"/>
          <w:szCs w:val="22"/>
        </w:rPr>
        <w:t>The sample should be taken at least 2 hours (symptomatic patients) or 4 hours (asymptomatic patients) following ingestion, since it may take several hours for peak plasma concentrations to occur: longer sampling times may be required to detect peak concentrations where enteric coated preparations have been used</w:t>
      </w:r>
    </w:p>
    <w:p w:rsidR="0041039A" w:rsidRPr="0041039A" w:rsidRDefault="0041039A" w:rsidP="00D8441A">
      <w:pPr>
        <w:widowControl/>
        <w:numPr>
          <w:ilvl w:val="0"/>
          <w:numId w:val="25"/>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sz w:val="22"/>
          <w:szCs w:val="22"/>
        </w:rPr>
      </w:pPr>
      <w:r w:rsidRPr="0041039A">
        <w:rPr>
          <w:rFonts w:ascii="Arial" w:hAnsi="Arial"/>
          <w:sz w:val="22"/>
          <w:szCs w:val="22"/>
        </w:rPr>
        <w:t xml:space="preserve">A repeat sample should be taken after a further 2 hours in patients with suspected </w:t>
      </w:r>
      <w:r w:rsidRPr="0041039A">
        <w:rPr>
          <w:rFonts w:ascii="Arial" w:hAnsi="Arial"/>
          <w:b/>
          <w:i/>
          <w:sz w:val="22"/>
          <w:szCs w:val="22"/>
        </w:rPr>
        <w:t>severe</w:t>
      </w:r>
      <w:r w:rsidRPr="0041039A">
        <w:rPr>
          <w:rFonts w:ascii="Arial" w:hAnsi="Arial"/>
          <w:sz w:val="22"/>
          <w:szCs w:val="22"/>
        </w:rPr>
        <w:t xml:space="preserve"> toxicity following recent ingestion because of the possibility of continuing absorption. Under these circumstances, measurements should be repeated every 3 h until concentrations are falling</w:t>
      </w:r>
    </w:p>
    <w:p w:rsidR="0041039A" w:rsidRPr="0041039A" w:rsidRDefault="0041039A" w:rsidP="00D8441A">
      <w:pPr>
        <w:widowControl/>
        <w:numPr>
          <w:ilvl w:val="0"/>
          <w:numId w:val="25"/>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sz w:val="22"/>
          <w:szCs w:val="22"/>
        </w:rPr>
      </w:pPr>
      <w:r w:rsidRPr="0041039A">
        <w:rPr>
          <w:rFonts w:ascii="Arial" w:hAnsi="Arial"/>
          <w:sz w:val="22"/>
          <w:szCs w:val="22"/>
        </w:rPr>
        <w:t>Salicylate concentration should also be measured in patients with unidentified poisoning or those with undiagnosed clinical features consistent with salicylate poisoning, e.g. coma,  metabolic acidosis, respiratory alkalosis, tinnitus, etc</w:t>
      </w:r>
    </w:p>
    <w:p w:rsidR="0041039A" w:rsidRPr="0041039A" w:rsidRDefault="0041039A" w:rsidP="00D8441A">
      <w:pPr>
        <w:widowControl/>
        <w:numPr>
          <w:ilvl w:val="0"/>
          <w:numId w:val="25"/>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sz w:val="22"/>
          <w:szCs w:val="22"/>
        </w:rPr>
      </w:pPr>
      <w:r w:rsidRPr="0041039A">
        <w:rPr>
          <w:rFonts w:ascii="Arial" w:hAnsi="Arial"/>
          <w:sz w:val="22"/>
          <w:szCs w:val="22"/>
        </w:rPr>
        <w:t>The severity of poisoning cannot be assessed from serum salicylate concentrations alone and clinical and biochemical features should be taken into account. However, salicylate intoxication is usually associated with plasma concentrations &gt;350 mg/L</w:t>
      </w:r>
    </w:p>
    <w:p w:rsidR="0041039A" w:rsidRPr="0041039A" w:rsidRDefault="0041039A" w:rsidP="00D8441A">
      <w:pPr>
        <w:widowControl/>
        <w:numPr>
          <w:ilvl w:val="0"/>
          <w:numId w:val="25"/>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sz w:val="22"/>
          <w:szCs w:val="22"/>
        </w:rPr>
      </w:pPr>
      <w:r w:rsidRPr="0041039A">
        <w:rPr>
          <w:rFonts w:ascii="Arial" w:hAnsi="Arial"/>
          <w:sz w:val="22"/>
          <w:szCs w:val="22"/>
        </w:rPr>
        <w:t xml:space="preserve">Patients with moderate salicylate poisoning may require urine alkalinisation, while those with severe poisoning may need treatment with haemodialysis. Advice on the interpretation of salicylate concentrations and the need for urinary alkalinisation and haemodialysis can be obtained from the NPIS. </w:t>
      </w:r>
    </w:p>
    <w:p w:rsidR="0041039A" w:rsidRPr="0041039A" w:rsidRDefault="0041039A" w:rsidP="00D8441A">
      <w:pPr>
        <w:widowControl/>
        <w:numPr>
          <w:ilvl w:val="0"/>
          <w:numId w:val="25"/>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sz w:val="22"/>
          <w:szCs w:val="22"/>
        </w:rPr>
      </w:pPr>
      <w:r w:rsidRPr="0041039A">
        <w:rPr>
          <w:rFonts w:ascii="Arial" w:hAnsi="Arial"/>
          <w:sz w:val="22"/>
          <w:szCs w:val="22"/>
        </w:rPr>
        <w:t>Serum salicylate concentrations should be repeated after dialysis</w:t>
      </w:r>
    </w:p>
    <w:p w:rsidR="0041039A" w:rsidRPr="0041039A" w:rsidRDefault="0041039A"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ind w:right="98"/>
        <w:rPr>
          <w:rFonts w:ascii="Arial" w:hAnsi="Arial"/>
          <w:sz w:val="22"/>
          <w:szCs w:val="22"/>
        </w:rPr>
      </w:pPr>
    </w:p>
    <w:p w:rsidR="0041039A" w:rsidRPr="0041039A" w:rsidRDefault="0041039A"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ind w:right="98"/>
        <w:rPr>
          <w:rFonts w:ascii="Arial" w:hAnsi="Arial"/>
          <w:b/>
          <w:sz w:val="22"/>
          <w:szCs w:val="22"/>
        </w:rPr>
      </w:pPr>
      <w:r w:rsidRPr="0041039A">
        <w:rPr>
          <w:rFonts w:ascii="Arial" w:hAnsi="Arial"/>
          <w:b/>
          <w:sz w:val="22"/>
          <w:szCs w:val="22"/>
        </w:rPr>
        <w:t>Theophylline</w:t>
      </w:r>
    </w:p>
    <w:p w:rsidR="0041039A" w:rsidRPr="0041039A" w:rsidRDefault="0041039A" w:rsidP="00D8441A">
      <w:pPr>
        <w:keepNext/>
        <w:widowControl/>
        <w:numPr>
          <w:ilvl w:val="0"/>
          <w:numId w:val="26"/>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sz w:val="22"/>
          <w:szCs w:val="22"/>
        </w:rPr>
      </w:pPr>
      <w:r w:rsidRPr="0041039A">
        <w:rPr>
          <w:rFonts w:ascii="Arial" w:hAnsi="Arial"/>
          <w:sz w:val="22"/>
          <w:szCs w:val="22"/>
        </w:rPr>
        <w:t>Patients with suspected theophylline poisoning should have the severity graded according to simple clinical indicators, including the serum potassium and arterial blood gases</w:t>
      </w:r>
    </w:p>
    <w:p w:rsidR="0041039A" w:rsidRPr="0041039A" w:rsidRDefault="0041039A" w:rsidP="00D8441A">
      <w:pPr>
        <w:keepNext/>
        <w:widowControl/>
        <w:numPr>
          <w:ilvl w:val="0"/>
          <w:numId w:val="26"/>
        </w:numPr>
        <w:tabs>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sz w:val="22"/>
          <w:szCs w:val="22"/>
        </w:rPr>
      </w:pPr>
      <w:r w:rsidRPr="0041039A">
        <w:rPr>
          <w:rFonts w:ascii="Arial" w:hAnsi="Arial"/>
          <w:sz w:val="22"/>
          <w:szCs w:val="22"/>
        </w:rPr>
        <w:t>Serum theophylline concentration should be ascertained immediately in patients with any clinical features suggesting theophylline toxicity, including hypokalaemia or acidosis. Theophylline  concentrations should not be measured earlier than 4 hours after exposure in patients who are asymptomatic</w:t>
      </w:r>
    </w:p>
    <w:p w:rsidR="0041039A" w:rsidRPr="0041039A" w:rsidRDefault="0041039A" w:rsidP="00D8441A">
      <w:pPr>
        <w:widowControl/>
        <w:numPr>
          <w:ilvl w:val="0"/>
          <w:numId w:val="27"/>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b/>
          <w:sz w:val="22"/>
          <w:szCs w:val="22"/>
        </w:rPr>
      </w:pPr>
      <w:r w:rsidRPr="0041039A">
        <w:rPr>
          <w:rFonts w:ascii="Arial" w:hAnsi="Arial"/>
          <w:sz w:val="22"/>
          <w:szCs w:val="22"/>
        </w:rPr>
        <w:t>In patients with severe poisoning or theophylline concentration &gt;60 mg/L, the theophylline concentration should be repeated every 2-4 h, until peak concentrations have passed. This is particularly important if a slow release preparation has been taken</w:t>
      </w:r>
    </w:p>
    <w:p w:rsidR="0041039A" w:rsidRPr="0041039A" w:rsidRDefault="0041039A" w:rsidP="00D8441A">
      <w:pPr>
        <w:widowControl/>
        <w:numPr>
          <w:ilvl w:val="0"/>
          <w:numId w:val="27"/>
        </w:numPr>
        <w:tabs>
          <w:tab w:val="left" w:pos="-1080"/>
          <w:tab w:val="left" w:pos="-360"/>
          <w:tab w:val="left" w:pos="1080"/>
          <w:tab w:val="left" w:pos="1800"/>
          <w:tab w:val="left" w:pos="2520"/>
          <w:tab w:val="num" w:pos="2880"/>
          <w:tab w:val="left" w:pos="3240"/>
          <w:tab w:val="left" w:pos="3960"/>
          <w:tab w:val="left" w:pos="4680"/>
          <w:tab w:val="left" w:pos="5400"/>
          <w:tab w:val="left" w:pos="6120"/>
          <w:tab w:val="left" w:pos="6840"/>
          <w:tab w:val="left" w:pos="7560"/>
          <w:tab w:val="left" w:pos="8280"/>
        </w:tabs>
        <w:spacing w:line="360" w:lineRule="auto"/>
        <w:ind w:left="357" w:right="98" w:hanging="357"/>
        <w:contextualSpacing/>
        <w:jc w:val="both"/>
        <w:rPr>
          <w:rFonts w:ascii="Arial" w:hAnsi="Arial"/>
          <w:b/>
          <w:sz w:val="22"/>
          <w:szCs w:val="22"/>
        </w:rPr>
      </w:pPr>
      <w:r w:rsidRPr="0041039A">
        <w:rPr>
          <w:rFonts w:ascii="Arial" w:hAnsi="Arial"/>
          <w:sz w:val="22"/>
          <w:szCs w:val="22"/>
        </w:rPr>
        <w:t>Advice on the interpretation of theophylline concentrations and the need for multiple dose activated charcoal can be obtained from the NPIS.</w:t>
      </w:r>
    </w:p>
    <w:p w:rsidR="00F2772D" w:rsidRDefault="00F2772D"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ind w:right="98"/>
        <w:rPr>
          <w:rFonts w:ascii="Arial" w:hAnsi="Arial"/>
          <w:b/>
          <w:sz w:val="22"/>
          <w:szCs w:val="22"/>
        </w:rPr>
      </w:pPr>
    </w:p>
    <w:p w:rsidR="0041039A" w:rsidRPr="0041039A" w:rsidRDefault="0041039A" w:rsidP="0041039A">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ind w:right="98"/>
        <w:rPr>
          <w:rFonts w:ascii="Arial" w:hAnsi="Arial"/>
          <w:b/>
          <w:sz w:val="22"/>
          <w:szCs w:val="22"/>
        </w:rPr>
      </w:pPr>
      <w:r w:rsidRPr="0041039A">
        <w:rPr>
          <w:rFonts w:ascii="Arial" w:hAnsi="Arial"/>
          <w:b/>
          <w:sz w:val="22"/>
          <w:szCs w:val="22"/>
        </w:rPr>
        <w:t>Unknown drug screen</w:t>
      </w:r>
    </w:p>
    <w:p w:rsidR="0041039A" w:rsidRPr="0041039A" w:rsidRDefault="0041039A" w:rsidP="00D8441A">
      <w:pPr>
        <w:widowControl/>
        <w:numPr>
          <w:ilvl w:val="0"/>
          <w:numId w:val="27"/>
        </w:numPr>
        <w:tabs>
          <w:tab w:val="left" w:pos="-1080"/>
          <w:tab w:val="left" w:pos="-360"/>
          <w:tab w:val="left" w:pos="426"/>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sz w:val="22"/>
          <w:szCs w:val="22"/>
        </w:rPr>
      </w:pPr>
      <w:r w:rsidRPr="0041039A">
        <w:rPr>
          <w:rFonts w:ascii="Arial" w:hAnsi="Arial"/>
          <w:sz w:val="22"/>
          <w:szCs w:val="22"/>
        </w:rPr>
        <w:t>Samples for drug screens will only be sent for analysis if the results will affect clinical management. It may take several weeks for results to be returned</w:t>
      </w:r>
    </w:p>
    <w:p w:rsidR="0041039A" w:rsidRPr="0041039A" w:rsidRDefault="0041039A" w:rsidP="00D8441A">
      <w:pPr>
        <w:widowControl/>
        <w:numPr>
          <w:ilvl w:val="0"/>
          <w:numId w:val="27"/>
        </w:numPr>
        <w:tabs>
          <w:tab w:val="left" w:pos="-1080"/>
          <w:tab w:val="left" w:pos="-360"/>
          <w:tab w:val="left" w:pos="426"/>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sz w:val="22"/>
          <w:szCs w:val="22"/>
        </w:rPr>
      </w:pPr>
      <w:r w:rsidRPr="0041039A">
        <w:rPr>
          <w:rFonts w:ascii="Arial" w:hAnsi="Arial"/>
          <w:sz w:val="22"/>
          <w:szCs w:val="22"/>
        </w:rPr>
        <w:t>Please provide information about prescribed medicines as well as suspected illicit use to aid interpretation of the results</w:t>
      </w:r>
    </w:p>
    <w:p w:rsidR="0041039A" w:rsidRPr="0041039A" w:rsidRDefault="0041039A" w:rsidP="00D8441A">
      <w:pPr>
        <w:widowControl/>
        <w:numPr>
          <w:ilvl w:val="0"/>
          <w:numId w:val="27"/>
        </w:numPr>
        <w:tabs>
          <w:tab w:val="left" w:pos="-1080"/>
          <w:tab w:val="left" w:pos="-360"/>
          <w:tab w:val="left" w:pos="426"/>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sz w:val="22"/>
          <w:szCs w:val="22"/>
        </w:rPr>
      </w:pPr>
      <w:r w:rsidRPr="0041039A">
        <w:rPr>
          <w:rFonts w:ascii="Arial" w:hAnsi="Arial"/>
          <w:sz w:val="22"/>
          <w:szCs w:val="22"/>
        </w:rPr>
        <w:t>The preferred sample is urine obtained as soon as possible after presentation. Blood samples do not provide as much information as urine and should only be used if no urine is available</w:t>
      </w:r>
    </w:p>
    <w:p w:rsidR="0041039A" w:rsidRPr="0041039A" w:rsidRDefault="0041039A" w:rsidP="00D8441A">
      <w:pPr>
        <w:widowControl/>
        <w:numPr>
          <w:ilvl w:val="0"/>
          <w:numId w:val="27"/>
        </w:numPr>
        <w:tabs>
          <w:tab w:val="left" w:pos="-1080"/>
          <w:tab w:val="left" w:pos="-360"/>
          <w:tab w:val="left" w:pos="426"/>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s>
        <w:spacing w:line="360" w:lineRule="auto"/>
        <w:ind w:left="357" w:right="96" w:hanging="357"/>
        <w:contextualSpacing/>
        <w:jc w:val="both"/>
        <w:rPr>
          <w:rFonts w:ascii="Arial" w:hAnsi="Arial"/>
          <w:sz w:val="22"/>
          <w:szCs w:val="22"/>
        </w:rPr>
      </w:pPr>
      <w:r w:rsidRPr="0041039A">
        <w:rPr>
          <w:rFonts w:ascii="Arial" w:hAnsi="Arial"/>
          <w:sz w:val="22"/>
          <w:szCs w:val="22"/>
        </w:rPr>
        <w:t>The laboratory cannot provide adequate chain of custody evidence for samples with medico-legal implications.</w:t>
      </w:r>
    </w:p>
    <w:p w:rsidR="0041039A" w:rsidRPr="0041039A" w:rsidRDefault="0041039A" w:rsidP="0041039A">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both"/>
        <w:outlineLvl w:val="4"/>
        <w:rPr>
          <w:b/>
          <w:caps/>
          <w:sz w:val="22"/>
          <w:szCs w:val="22"/>
        </w:rPr>
      </w:pPr>
    </w:p>
    <w:p w:rsidR="0041039A" w:rsidRPr="0041039A" w:rsidRDefault="0041039A" w:rsidP="0041039A">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jc w:val="both"/>
        <w:outlineLvl w:val="4"/>
        <w:rPr>
          <w:rFonts w:ascii="Arial" w:hAnsi="Arial"/>
          <w:b/>
          <w:smallCaps/>
          <w:szCs w:val="24"/>
        </w:rPr>
      </w:pPr>
      <w:r w:rsidRPr="0041039A">
        <w:rPr>
          <w:rFonts w:ascii="Arial" w:hAnsi="Arial"/>
          <w:b/>
          <w:smallCaps/>
          <w:szCs w:val="24"/>
        </w:rPr>
        <w:t>THERAPEUTIC DRUG MONITORING</w:t>
      </w:r>
    </w:p>
    <w:p w:rsidR="0041039A" w:rsidRPr="0041039A" w:rsidRDefault="0041039A" w:rsidP="0041039A">
      <w:pPr>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rPr>
          <w:rFonts w:ascii="Arial" w:hAnsi="Arial"/>
          <w:sz w:val="22"/>
          <w:szCs w:val="22"/>
        </w:rPr>
      </w:pPr>
    </w:p>
    <w:p w:rsidR="0041039A" w:rsidRPr="0041039A" w:rsidRDefault="0041039A" w:rsidP="00D8441A">
      <w:pPr>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rPr>
          <w:rFonts w:ascii="Arial" w:hAnsi="Arial"/>
          <w:sz w:val="22"/>
          <w:szCs w:val="22"/>
        </w:rPr>
      </w:pPr>
      <w:r w:rsidRPr="0041039A">
        <w:rPr>
          <w:rFonts w:ascii="Arial" w:hAnsi="Arial"/>
          <w:sz w:val="22"/>
          <w:szCs w:val="22"/>
        </w:rPr>
        <w:t>The laboratory offers a therapeutic drug monitoring service for the following drugs on the following days:</w:t>
      </w:r>
    </w:p>
    <w:p w:rsidR="0041039A" w:rsidRPr="0041039A" w:rsidRDefault="0041039A" w:rsidP="00D8441A">
      <w:pPr>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rPr>
          <w:rFonts w:ascii="Arial" w:hAnsi="Arial"/>
          <w:sz w:val="22"/>
          <w:szCs w:val="22"/>
        </w:rPr>
      </w:pPr>
    </w:p>
    <w:p w:rsidR="0041039A" w:rsidRPr="0041039A" w:rsidRDefault="0041039A" w:rsidP="00D8441A">
      <w:pPr>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rPr>
          <w:rFonts w:ascii="Arial" w:hAnsi="Arial"/>
          <w:sz w:val="22"/>
          <w:szCs w:val="22"/>
        </w:rPr>
      </w:pPr>
      <w:r w:rsidRPr="0041039A">
        <w:rPr>
          <w:rFonts w:ascii="Arial" w:hAnsi="Arial"/>
          <w:sz w:val="22"/>
          <w:szCs w:val="22"/>
        </w:rPr>
        <w:t xml:space="preserve">Daily: </w:t>
      </w:r>
      <w:r w:rsidRPr="0041039A">
        <w:rPr>
          <w:rFonts w:ascii="Arial" w:hAnsi="Arial"/>
          <w:sz w:val="22"/>
          <w:szCs w:val="22"/>
        </w:rPr>
        <w:tab/>
      </w:r>
      <w:r w:rsidRPr="0041039A">
        <w:rPr>
          <w:rFonts w:ascii="Arial" w:hAnsi="Arial"/>
          <w:sz w:val="22"/>
          <w:szCs w:val="22"/>
        </w:rPr>
        <w:tab/>
      </w:r>
      <w:r w:rsidRPr="0041039A">
        <w:rPr>
          <w:rFonts w:ascii="Arial" w:hAnsi="Arial"/>
          <w:sz w:val="22"/>
          <w:szCs w:val="22"/>
        </w:rPr>
        <w:tab/>
      </w:r>
      <w:r w:rsidRPr="0041039A">
        <w:rPr>
          <w:rFonts w:ascii="Arial" w:hAnsi="Arial"/>
          <w:sz w:val="22"/>
          <w:szCs w:val="22"/>
        </w:rPr>
        <w:tab/>
      </w:r>
      <w:r w:rsidRPr="0041039A">
        <w:rPr>
          <w:rFonts w:ascii="Arial" w:hAnsi="Arial"/>
          <w:sz w:val="22"/>
          <w:szCs w:val="22"/>
        </w:rPr>
        <w:tab/>
      </w:r>
      <w:r w:rsidRPr="0041039A">
        <w:rPr>
          <w:rFonts w:ascii="Arial" w:hAnsi="Arial"/>
          <w:sz w:val="22"/>
          <w:szCs w:val="22"/>
        </w:rPr>
        <w:tab/>
        <w:t>digoxin, theophylline, lithium, phenytoin, valproate</w:t>
      </w:r>
      <w:r w:rsidR="00E17338">
        <w:rPr>
          <w:rFonts w:ascii="Arial" w:hAnsi="Arial"/>
          <w:sz w:val="22"/>
          <w:szCs w:val="22"/>
        </w:rPr>
        <w:t xml:space="preserve">,                   </w:t>
      </w:r>
      <w:r w:rsidR="00E17338">
        <w:rPr>
          <w:rFonts w:ascii="Arial" w:hAnsi="Arial"/>
          <w:sz w:val="22"/>
          <w:szCs w:val="22"/>
        </w:rPr>
        <w:tab/>
      </w:r>
      <w:r w:rsidR="00E17338">
        <w:rPr>
          <w:rFonts w:ascii="Arial" w:hAnsi="Arial"/>
          <w:sz w:val="22"/>
          <w:szCs w:val="22"/>
        </w:rPr>
        <w:tab/>
      </w:r>
      <w:r w:rsidR="00E17338">
        <w:rPr>
          <w:rFonts w:ascii="Arial" w:hAnsi="Arial"/>
          <w:sz w:val="22"/>
          <w:szCs w:val="22"/>
        </w:rPr>
        <w:tab/>
      </w:r>
      <w:r w:rsidR="00E17338">
        <w:rPr>
          <w:rFonts w:ascii="Arial" w:hAnsi="Arial"/>
          <w:sz w:val="22"/>
          <w:szCs w:val="22"/>
        </w:rPr>
        <w:tab/>
      </w:r>
      <w:r w:rsidR="00E17338">
        <w:rPr>
          <w:rFonts w:ascii="Arial" w:hAnsi="Arial"/>
          <w:sz w:val="22"/>
          <w:szCs w:val="22"/>
        </w:rPr>
        <w:tab/>
      </w:r>
      <w:r w:rsidR="00E17338">
        <w:rPr>
          <w:rFonts w:ascii="Arial" w:hAnsi="Arial"/>
          <w:sz w:val="22"/>
          <w:szCs w:val="22"/>
        </w:rPr>
        <w:tab/>
      </w:r>
      <w:r w:rsidR="00E17338" w:rsidRPr="0041039A">
        <w:rPr>
          <w:rFonts w:ascii="Arial" w:hAnsi="Arial"/>
          <w:sz w:val="22"/>
          <w:szCs w:val="22"/>
        </w:rPr>
        <w:t>carbamazepine</w:t>
      </w:r>
      <w:r w:rsidRPr="0041039A">
        <w:rPr>
          <w:rFonts w:ascii="Arial" w:hAnsi="Arial"/>
          <w:sz w:val="22"/>
          <w:szCs w:val="22"/>
        </w:rPr>
        <w:tab/>
      </w:r>
      <w:r w:rsidRPr="0041039A">
        <w:rPr>
          <w:rFonts w:ascii="Arial" w:hAnsi="Arial"/>
          <w:sz w:val="22"/>
          <w:szCs w:val="22"/>
        </w:rPr>
        <w:tab/>
      </w:r>
      <w:r w:rsidRPr="0041039A">
        <w:rPr>
          <w:rFonts w:ascii="Arial" w:hAnsi="Arial"/>
          <w:sz w:val="22"/>
          <w:szCs w:val="22"/>
        </w:rPr>
        <w:tab/>
      </w:r>
      <w:r w:rsidRPr="0041039A">
        <w:rPr>
          <w:rFonts w:ascii="Arial" w:hAnsi="Arial"/>
          <w:sz w:val="22"/>
          <w:szCs w:val="22"/>
        </w:rPr>
        <w:tab/>
      </w:r>
    </w:p>
    <w:p w:rsidR="0041039A" w:rsidRPr="0041039A" w:rsidRDefault="0041039A" w:rsidP="00D8441A">
      <w:pPr>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rPr>
          <w:rFonts w:ascii="Arial" w:hAnsi="Arial"/>
          <w:sz w:val="22"/>
          <w:szCs w:val="22"/>
        </w:rPr>
      </w:pPr>
      <w:r w:rsidRPr="0041039A">
        <w:rPr>
          <w:rFonts w:ascii="Arial" w:hAnsi="Arial"/>
          <w:sz w:val="22"/>
          <w:szCs w:val="22"/>
        </w:rPr>
        <w:t>Monday/Wednesday/Thursday/Friday:</w:t>
      </w:r>
      <w:r w:rsidRPr="0041039A">
        <w:rPr>
          <w:rFonts w:ascii="Arial" w:hAnsi="Arial"/>
          <w:sz w:val="22"/>
          <w:szCs w:val="22"/>
        </w:rPr>
        <w:tab/>
        <w:t>ciclosporin, tacrolimus, sirolimus</w:t>
      </w:r>
    </w:p>
    <w:p w:rsidR="0041039A" w:rsidRPr="0041039A" w:rsidRDefault="0041039A" w:rsidP="00D8441A">
      <w:pPr>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rPr>
          <w:rFonts w:ascii="Arial" w:hAnsi="Arial"/>
          <w:sz w:val="22"/>
          <w:szCs w:val="22"/>
        </w:rPr>
      </w:pPr>
      <w:r w:rsidRPr="0041039A">
        <w:rPr>
          <w:rFonts w:ascii="Arial" w:hAnsi="Arial"/>
          <w:sz w:val="22"/>
          <w:szCs w:val="22"/>
        </w:rPr>
        <w:t xml:space="preserve">Friday: </w:t>
      </w:r>
      <w:r w:rsidRPr="0041039A">
        <w:rPr>
          <w:rFonts w:ascii="Arial" w:hAnsi="Arial"/>
          <w:sz w:val="22"/>
          <w:szCs w:val="22"/>
        </w:rPr>
        <w:tab/>
      </w:r>
      <w:r w:rsidRPr="0041039A">
        <w:rPr>
          <w:rFonts w:ascii="Arial" w:hAnsi="Arial"/>
          <w:sz w:val="22"/>
          <w:szCs w:val="22"/>
        </w:rPr>
        <w:tab/>
      </w:r>
      <w:r w:rsidRPr="0041039A">
        <w:rPr>
          <w:rFonts w:ascii="Arial" w:hAnsi="Arial"/>
          <w:sz w:val="22"/>
          <w:szCs w:val="22"/>
        </w:rPr>
        <w:tab/>
      </w:r>
      <w:r w:rsidRPr="0041039A">
        <w:rPr>
          <w:rFonts w:ascii="Arial" w:hAnsi="Arial"/>
          <w:sz w:val="22"/>
          <w:szCs w:val="22"/>
        </w:rPr>
        <w:tab/>
      </w:r>
      <w:r w:rsidRPr="0041039A">
        <w:rPr>
          <w:rFonts w:ascii="Arial" w:hAnsi="Arial"/>
          <w:sz w:val="22"/>
          <w:szCs w:val="22"/>
        </w:rPr>
        <w:tab/>
        <w:t>phenobarbitone</w:t>
      </w:r>
    </w:p>
    <w:p w:rsidR="0041039A" w:rsidRPr="0041039A" w:rsidRDefault="0041039A" w:rsidP="00150F1D">
      <w:pPr>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rPr>
          <w:rFonts w:ascii="Arial" w:hAnsi="Arial"/>
          <w:sz w:val="22"/>
          <w:szCs w:val="22"/>
        </w:rPr>
      </w:pPr>
    </w:p>
    <w:p w:rsidR="0041039A" w:rsidRPr="0041039A" w:rsidRDefault="0041039A" w:rsidP="00150F1D">
      <w:pPr>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rPr>
          <w:rFonts w:ascii="Arial" w:hAnsi="Arial"/>
          <w:sz w:val="22"/>
          <w:szCs w:val="22"/>
        </w:rPr>
      </w:pPr>
      <w:r w:rsidRPr="0041039A">
        <w:rPr>
          <w:rFonts w:ascii="Arial" w:hAnsi="Arial"/>
          <w:b/>
          <w:sz w:val="22"/>
          <w:szCs w:val="22"/>
        </w:rPr>
        <w:t>Samples for ciclosporin, tacrolimus and sirolimus measurement must be received in the K&amp;CH laboratory by 1pm on the day of the analysis if a same day result is required</w:t>
      </w:r>
      <w:r w:rsidRPr="0041039A">
        <w:rPr>
          <w:rFonts w:ascii="Arial" w:hAnsi="Arial"/>
          <w:sz w:val="22"/>
          <w:szCs w:val="22"/>
        </w:rPr>
        <w:t xml:space="preserve">. </w:t>
      </w:r>
    </w:p>
    <w:p w:rsidR="0041039A" w:rsidRPr="001753F1" w:rsidRDefault="0041039A" w:rsidP="00D8441A">
      <w:pPr>
        <w:widowControl/>
        <w:numPr>
          <w:ilvl w:val="0"/>
          <w:numId w:val="55"/>
        </w:numPr>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rPr>
          <w:rFonts w:ascii="Arial" w:hAnsi="Arial"/>
          <w:sz w:val="22"/>
          <w:szCs w:val="22"/>
        </w:rPr>
      </w:pPr>
      <w:r w:rsidRPr="0041039A">
        <w:rPr>
          <w:rFonts w:ascii="Arial" w:hAnsi="Arial"/>
          <w:sz w:val="22"/>
          <w:szCs w:val="22"/>
        </w:rPr>
        <w:t xml:space="preserve">Some drugs are only measured on a single site in the Trust: therefore, please allow time for specimen transport. Urgent analysis of these drugs may also be available in some cases following discussion with the laboratory. </w:t>
      </w:r>
    </w:p>
    <w:p w:rsidR="0041039A" w:rsidRPr="001753F1" w:rsidRDefault="0041039A" w:rsidP="00D8441A">
      <w:pPr>
        <w:widowControl/>
        <w:numPr>
          <w:ilvl w:val="0"/>
          <w:numId w:val="55"/>
        </w:numPr>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rPr>
          <w:rFonts w:ascii="Arial" w:hAnsi="Arial"/>
          <w:sz w:val="22"/>
          <w:szCs w:val="22"/>
        </w:rPr>
      </w:pPr>
      <w:r w:rsidRPr="0041039A">
        <w:rPr>
          <w:rFonts w:ascii="Arial" w:hAnsi="Arial"/>
          <w:sz w:val="22"/>
          <w:szCs w:val="22"/>
        </w:rPr>
        <w:t xml:space="preserve">Please note that generally blood for drug analysis should be collected into plain (red-topped), </w:t>
      </w:r>
      <w:r w:rsidRPr="0041039A">
        <w:rPr>
          <w:rFonts w:ascii="Arial" w:hAnsi="Arial"/>
          <w:b/>
          <w:sz w:val="22"/>
          <w:szCs w:val="22"/>
        </w:rPr>
        <w:t>not</w:t>
      </w:r>
      <w:r w:rsidRPr="0041039A">
        <w:rPr>
          <w:rFonts w:ascii="Arial" w:hAnsi="Arial"/>
          <w:sz w:val="22"/>
          <w:szCs w:val="22"/>
        </w:rPr>
        <w:t xml:space="preserve"> gel separator (gold-topped) tubes: ciclosporin, tacrolimus and sirolimus samples should be collected into EDTA (purple-topped) tubes.</w:t>
      </w:r>
    </w:p>
    <w:p w:rsidR="0041039A" w:rsidRPr="001753F1" w:rsidRDefault="0041039A" w:rsidP="00D8441A">
      <w:pPr>
        <w:numPr>
          <w:ilvl w:val="0"/>
          <w:numId w:val="55"/>
        </w:numPr>
        <w:spacing w:line="360" w:lineRule="auto"/>
        <w:contextualSpacing/>
        <w:jc w:val="both"/>
        <w:rPr>
          <w:rFonts w:ascii="Arial" w:hAnsi="Arial" w:cs="Arial"/>
          <w:sz w:val="22"/>
          <w:szCs w:val="22"/>
        </w:rPr>
      </w:pPr>
      <w:r w:rsidRPr="0041039A">
        <w:rPr>
          <w:rFonts w:ascii="Arial" w:hAnsi="Arial" w:cs="Arial"/>
          <w:sz w:val="22"/>
          <w:szCs w:val="22"/>
        </w:rPr>
        <w:t>Routine monitoring of anti-epileptic drug concentrations is NOT indicated in adults or children and should only be done if clinically indicated. This includes measurement of phenytoin, lamotrigine, valproate, phenobarbitone, carbamazepine and levetiracetam. Please contact the Duty Biochemist to discuss prior to collecting samples: if measurement is indicated please ensure all clinical details accompany request.</w:t>
      </w:r>
    </w:p>
    <w:p w:rsidR="00D8441A" w:rsidRDefault="0041039A" w:rsidP="00D8441A">
      <w:pPr>
        <w:widowControl/>
        <w:numPr>
          <w:ilvl w:val="0"/>
          <w:numId w:val="55"/>
        </w:numPr>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rPr>
          <w:rFonts w:ascii="Arial" w:hAnsi="Arial"/>
          <w:sz w:val="22"/>
          <w:szCs w:val="22"/>
        </w:rPr>
      </w:pPr>
      <w:r w:rsidRPr="0041039A">
        <w:rPr>
          <w:rFonts w:ascii="Arial" w:hAnsi="Arial"/>
          <w:sz w:val="22"/>
          <w:szCs w:val="22"/>
        </w:rPr>
        <w:t>Ideal sampling times and therapeutic ranges for these drugs may be found in the section “Clinical Biochemistry Reference Ranges”. In the case of phenytoin and phenobarbitone, although trough samples are ideal, provided the patient is at 'steady state' the sample timing is not critical: however, sample time in relation to dose should ideally be provided with the request.</w:t>
      </w:r>
    </w:p>
    <w:p w:rsidR="00D8441A" w:rsidRPr="00B66AC9" w:rsidRDefault="0041039A" w:rsidP="00C56402">
      <w:pPr>
        <w:widowControl/>
        <w:numPr>
          <w:ilvl w:val="0"/>
          <w:numId w:val="55"/>
        </w:numPr>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rPr>
          <w:rFonts w:ascii="Arial" w:hAnsi="Arial"/>
          <w:b/>
          <w:smallCaps/>
          <w:kern w:val="28"/>
          <w:szCs w:val="24"/>
        </w:rPr>
      </w:pPr>
      <w:r w:rsidRPr="00D8441A">
        <w:rPr>
          <w:rFonts w:ascii="Arial" w:hAnsi="Arial"/>
          <w:sz w:val="22"/>
          <w:szCs w:val="22"/>
        </w:rPr>
        <w:t>Therapeutic ranges provide a target range of concentrations around whic</w:t>
      </w:r>
      <w:r w:rsidR="00D8441A" w:rsidRPr="00D8441A">
        <w:rPr>
          <w:rFonts w:ascii="Arial" w:hAnsi="Arial"/>
          <w:sz w:val="22"/>
          <w:szCs w:val="22"/>
        </w:rPr>
        <w:t>h clinical improvement might be</w:t>
      </w:r>
      <w:r w:rsidR="00D8441A">
        <w:rPr>
          <w:rFonts w:ascii="Arial" w:hAnsi="Arial"/>
          <w:sz w:val="22"/>
          <w:szCs w:val="22"/>
        </w:rPr>
        <w:t xml:space="preserve"> </w:t>
      </w:r>
      <w:r w:rsidRPr="00D8441A">
        <w:rPr>
          <w:rFonts w:ascii="Arial" w:hAnsi="Arial"/>
          <w:sz w:val="22"/>
          <w:szCs w:val="22"/>
        </w:rPr>
        <w:t>expected without toxicity. However, individual patients may achieve clinical response at levels below the therapeutic range and toxic effects can occur within therapeutic ranges: it is essential that dosage adjustments should be made in relation to the clinical state of the patient.</w:t>
      </w:r>
    </w:p>
    <w:p w:rsidR="00FB3727" w:rsidRDefault="00FB3727" w:rsidP="00D8441A">
      <w:pPr>
        <w:widowControl/>
        <w:tabs>
          <w:tab w:val="left" w:pos="-1512"/>
          <w:tab w:val="left" w:pos="-1080"/>
          <w:tab w:val="left" w:pos="-792"/>
          <w:tab w:val="left" w:pos="-72"/>
          <w:tab w:val="left" w:pos="1368"/>
          <w:tab w:val="left" w:pos="2088"/>
          <w:tab w:val="left" w:pos="2808"/>
          <w:tab w:val="left" w:pos="3528"/>
          <w:tab w:val="left" w:pos="4248"/>
          <w:tab w:val="left" w:pos="4968"/>
          <w:tab w:val="left" w:pos="5688"/>
          <w:tab w:val="left" w:pos="6408"/>
          <w:tab w:val="left" w:pos="7128"/>
          <w:tab w:val="left" w:pos="7848"/>
        </w:tabs>
        <w:spacing w:line="360" w:lineRule="auto"/>
        <w:ind w:left="720" w:hanging="720"/>
        <w:contextualSpacing/>
        <w:jc w:val="both"/>
        <w:rPr>
          <w:rFonts w:ascii="Arial" w:hAnsi="Arial"/>
          <w:b/>
          <w:smallCaps/>
          <w:kern w:val="28"/>
          <w:szCs w:val="24"/>
        </w:rPr>
      </w:pPr>
    </w:p>
    <w:p w:rsidR="00E61534" w:rsidRDefault="00E61534" w:rsidP="00D8441A">
      <w:pPr>
        <w:widowControl/>
        <w:tabs>
          <w:tab w:val="left" w:pos="-1512"/>
          <w:tab w:val="left" w:pos="-1080"/>
          <w:tab w:val="left" w:pos="-792"/>
          <w:tab w:val="left" w:pos="-72"/>
          <w:tab w:val="left" w:pos="1368"/>
          <w:tab w:val="left" w:pos="2088"/>
          <w:tab w:val="left" w:pos="2808"/>
          <w:tab w:val="left" w:pos="3528"/>
          <w:tab w:val="left" w:pos="4248"/>
          <w:tab w:val="left" w:pos="4968"/>
          <w:tab w:val="left" w:pos="5688"/>
          <w:tab w:val="left" w:pos="6408"/>
          <w:tab w:val="left" w:pos="7128"/>
          <w:tab w:val="left" w:pos="7848"/>
        </w:tabs>
        <w:spacing w:line="360" w:lineRule="auto"/>
        <w:ind w:left="720" w:hanging="720"/>
        <w:contextualSpacing/>
        <w:jc w:val="both"/>
        <w:rPr>
          <w:rFonts w:ascii="Arial" w:hAnsi="Arial"/>
          <w:b/>
          <w:smallCaps/>
          <w:kern w:val="28"/>
          <w:szCs w:val="24"/>
        </w:rPr>
      </w:pPr>
    </w:p>
    <w:p w:rsidR="00E61534" w:rsidRDefault="00E61534" w:rsidP="00D8441A">
      <w:pPr>
        <w:widowControl/>
        <w:tabs>
          <w:tab w:val="left" w:pos="-1512"/>
          <w:tab w:val="left" w:pos="-1080"/>
          <w:tab w:val="left" w:pos="-792"/>
          <w:tab w:val="left" w:pos="-72"/>
          <w:tab w:val="left" w:pos="1368"/>
          <w:tab w:val="left" w:pos="2088"/>
          <w:tab w:val="left" w:pos="2808"/>
          <w:tab w:val="left" w:pos="3528"/>
          <w:tab w:val="left" w:pos="4248"/>
          <w:tab w:val="left" w:pos="4968"/>
          <w:tab w:val="left" w:pos="5688"/>
          <w:tab w:val="left" w:pos="6408"/>
          <w:tab w:val="left" w:pos="7128"/>
          <w:tab w:val="left" w:pos="7848"/>
        </w:tabs>
        <w:spacing w:line="360" w:lineRule="auto"/>
        <w:ind w:left="720" w:hanging="720"/>
        <w:contextualSpacing/>
        <w:jc w:val="both"/>
        <w:rPr>
          <w:rFonts w:ascii="Arial" w:hAnsi="Arial"/>
          <w:b/>
          <w:smallCaps/>
          <w:kern w:val="28"/>
          <w:szCs w:val="24"/>
        </w:rPr>
      </w:pPr>
    </w:p>
    <w:p w:rsidR="00E61534" w:rsidRDefault="00E61534" w:rsidP="00D8441A">
      <w:pPr>
        <w:widowControl/>
        <w:tabs>
          <w:tab w:val="left" w:pos="-1512"/>
          <w:tab w:val="left" w:pos="-1080"/>
          <w:tab w:val="left" w:pos="-792"/>
          <w:tab w:val="left" w:pos="-72"/>
          <w:tab w:val="left" w:pos="1368"/>
          <w:tab w:val="left" w:pos="2088"/>
          <w:tab w:val="left" w:pos="2808"/>
          <w:tab w:val="left" w:pos="3528"/>
          <w:tab w:val="left" w:pos="4248"/>
          <w:tab w:val="left" w:pos="4968"/>
          <w:tab w:val="left" w:pos="5688"/>
          <w:tab w:val="left" w:pos="6408"/>
          <w:tab w:val="left" w:pos="7128"/>
          <w:tab w:val="left" w:pos="7848"/>
        </w:tabs>
        <w:spacing w:line="360" w:lineRule="auto"/>
        <w:ind w:left="720" w:hanging="720"/>
        <w:contextualSpacing/>
        <w:jc w:val="both"/>
        <w:rPr>
          <w:rFonts w:ascii="Arial" w:hAnsi="Arial"/>
          <w:b/>
          <w:smallCaps/>
          <w:kern w:val="28"/>
          <w:szCs w:val="24"/>
        </w:rPr>
      </w:pPr>
    </w:p>
    <w:p w:rsidR="0041039A" w:rsidRPr="00D8441A" w:rsidRDefault="0041039A" w:rsidP="00D8441A">
      <w:pPr>
        <w:widowControl/>
        <w:tabs>
          <w:tab w:val="left" w:pos="-1512"/>
          <w:tab w:val="left" w:pos="-1080"/>
          <w:tab w:val="left" w:pos="-792"/>
          <w:tab w:val="left" w:pos="-72"/>
          <w:tab w:val="left" w:pos="1368"/>
          <w:tab w:val="left" w:pos="2088"/>
          <w:tab w:val="left" w:pos="2808"/>
          <w:tab w:val="left" w:pos="3528"/>
          <w:tab w:val="left" w:pos="4248"/>
          <w:tab w:val="left" w:pos="4968"/>
          <w:tab w:val="left" w:pos="5688"/>
          <w:tab w:val="left" w:pos="6408"/>
          <w:tab w:val="left" w:pos="7128"/>
          <w:tab w:val="left" w:pos="7848"/>
        </w:tabs>
        <w:spacing w:line="360" w:lineRule="auto"/>
        <w:ind w:left="720" w:hanging="720"/>
        <w:contextualSpacing/>
        <w:jc w:val="both"/>
        <w:rPr>
          <w:rFonts w:ascii="Arial" w:hAnsi="Arial"/>
          <w:b/>
          <w:smallCaps/>
          <w:kern w:val="28"/>
          <w:szCs w:val="24"/>
        </w:rPr>
      </w:pPr>
      <w:r w:rsidRPr="0041039A">
        <w:rPr>
          <w:rFonts w:ascii="Arial" w:hAnsi="Arial"/>
          <w:b/>
          <w:smallCaps/>
          <w:kern w:val="28"/>
          <w:szCs w:val="24"/>
        </w:rPr>
        <w:t>TUMOUR MARKERS</w:t>
      </w:r>
    </w:p>
    <w:p w:rsidR="0041039A" w:rsidRPr="0041039A" w:rsidRDefault="0041039A" w:rsidP="00D8441A">
      <w:pPr>
        <w:keepNext/>
        <w:widowControl/>
        <w:numPr>
          <w:ilvl w:val="0"/>
          <w:numId w:val="50"/>
        </w:numPr>
        <w:tabs>
          <w:tab w:val="left" w:pos="-1080"/>
          <w:tab w:val="left" w:pos="-360"/>
          <w:tab w:val="left" w:pos="360"/>
          <w:tab w:val="left" w:pos="709"/>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jc w:val="both"/>
        <w:outlineLvl w:val="0"/>
        <w:rPr>
          <w:rFonts w:ascii="Arial" w:hAnsi="Arial"/>
          <w:kern w:val="28"/>
          <w:sz w:val="22"/>
          <w:szCs w:val="22"/>
        </w:rPr>
      </w:pPr>
      <w:r w:rsidRPr="0041039A">
        <w:rPr>
          <w:rFonts w:ascii="Arial" w:hAnsi="Arial"/>
          <w:kern w:val="28"/>
          <w:sz w:val="22"/>
          <w:szCs w:val="22"/>
        </w:rPr>
        <w:t xml:space="preserve">A range of tumour marker assays are available in the laboratory at EKHUFT. </w:t>
      </w:r>
    </w:p>
    <w:p w:rsidR="0041039A" w:rsidRPr="0041039A" w:rsidRDefault="0041039A" w:rsidP="00D8441A">
      <w:pPr>
        <w:keepNext/>
        <w:widowControl/>
        <w:numPr>
          <w:ilvl w:val="0"/>
          <w:numId w:val="50"/>
        </w:numPr>
        <w:tabs>
          <w:tab w:val="left" w:pos="-1080"/>
          <w:tab w:val="left" w:pos="-360"/>
          <w:tab w:val="left" w:pos="360"/>
          <w:tab w:val="left" w:pos="709"/>
          <w:tab w:val="left" w:pos="1800"/>
          <w:tab w:val="left" w:pos="2520"/>
          <w:tab w:val="left" w:pos="3240"/>
          <w:tab w:val="left" w:pos="3960"/>
          <w:tab w:val="left" w:pos="4680"/>
          <w:tab w:val="left" w:pos="5400"/>
          <w:tab w:val="left" w:pos="6120"/>
          <w:tab w:val="left" w:pos="6840"/>
          <w:tab w:val="left" w:pos="7560"/>
          <w:tab w:val="left" w:pos="8280"/>
        </w:tabs>
        <w:spacing w:line="360" w:lineRule="auto"/>
        <w:contextualSpacing/>
        <w:jc w:val="both"/>
        <w:outlineLvl w:val="0"/>
        <w:rPr>
          <w:rFonts w:ascii="Arial" w:hAnsi="Arial"/>
          <w:kern w:val="28"/>
          <w:sz w:val="22"/>
          <w:szCs w:val="22"/>
        </w:rPr>
      </w:pPr>
      <w:r w:rsidRPr="0041039A">
        <w:rPr>
          <w:rFonts w:ascii="Arial" w:hAnsi="Arial"/>
          <w:kern w:val="28"/>
          <w:sz w:val="22"/>
          <w:szCs w:val="22"/>
        </w:rPr>
        <w:t>With the exception of CA125 (symptomatic females)) and PSA (symptomatic males), tumour marker requests should be restricted to those patients with a tissue diagnosis of the disease. The poor sensitivity and specificity of all these markers make them unsuitable for use as general population screening tests. Their main value is in monitoring the treatment of patients with proven carcinoma who have been shown to have an elevated concentration of the appropriate marker at the time of diagnosis.</w:t>
      </w:r>
    </w:p>
    <w:p w:rsidR="0041039A" w:rsidRPr="0041039A" w:rsidRDefault="0041039A" w:rsidP="00D8441A">
      <w:pPr>
        <w:spacing w:line="360" w:lineRule="auto"/>
        <w:contextualSpacing/>
        <w:jc w:val="both"/>
      </w:pPr>
    </w:p>
    <w:p w:rsidR="0041039A" w:rsidRPr="0041039A" w:rsidRDefault="0041039A" w:rsidP="00B66AC9">
      <w:pPr>
        <w:spacing w:line="360" w:lineRule="auto"/>
        <w:contextualSpacing/>
        <w:jc w:val="both"/>
        <w:rPr>
          <w:rFonts w:ascii="Arial" w:hAnsi="Arial" w:cs="Arial"/>
          <w:sz w:val="22"/>
          <w:szCs w:val="22"/>
        </w:rPr>
      </w:pPr>
      <w:r w:rsidRPr="0041039A">
        <w:rPr>
          <w:rFonts w:ascii="Arial" w:hAnsi="Arial" w:cs="Arial"/>
          <w:b/>
          <w:smallCaps/>
          <w:szCs w:val="24"/>
        </w:rPr>
        <w:t>XANTHOCHROMIA TESTING FOR SUBARACHNOID HAEMORRHAGE (SAH)</w:t>
      </w:r>
    </w:p>
    <w:p w:rsidR="0041039A" w:rsidRPr="0041039A" w:rsidRDefault="0041039A" w:rsidP="00B66AC9">
      <w:pPr>
        <w:numPr>
          <w:ilvl w:val="0"/>
          <w:numId w:val="49"/>
        </w:numPr>
        <w:tabs>
          <w:tab w:val="right" w:pos="709"/>
          <w:tab w:val="left" w:pos="2211"/>
          <w:tab w:val="left" w:pos="2552"/>
        </w:tabs>
        <w:spacing w:line="360" w:lineRule="auto"/>
        <w:contextualSpacing/>
        <w:jc w:val="both"/>
        <w:rPr>
          <w:rFonts w:ascii="Arial" w:hAnsi="Arial" w:cs="Arial"/>
          <w:sz w:val="22"/>
          <w:szCs w:val="22"/>
        </w:rPr>
      </w:pPr>
      <w:r w:rsidRPr="0041039A">
        <w:rPr>
          <w:rFonts w:ascii="Arial" w:hAnsi="Arial" w:cs="Arial"/>
          <w:sz w:val="22"/>
          <w:szCs w:val="22"/>
        </w:rPr>
        <w:t xml:space="preserve">The laboratory provides a service to screen CSF for xanthochromia to rule out subarachnoid haemorrhage in CT negative patients. </w:t>
      </w:r>
    </w:p>
    <w:p w:rsidR="0041039A" w:rsidRPr="0041039A" w:rsidRDefault="0041039A" w:rsidP="00B66AC9">
      <w:pPr>
        <w:numPr>
          <w:ilvl w:val="0"/>
          <w:numId w:val="49"/>
        </w:numPr>
        <w:tabs>
          <w:tab w:val="right" w:pos="709"/>
          <w:tab w:val="left" w:pos="2211"/>
          <w:tab w:val="left" w:pos="2552"/>
        </w:tabs>
        <w:spacing w:line="360" w:lineRule="auto"/>
        <w:contextualSpacing/>
        <w:jc w:val="both"/>
        <w:rPr>
          <w:rFonts w:ascii="Arial" w:hAnsi="Arial" w:cs="Arial"/>
          <w:sz w:val="22"/>
          <w:szCs w:val="22"/>
        </w:rPr>
      </w:pPr>
      <w:r w:rsidRPr="0041039A">
        <w:rPr>
          <w:rFonts w:ascii="Arial" w:hAnsi="Arial" w:cs="Arial"/>
          <w:sz w:val="22"/>
          <w:szCs w:val="22"/>
        </w:rPr>
        <w:t xml:space="preserve">CSF samples must be collected at least 12 hours after the suspected event and within 14 days. </w:t>
      </w:r>
    </w:p>
    <w:p w:rsidR="0041039A" w:rsidRPr="0041039A" w:rsidRDefault="0041039A" w:rsidP="00B66AC9">
      <w:pPr>
        <w:numPr>
          <w:ilvl w:val="0"/>
          <w:numId w:val="49"/>
        </w:numPr>
        <w:tabs>
          <w:tab w:val="right" w:pos="709"/>
          <w:tab w:val="left" w:pos="2211"/>
          <w:tab w:val="left" w:pos="2552"/>
        </w:tabs>
        <w:spacing w:line="360" w:lineRule="auto"/>
        <w:contextualSpacing/>
        <w:jc w:val="both"/>
        <w:rPr>
          <w:rFonts w:ascii="Arial" w:hAnsi="Arial" w:cs="Arial"/>
          <w:sz w:val="22"/>
          <w:szCs w:val="22"/>
        </w:rPr>
      </w:pPr>
      <w:r w:rsidRPr="0041039A">
        <w:rPr>
          <w:rFonts w:ascii="Arial" w:hAnsi="Arial" w:cs="Arial"/>
          <w:sz w:val="22"/>
          <w:szCs w:val="22"/>
        </w:rPr>
        <w:t xml:space="preserve">Avoid using CSF taken within 3 days of a previous lumbar puncture. </w:t>
      </w:r>
    </w:p>
    <w:p w:rsidR="0041039A" w:rsidRPr="0041039A" w:rsidRDefault="0041039A" w:rsidP="00B66AC9">
      <w:pPr>
        <w:numPr>
          <w:ilvl w:val="0"/>
          <w:numId w:val="49"/>
        </w:numPr>
        <w:tabs>
          <w:tab w:val="right" w:pos="709"/>
          <w:tab w:val="left" w:pos="2211"/>
          <w:tab w:val="left" w:pos="2552"/>
        </w:tabs>
        <w:spacing w:line="360" w:lineRule="auto"/>
        <w:contextualSpacing/>
        <w:jc w:val="both"/>
        <w:rPr>
          <w:rFonts w:ascii="Arial" w:hAnsi="Arial" w:cs="Arial"/>
          <w:sz w:val="22"/>
          <w:szCs w:val="22"/>
        </w:rPr>
      </w:pPr>
      <w:r w:rsidRPr="0041039A">
        <w:rPr>
          <w:rFonts w:ascii="Arial" w:hAnsi="Arial" w:cs="Arial"/>
          <w:sz w:val="22"/>
          <w:szCs w:val="22"/>
        </w:rPr>
        <w:t xml:space="preserve">Samples MUST be protected from light and reach the laboratory within 60 minutes. </w:t>
      </w:r>
    </w:p>
    <w:p w:rsidR="0041039A" w:rsidRPr="0041039A" w:rsidRDefault="0041039A" w:rsidP="00B66AC9">
      <w:pPr>
        <w:numPr>
          <w:ilvl w:val="0"/>
          <w:numId w:val="49"/>
        </w:numPr>
        <w:tabs>
          <w:tab w:val="right" w:pos="709"/>
          <w:tab w:val="left" w:pos="2211"/>
          <w:tab w:val="left" w:pos="2552"/>
        </w:tabs>
        <w:spacing w:line="360" w:lineRule="auto"/>
        <w:contextualSpacing/>
        <w:jc w:val="both"/>
        <w:rPr>
          <w:rFonts w:ascii="Arial" w:hAnsi="Arial" w:cs="Arial"/>
          <w:sz w:val="22"/>
          <w:szCs w:val="22"/>
        </w:rPr>
      </w:pPr>
      <w:r w:rsidRPr="0041039A">
        <w:rPr>
          <w:rFonts w:ascii="Arial" w:hAnsi="Arial" w:cs="Arial"/>
          <w:sz w:val="22"/>
          <w:szCs w:val="22"/>
        </w:rPr>
        <w:t xml:space="preserve">Please provide 1 mL (20 drops) sample in addition to that for any other tests. </w:t>
      </w:r>
    </w:p>
    <w:p w:rsidR="0041039A" w:rsidRPr="0041039A" w:rsidRDefault="0041039A" w:rsidP="00B66AC9">
      <w:pPr>
        <w:numPr>
          <w:ilvl w:val="0"/>
          <w:numId w:val="49"/>
        </w:numPr>
        <w:tabs>
          <w:tab w:val="right" w:pos="709"/>
          <w:tab w:val="left" w:pos="2211"/>
          <w:tab w:val="left" w:pos="2552"/>
        </w:tabs>
        <w:spacing w:line="360" w:lineRule="auto"/>
        <w:contextualSpacing/>
        <w:jc w:val="both"/>
        <w:rPr>
          <w:rFonts w:ascii="Arial" w:hAnsi="Arial" w:cs="Arial"/>
          <w:sz w:val="22"/>
          <w:szCs w:val="22"/>
        </w:rPr>
      </w:pPr>
      <w:r w:rsidRPr="0041039A">
        <w:rPr>
          <w:rFonts w:ascii="Arial" w:hAnsi="Arial" w:cs="Arial"/>
          <w:sz w:val="22"/>
          <w:szCs w:val="22"/>
        </w:rPr>
        <w:t xml:space="preserve">Collection kits with full instructions are available in the Emergency Departments and from Clinical Biochemistry. </w:t>
      </w:r>
    </w:p>
    <w:p w:rsidR="0041039A" w:rsidRPr="0041039A" w:rsidRDefault="0041039A" w:rsidP="00B66AC9">
      <w:pPr>
        <w:numPr>
          <w:ilvl w:val="0"/>
          <w:numId w:val="49"/>
        </w:numPr>
        <w:tabs>
          <w:tab w:val="right" w:pos="709"/>
          <w:tab w:val="left" w:pos="2211"/>
          <w:tab w:val="left" w:pos="2552"/>
        </w:tabs>
        <w:spacing w:line="360" w:lineRule="auto"/>
        <w:contextualSpacing/>
        <w:jc w:val="both"/>
        <w:rPr>
          <w:rFonts w:ascii="Arial" w:hAnsi="Arial" w:cs="Arial"/>
          <w:sz w:val="22"/>
          <w:szCs w:val="22"/>
        </w:rPr>
      </w:pPr>
      <w:r w:rsidRPr="0041039A">
        <w:rPr>
          <w:rFonts w:ascii="Arial" w:hAnsi="Arial" w:cs="Arial"/>
          <w:sz w:val="22"/>
          <w:szCs w:val="22"/>
        </w:rPr>
        <w:t xml:space="preserve">The laboratory will produce same day results on samples received in the laboratory at any of the three acute sites up to 17:00 Monday to Friday and up to 10:00 on Saturday, Sunday and on public holidays. Samples received after these times will be processed the next day. </w:t>
      </w:r>
    </w:p>
    <w:p w:rsidR="0041039A" w:rsidRPr="0041039A" w:rsidRDefault="0041039A" w:rsidP="00B66AC9">
      <w:pPr>
        <w:numPr>
          <w:ilvl w:val="0"/>
          <w:numId w:val="49"/>
        </w:numPr>
        <w:tabs>
          <w:tab w:val="right" w:pos="709"/>
          <w:tab w:val="left" w:pos="2211"/>
          <w:tab w:val="left" w:pos="2552"/>
        </w:tabs>
        <w:spacing w:line="360" w:lineRule="auto"/>
        <w:contextualSpacing/>
        <w:jc w:val="both"/>
        <w:rPr>
          <w:rFonts w:ascii="Arial" w:hAnsi="Arial" w:cs="Arial"/>
          <w:sz w:val="22"/>
          <w:szCs w:val="22"/>
        </w:rPr>
      </w:pPr>
      <w:r w:rsidRPr="0041039A">
        <w:rPr>
          <w:rFonts w:ascii="Arial" w:hAnsi="Arial" w:cs="Arial"/>
          <w:sz w:val="22"/>
          <w:szCs w:val="22"/>
        </w:rPr>
        <w:t xml:space="preserve">Medical teams wishing to undertake xanthochromia testing at weekends or on public holidays (outside of the times stated above) will need to discuss this with the on-call clinical biochemist, who can be contacted via switchboard. </w:t>
      </w:r>
    </w:p>
    <w:p w:rsidR="00D8441A" w:rsidRPr="00983490" w:rsidRDefault="00D8441A" w:rsidP="00983490"/>
    <w:p w:rsidR="003952B9" w:rsidRPr="002439CE" w:rsidRDefault="003952B9" w:rsidP="003952B9">
      <w:pPr>
        <w:pStyle w:val="Heading5"/>
        <w:widowControl w:val="0"/>
        <w:tabs>
          <w:tab w:val="clear" w:pos="-1080"/>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s>
        <w:spacing w:line="240" w:lineRule="auto"/>
        <w:rPr>
          <w:rFonts w:ascii="Arial" w:hAnsi="Arial"/>
          <w:smallCaps/>
          <w:szCs w:val="24"/>
        </w:rPr>
      </w:pPr>
      <w:r w:rsidRPr="002439CE">
        <w:rPr>
          <w:rFonts w:ascii="Arial" w:hAnsi="Arial"/>
          <w:smallCaps/>
          <w:szCs w:val="24"/>
        </w:rPr>
        <w:t>IMMUNOLOGY (INCLUDING ALLERGY AND PROTEINS)</w:t>
      </w:r>
    </w:p>
    <w:p w:rsidR="003952B9" w:rsidRDefault="003952B9" w:rsidP="003952B9">
      <w:pPr>
        <w:pStyle w:val="Heading5"/>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1512"/>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240" w:lineRule="auto"/>
        <w:jc w:val="both"/>
        <w:rPr>
          <w:rFonts w:ascii="Arial" w:hAnsi="Arial"/>
          <w:b w:val="0"/>
          <w:sz w:val="20"/>
        </w:rPr>
      </w:pPr>
    </w:p>
    <w:p w:rsidR="003952B9" w:rsidRPr="00BA0FE3" w:rsidRDefault="003952B9" w:rsidP="00150F1D">
      <w:pPr>
        <w:spacing w:line="360" w:lineRule="auto"/>
        <w:contextualSpacing/>
        <w:jc w:val="both"/>
        <w:rPr>
          <w:rFonts w:ascii="Arial" w:hAnsi="Arial"/>
          <w:sz w:val="22"/>
          <w:szCs w:val="22"/>
        </w:rPr>
      </w:pPr>
      <w:r w:rsidRPr="00BA0FE3">
        <w:rPr>
          <w:rFonts w:ascii="Arial" w:hAnsi="Arial"/>
          <w:sz w:val="22"/>
          <w:szCs w:val="22"/>
        </w:rPr>
        <w:t xml:space="preserve">Clinical Biochemistry is responsible for the provision of the autoimmune serology service within the Trust and also provides a laboratory immunology service for the rest of Kent and Medway.  Interpretive advice and help is available from senior staff within the laboratory and also through a service level agreement with the Protein Reference Unit at St George’s Hospital, London. </w:t>
      </w:r>
    </w:p>
    <w:p w:rsidR="003952B9" w:rsidRPr="00BA0FE3" w:rsidRDefault="003952B9" w:rsidP="00150F1D">
      <w:pPr>
        <w:pStyle w:val="Heading5"/>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1512"/>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rPr>
          <w:rFonts w:ascii="Arial" w:hAnsi="Arial"/>
          <w:b w:val="0"/>
          <w:sz w:val="22"/>
          <w:szCs w:val="22"/>
        </w:rPr>
      </w:pPr>
    </w:p>
    <w:p w:rsidR="003952B9" w:rsidRPr="00BA0FE3" w:rsidRDefault="003952B9" w:rsidP="00150F1D">
      <w:pPr>
        <w:spacing w:line="360" w:lineRule="auto"/>
        <w:contextualSpacing/>
        <w:jc w:val="both"/>
        <w:rPr>
          <w:rFonts w:ascii="Arial" w:hAnsi="Arial"/>
          <w:sz w:val="22"/>
          <w:szCs w:val="22"/>
        </w:rPr>
      </w:pPr>
      <w:r w:rsidRPr="00BA0FE3">
        <w:rPr>
          <w:rFonts w:ascii="Arial" w:hAnsi="Arial"/>
          <w:sz w:val="22"/>
          <w:szCs w:val="22"/>
        </w:rPr>
        <w:t xml:space="preserve">The following table lists the major tests available and the main indications for their use.  Request the tests in </w:t>
      </w:r>
      <w:r w:rsidRPr="00BA0FE3">
        <w:rPr>
          <w:rFonts w:ascii="Arial" w:hAnsi="Arial"/>
          <w:b/>
          <w:sz w:val="22"/>
          <w:szCs w:val="22"/>
        </w:rPr>
        <w:t>bold type</w:t>
      </w:r>
      <w:r w:rsidRPr="00BA0FE3">
        <w:rPr>
          <w:rFonts w:ascii="Arial" w:hAnsi="Arial"/>
          <w:sz w:val="22"/>
          <w:szCs w:val="22"/>
        </w:rPr>
        <w:t xml:space="preserve"> as appropriate and we will automatically do the appropriate follow-up investigations.</w:t>
      </w:r>
    </w:p>
    <w:p w:rsidR="003952B9" w:rsidRPr="00BA0FE3" w:rsidRDefault="003952B9" w:rsidP="00150F1D">
      <w:pPr>
        <w:spacing w:line="360" w:lineRule="auto"/>
        <w:contextualSpacing/>
        <w:jc w:val="both"/>
        <w:rPr>
          <w:rFonts w:ascii="Arial" w:hAnsi="Arial"/>
          <w:sz w:val="22"/>
          <w:szCs w:val="22"/>
        </w:rPr>
      </w:pPr>
    </w:p>
    <w:p w:rsidR="00B66AC9" w:rsidRDefault="003952B9" w:rsidP="00365C54">
      <w:pPr>
        <w:spacing w:line="360" w:lineRule="auto"/>
        <w:contextualSpacing/>
        <w:jc w:val="both"/>
        <w:rPr>
          <w:rFonts w:ascii="Arial" w:hAnsi="Arial"/>
          <w:sz w:val="22"/>
          <w:szCs w:val="22"/>
        </w:rPr>
      </w:pPr>
      <w:r w:rsidRPr="00BA0FE3">
        <w:rPr>
          <w:rFonts w:ascii="Arial" w:hAnsi="Arial"/>
          <w:sz w:val="22"/>
          <w:szCs w:val="22"/>
        </w:rPr>
        <w:t>The antibody tests are all IgG antibodies unless stated otherwise.  This table lists the relevant antigens.</w:t>
      </w:r>
    </w:p>
    <w:p w:rsidR="00C955E6" w:rsidRDefault="00C955E6" w:rsidP="00365C54">
      <w:pPr>
        <w:spacing w:line="360" w:lineRule="auto"/>
        <w:contextualSpacing/>
        <w:jc w:val="both"/>
        <w:rPr>
          <w:rFonts w:ascii="Arial" w:hAnsi="Arial"/>
          <w:sz w:val="22"/>
          <w:szCs w:val="22"/>
        </w:rPr>
      </w:pPr>
    </w:p>
    <w:p w:rsidR="00C955E6" w:rsidRPr="00365C54" w:rsidRDefault="00C955E6" w:rsidP="00365C54">
      <w:pPr>
        <w:spacing w:line="360" w:lineRule="auto"/>
        <w:contextualSpacing/>
        <w:jc w:val="both"/>
        <w:rPr>
          <w:rFonts w:ascii="Arial" w:hAnsi="Arial"/>
          <w:sz w:val="22"/>
          <w:szCs w:val="22"/>
        </w:rPr>
      </w:pPr>
    </w:p>
    <w:p w:rsidR="003952B9" w:rsidRPr="003C0273" w:rsidRDefault="003952B9" w:rsidP="003952B9">
      <w:pPr>
        <w:rPr>
          <w:rFonts w:ascii="Arial" w:hAnsi="Arial"/>
          <w:b/>
          <w:szCs w:val="24"/>
        </w:rPr>
      </w:pPr>
      <w:r w:rsidRPr="003C0273">
        <w:rPr>
          <w:rFonts w:ascii="Arial" w:hAnsi="Arial"/>
          <w:b/>
          <w:szCs w:val="24"/>
        </w:rPr>
        <w:t>AUTOIMMUNE RHEUMATIC DISEASE – SLE, RHEUMATOID ARTHRITIS</w:t>
      </w:r>
    </w:p>
    <w:tbl>
      <w:tblPr>
        <w:tblStyle w:val="GridTable1Light-Accent1"/>
        <w:tblW w:w="10456" w:type="dxa"/>
        <w:tblLayout w:type="fixed"/>
        <w:tblLook w:val="04A0" w:firstRow="1" w:lastRow="0" w:firstColumn="1" w:lastColumn="0" w:noHBand="0" w:noVBand="1"/>
        <w:tblCaption w:val="table of antigens "/>
      </w:tblPr>
      <w:tblGrid>
        <w:gridCol w:w="1892"/>
        <w:gridCol w:w="2044"/>
        <w:gridCol w:w="6520"/>
      </w:tblGrid>
      <w:tr w:rsidR="003952B9" w:rsidRPr="00C9544F" w:rsidTr="00C955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2" w:type="dxa"/>
          </w:tcPr>
          <w:p w:rsidR="003952B9" w:rsidRPr="00C955E6" w:rsidRDefault="00C955E6" w:rsidP="00EA3038">
            <w:pPr>
              <w:rPr>
                <w:rFonts w:ascii="Arial" w:hAnsi="Arial" w:cs="Arial"/>
                <w:sz w:val="20"/>
              </w:rPr>
            </w:pPr>
            <w:r w:rsidRPr="00C955E6">
              <w:rPr>
                <w:rFonts w:ascii="Arial" w:hAnsi="Arial" w:cs="Arial"/>
                <w:sz w:val="20"/>
              </w:rPr>
              <w:t>TEST/REQUES</w:t>
            </w:r>
            <w:r w:rsidR="003952B9" w:rsidRPr="00C955E6">
              <w:rPr>
                <w:rFonts w:ascii="Arial" w:hAnsi="Arial" w:cs="Arial"/>
                <w:sz w:val="20"/>
              </w:rPr>
              <w:t>T</w:t>
            </w:r>
          </w:p>
        </w:tc>
        <w:tc>
          <w:tcPr>
            <w:tcW w:w="2044" w:type="dxa"/>
          </w:tcPr>
          <w:p w:rsidR="003952B9" w:rsidRPr="00C955E6" w:rsidRDefault="003952B9" w:rsidP="00EA3038">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C955E6">
              <w:rPr>
                <w:rFonts w:ascii="Arial" w:hAnsi="Arial" w:cs="Arial"/>
                <w:sz w:val="20"/>
              </w:rPr>
              <w:t>POSSIBLE CLINICAL OUTCOME</w:t>
            </w:r>
          </w:p>
        </w:tc>
        <w:tc>
          <w:tcPr>
            <w:tcW w:w="6520" w:type="dxa"/>
          </w:tcPr>
          <w:p w:rsidR="003952B9" w:rsidRPr="00C955E6" w:rsidRDefault="003952B9" w:rsidP="00EA3038">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C955E6">
              <w:rPr>
                <w:rFonts w:ascii="Arial" w:hAnsi="Arial" w:cs="Arial"/>
                <w:sz w:val="20"/>
              </w:rPr>
              <w:t>COMMENTS</w:t>
            </w:r>
          </w:p>
        </w:tc>
      </w:tr>
      <w:tr w:rsidR="003952B9" w:rsidRPr="00C9544F" w:rsidTr="00C955E6">
        <w:tc>
          <w:tcPr>
            <w:cnfStyle w:val="001000000000" w:firstRow="0" w:lastRow="0" w:firstColumn="1" w:lastColumn="0" w:oddVBand="0" w:evenVBand="0" w:oddHBand="0" w:evenHBand="0" w:firstRowFirstColumn="0" w:firstRowLastColumn="0" w:lastRowFirstColumn="0" w:lastRowLastColumn="0"/>
            <w:tcW w:w="1892" w:type="dxa"/>
          </w:tcPr>
          <w:p w:rsidR="003952B9" w:rsidRPr="00C955E6" w:rsidRDefault="003952B9" w:rsidP="00EA3038">
            <w:pPr>
              <w:rPr>
                <w:rFonts w:ascii="Arial" w:hAnsi="Arial" w:cs="Arial"/>
                <w:b w:val="0"/>
                <w:sz w:val="22"/>
                <w:szCs w:val="22"/>
              </w:rPr>
            </w:pPr>
            <w:r w:rsidRPr="00C955E6">
              <w:rPr>
                <w:rFonts w:ascii="Arial" w:hAnsi="Arial" w:cs="Arial"/>
                <w:b w:val="0"/>
                <w:sz w:val="22"/>
                <w:szCs w:val="22"/>
              </w:rPr>
              <w:t>Rheumatoid factor</w:t>
            </w:r>
          </w:p>
        </w:tc>
        <w:tc>
          <w:tcPr>
            <w:tcW w:w="2044"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Rheumatoid arthritis</w:t>
            </w:r>
          </w:p>
        </w:tc>
        <w:tc>
          <w:tcPr>
            <w:tcW w:w="6520" w:type="dxa"/>
          </w:tcPr>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Low concentrations may be seen in the elderly and in patients with chronic infections.</w:t>
            </w:r>
          </w:p>
          <w:p w:rsidR="003952B9" w:rsidRPr="00C9544F" w:rsidRDefault="003952B9" w:rsidP="00EA3038">
            <w:pPr>
              <w:pStyle w:val="ListParagraph"/>
              <w:numPr>
                <w:ilvl w:val="0"/>
                <w:numId w:val="36"/>
              </w:numPr>
              <w:contextualSpacing/>
              <w:cnfStyle w:val="000000000000" w:firstRow="0" w:lastRow="0" w:firstColumn="0" w:lastColumn="0" w:oddVBand="0" w:evenVBand="0" w:oddHBand="0" w:evenHBand="0" w:firstRowFirstColumn="0" w:firstRowLastColumn="0" w:lastRowFirstColumn="0" w:lastRowLastColumn="0"/>
              <w:rPr>
                <w:rFonts w:cs="Arial"/>
                <w:sz w:val="22"/>
                <w:szCs w:val="22"/>
              </w:rPr>
            </w:pPr>
            <w:r w:rsidRPr="00C9544F">
              <w:rPr>
                <w:rFonts w:cs="Arial"/>
                <w:sz w:val="22"/>
                <w:szCs w:val="22"/>
              </w:rPr>
              <w:t>Lacks sensitivity for monitoring RA – use CRP instead of rheumatoid factor.</w:t>
            </w:r>
          </w:p>
        </w:tc>
      </w:tr>
      <w:tr w:rsidR="003952B9" w:rsidRPr="00C9544F" w:rsidTr="00C955E6">
        <w:tc>
          <w:tcPr>
            <w:cnfStyle w:val="001000000000" w:firstRow="0" w:lastRow="0" w:firstColumn="1" w:lastColumn="0" w:oddVBand="0" w:evenVBand="0" w:oddHBand="0" w:evenHBand="0" w:firstRowFirstColumn="0" w:firstRowLastColumn="0" w:lastRowFirstColumn="0" w:lastRowLastColumn="0"/>
            <w:tcW w:w="1892" w:type="dxa"/>
          </w:tcPr>
          <w:p w:rsidR="003952B9" w:rsidRPr="00C9544F" w:rsidRDefault="003952B9" w:rsidP="00EA3038">
            <w:pPr>
              <w:rPr>
                <w:rFonts w:ascii="Arial" w:hAnsi="Arial" w:cs="Arial"/>
                <w:sz w:val="22"/>
                <w:szCs w:val="22"/>
              </w:rPr>
            </w:pPr>
            <w:r w:rsidRPr="00C9544F">
              <w:rPr>
                <w:rFonts w:ascii="Arial" w:hAnsi="Arial" w:cs="Arial"/>
                <w:b w:val="0"/>
                <w:sz w:val="22"/>
                <w:szCs w:val="22"/>
              </w:rPr>
              <w:t>Anti cyclic citrullinated peptide antibody (CCP)</w:t>
            </w:r>
          </w:p>
        </w:tc>
        <w:tc>
          <w:tcPr>
            <w:tcW w:w="2044"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Rheumatoid arthritis</w:t>
            </w:r>
          </w:p>
        </w:tc>
        <w:tc>
          <w:tcPr>
            <w:tcW w:w="6520" w:type="dxa"/>
          </w:tcPr>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Useful when rheumatoid factor results and the clinical picture are inconsistent.</w:t>
            </w:r>
          </w:p>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 xml:space="preserve">Positive anti CCP antibodies </w:t>
            </w:r>
            <w:r w:rsidRPr="00C9544F">
              <w:rPr>
                <w:rFonts w:ascii="Arial" w:hAnsi="Arial" w:cs="Arial"/>
                <w:sz w:val="22"/>
                <w:szCs w:val="22"/>
                <w:u w:val="single"/>
              </w:rPr>
              <w:t>and</w:t>
            </w:r>
            <w:r w:rsidRPr="00C9544F">
              <w:rPr>
                <w:rFonts w:ascii="Arial" w:hAnsi="Arial" w:cs="Arial"/>
                <w:sz w:val="22"/>
                <w:szCs w:val="22"/>
              </w:rPr>
              <w:t xml:space="preserve"> rheumatoid factor are suggestive of worse disease in RA.</w:t>
            </w:r>
          </w:p>
          <w:p w:rsidR="003952B9" w:rsidRDefault="003952B9" w:rsidP="00FD56FE">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9544F">
              <w:rPr>
                <w:rFonts w:ascii="Arial" w:hAnsi="Arial" w:cs="Arial"/>
                <w:sz w:val="22"/>
                <w:szCs w:val="22"/>
              </w:rPr>
              <w:t xml:space="preserve">Consultant Rheumatologist ONLY requests. </w:t>
            </w:r>
            <w:r w:rsidRPr="00C9544F">
              <w:rPr>
                <w:rFonts w:ascii="Arial" w:hAnsi="Arial" w:cs="Arial"/>
                <w:b/>
                <w:sz w:val="22"/>
                <w:szCs w:val="22"/>
              </w:rPr>
              <w:t xml:space="preserve">Guidelines available on </w:t>
            </w:r>
            <w:r w:rsidR="00BF1166">
              <w:rPr>
                <w:rFonts w:ascii="Arial" w:hAnsi="Arial" w:cs="Arial"/>
                <w:b/>
                <w:sz w:val="22"/>
                <w:szCs w:val="22"/>
              </w:rPr>
              <w:t xml:space="preserve">the pathology microguide: </w:t>
            </w:r>
          </w:p>
          <w:p w:rsidR="00BF1166" w:rsidRDefault="00674CB2" w:rsidP="00BF1166">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38" w:history="1">
              <w:r w:rsidR="00BF1166" w:rsidRPr="00FB04C6">
                <w:rPr>
                  <w:rStyle w:val="Hyperlink"/>
                  <w:rFonts w:ascii="Arial" w:hAnsi="Arial" w:cs="Arial"/>
                  <w:sz w:val="22"/>
                  <w:szCs w:val="22"/>
                </w:rPr>
                <w:t>https://viewer.microguide.global/guide/1000000446/content/pathology-guidelines</w:t>
              </w:r>
            </w:hyperlink>
          </w:p>
          <w:p w:rsidR="00BF1166" w:rsidRPr="00C9544F" w:rsidRDefault="00BF1166" w:rsidP="00BF1166">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3952B9" w:rsidRPr="00C9544F" w:rsidTr="00C955E6">
        <w:tc>
          <w:tcPr>
            <w:cnfStyle w:val="001000000000" w:firstRow="0" w:lastRow="0" w:firstColumn="1" w:lastColumn="0" w:oddVBand="0" w:evenVBand="0" w:oddHBand="0" w:evenHBand="0" w:firstRowFirstColumn="0" w:firstRowLastColumn="0" w:lastRowFirstColumn="0" w:lastRowLastColumn="0"/>
            <w:tcW w:w="1892"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Anti-nuclear antibodies</w:t>
            </w:r>
          </w:p>
          <w:p w:rsidR="003952B9" w:rsidRPr="00C9544F" w:rsidRDefault="003952B9" w:rsidP="00EA3038">
            <w:pPr>
              <w:rPr>
                <w:rFonts w:ascii="Arial" w:hAnsi="Arial" w:cs="Arial"/>
                <w:b w:val="0"/>
                <w:sz w:val="22"/>
                <w:szCs w:val="22"/>
              </w:rPr>
            </w:pPr>
            <w:r w:rsidRPr="00C9544F">
              <w:rPr>
                <w:rFonts w:ascii="Arial" w:hAnsi="Arial" w:cs="Arial"/>
                <w:b w:val="0"/>
                <w:sz w:val="22"/>
                <w:szCs w:val="22"/>
              </w:rPr>
              <w:t>(ANA)</w:t>
            </w:r>
          </w:p>
        </w:tc>
        <w:tc>
          <w:tcPr>
            <w:tcW w:w="2044"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Connective tissue disorders</w:t>
            </w:r>
          </w:p>
        </w:tc>
        <w:tc>
          <w:tcPr>
            <w:tcW w:w="6520" w:type="dxa"/>
          </w:tcPr>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Low titre ANA may be seen in the elderly and associated with viral infections.</w:t>
            </w:r>
          </w:p>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Weak positive ANA with no clear clinical pattern – suggest recheck in 3-6 month if symptoms persist or worsen.</w:t>
            </w:r>
          </w:p>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Positive ANA may also be found in autoimmune liver disease.</w:t>
            </w:r>
          </w:p>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b/>
                <w:sz w:val="22"/>
                <w:szCs w:val="22"/>
              </w:rPr>
              <w:t>Further tests: specimens showing a significantly positive ANA will be automatically further tested for antibodies to double stranded DNA and extractable nuclear antigens (SSA, SSB, RNP, Sm, Scl-70 and Jo-1). Other antigen specificities will be tested depending upon the clinical details.</w:t>
            </w:r>
          </w:p>
        </w:tc>
      </w:tr>
      <w:tr w:rsidR="003952B9" w:rsidRPr="00C9544F" w:rsidTr="00C955E6">
        <w:tc>
          <w:tcPr>
            <w:cnfStyle w:val="001000000000" w:firstRow="0" w:lastRow="0" w:firstColumn="1" w:lastColumn="0" w:oddVBand="0" w:evenVBand="0" w:oddHBand="0" w:evenHBand="0" w:firstRowFirstColumn="0" w:firstRowLastColumn="0" w:lastRowFirstColumn="0" w:lastRowLastColumn="0"/>
            <w:tcW w:w="1892"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Double stranded DNA antibody (dsDNA)</w:t>
            </w:r>
          </w:p>
        </w:tc>
        <w:tc>
          <w:tcPr>
            <w:tcW w:w="2044"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Diagnosis and monitoring of SLE</w:t>
            </w:r>
          </w:p>
        </w:tc>
        <w:tc>
          <w:tcPr>
            <w:tcW w:w="6520" w:type="dxa"/>
          </w:tcPr>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Used for monitoring SLE – typically every 3-6 months, but may be more frequent in active disease and disease exacerbations.</w:t>
            </w:r>
          </w:p>
        </w:tc>
      </w:tr>
      <w:tr w:rsidR="003952B9" w:rsidRPr="00C9544F" w:rsidTr="00C955E6">
        <w:tc>
          <w:tcPr>
            <w:cnfStyle w:val="001000000000" w:firstRow="0" w:lastRow="0" w:firstColumn="1" w:lastColumn="0" w:oddVBand="0" w:evenVBand="0" w:oddHBand="0" w:evenHBand="0" w:firstRowFirstColumn="0" w:firstRowLastColumn="0" w:lastRowFirstColumn="0" w:lastRowLastColumn="0"/>
            <w:tcW w:w="1892"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SSA (Ro) antibody</w:t>
            </w:r>
          </w:p>
        </w:tc>
        <w:tc>
          <w:tcPr>
            <w:tcW w:w="2044" w:type="dxa"/>
          </w:tcPr>
          <w:p w:rsidR="003952B9" w:rsidRPr="00C9544F" w:rsidRDefault="003952B9" w:rsidP="00EA30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v-SE"/>
              </w:rPr>
            </w:pPr>
            <w:r w:rsidRPr="00C9544F">
              <w:rPr>
                <w:rFonts w:ascii="Arial" w:hAnsi="Arial" w:cs="Arial"/>
                <w:sz w:val="22"/>
                <w:szCs w:val="22"/>
                <w:lang w:val="sv-SE"/>
              </w:rPr>
              <w:t>Sjogrens syndrome</w:t>
            </w:r>
          </w:p>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lang w:val="sv-SE"/>
              </w:rPr>
              <w:t>SLE</w:t>
            </w:r>
          </w:p>
        </w:tc>
        <w:tc>
          <w:tcPr>
            <w:tcW w:w="6520" w:type="dxa"/>
          </w:tcPr>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Associated with neonatal heart block.</w:t>
            </w:r>
          </w:p>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Not useful for monitoring disease.</w:t>
            </w:r>
          </w:p>
        </w:tc>
      </w:tr>
      <w:tr w:rsidR="003952B9" w:rsidRPr="00C9544F" w:rsidTr="00C955E6">
        <w:tc>
          <w:tcPr>
            <w:cnfStyle w:val="001000000000" w:firstRow="0" w:lastRow="0" w:firstColumn="1" w:lastColumn="0" w:oddVBand="0" w:evenVBand="0" w:oddHBand="0" w:evenHBand="0" w:firstRowFirstColumn="0" w:firstRowLastColumn="0" w:lastRowFirstColumn="0" w:lastRowLastColumn="0"/>
            <w:tcW w:w="1892"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SSB (La) antibody</w:t>
            </w:r>
          </w:p>
        </w:tc>
        <w:tc>
          <w:tcPr>
            <w:tcW w:w="2044" w:type="dxa"/>
          </w:tcPr>
          <w:p w:rsidR="003952B9" w:rsidRPr="00C9544F" w:rsidRDefault="003952B9" w:rsidP="00EA30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v-SE"/>
              </w:rPr>
            </w:pPr>
            <w:r w:rsidRPr="00C9544F">
              <w:rPr>
                <w:rFonts w:ascii="Arial" w:hAnsi="Arial" w:cs="Arial"/>
                <w:sz w:val="22"/>
                <w:szCs w:val="22"/>
                <w:lang w:val="sv-SE"/>
              </w:rPr>
              <w:t>Sjogrens syndrome</w:t>
            </w:r>
          </w:p>
          <w:p w:rsidR="003952B9" w:rsidRPr="00C9544F" w:rsidRDefault="003952B9" w:rsidP="00EA30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v-SE"/>
              </w:rPr>
            </w:pPr>
            <w:r w:rsidRPr="00C9544F">
              <w:rPr>
                <w:rFonts w:ascii="Arial" w:hAnsi="Arial" w:cs="Arial"/>
                <w:sz w:val="22"/>
                <w:szCs w:val="22"/>
                <w:lang w:val="sv-SE"/>
              </w:rPr>
              <w:t>SLE</w:t>
            </w:r>
          </w:p>
        </w:tc>
        <w:tc>
          <w:tcPr>
            <w:tcW w:w="6520" w:type="dxa"/>
          </w:tcPr>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Not useful for monitoring disease.</w:t>
            </w:r>
          </w:p>
        </w:tc>
      </w:tr>
      <w:tr w:rsidR="003952B9" w:rsidRPr="00C9544F" w:rsidTr="00C955E6">
        <w:tc>
          <w:tcPr>
            <w:cnfStyle w:val="001000000000" w:firstRow="0" w:lastRow="0" w:firstColumn="1" w:lastColumn="0" w:oddVBand="0" w:evenVBand="0" w:oddHBand="0" w:evenHBand="0" w:firstRowFirstColumn="0" w:firstRowLastColumn="0" w:lastRowFirstColumn="0" w:lastRowLastColumn="0"/>
            <w:tcW w:w="1892"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Ribo-nuclear protein antibody (RNP)</w:t>
            </w:r>
          </w:p>
        </w:tc>
        <w:tc>
          <w:tcPr>
            <w:tcW w:w="2044" w:type="dxa"/>
          </w:tcPr>
          <w:p w:rsidR="003952B9" w:rsidRPr="00C9544F" w:rsidRDefault="003952B9" w:rsidP="00EA30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v-SE"/>
              </w:rPr>
            </w:pPr>
            <w:r w:rsidRPr="00C9544F">
              <w:rPr>
                <w:rFonts w:ascii="Arial" w:hAnsi="Arial" w:cs="Arial"/>
                <w:sz w:val="22"/>
                <w:szCs w:val="22"/>
              </w:rPr>
              <w:t>Mixed connective tissue disease</w:t>
            </w:r>
          </w:p>
        </w:tc>
        <w:tc>
          <w:tcPr>
            <w:tcW w:w="6520" w:type="dxa"/>
          </w:tcPr>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Not useful for monitoring disease.</w:t>
            </w:r>
          </w:p>
        </w:tc>
      </w:tr>
      <w:tr w:rsidR="003952B9" w:rsidRPr="00C9544F" w:rsidTr="00C955E6">
        <w:tc>
          <w:tcPr>
            <w:cnfStyle w:val="001000000000" w:firstRow="0" w:lastRow="0" w:firstColumn="1" w:lastColumn="0" w:oddVBand="0" w:evenVBand="0" w:oddHBand="0" w:evenHBand="0" w:firstRowFirstColumn="0" w:firstRowLastColumn="0" w:lastRowFirstColumn="0" w:lastRowLastColumn="0"/>
            <w:tcW w:w="1892"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Sm antibody</w:t>
            </w:r>
          </w:p>
        </w:tc>
        <w:tc>
          <w:tcPr>
            <w:tcW w:w="2044" w:type="dxa"/>
          </w:tcPr>
          <w:p w:rsidR="003952B9" w:rsidRPr="00C9544F" w:rsidRDefault="003952B9" w:rsidP="00EA30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SLE</w:t>
            </w:r>
          </w:p>
        </w:tc>
        <w:tc>
          <w:tcPr>
            <w:tcW w:w="6520" w:type="dxa"/>
          </w:tcPr>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Not useful for monitoring disease.</w:t>
            </w:r>
          </w:p>
        </w:tc>
      </w:tr>
      <w:tr w:rsidR="003952B9" w:rsidRPr="00C9544F" w:rsidTr="00C955E6">
        <w:tc>
          <w:tcPr>
            <w:cnfStyle w:val="001000000000" w:firstRow="0" w:lastRow="0" w:firstColumn="1" w:lastColumn="0" w:oddVBand="0" w:evenVBand="0" w:oddHBand="0" w:evenHBand="0" w:firstRowFirstColumn="0" w:firstRowLastColumn="0" w:lastRowFirstColumn="0" w:lastRowLastColumn="0"/>
            <w:tcW w:w="1892"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Scl-70 antibody</w:t>
            </w:r>
          </w:p>
        </w:tc>
        <w:tc>
          <w:tcPr>
            <w:tcW w:w="2044" w:type="dxa"/>
          </w:tcPr>
          <w:p w:rsidR="003952B9" w:rsidRPr="00C9544F" w:rsidRDefault="003952B9" w:rsidP="00EA30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Systemic sclerosis</w:t>
            </w:r>
          </w:p>
        </w:tc>
        <w:tc>
          <w:tcPr>
            <w:tcW w:w="6520" w:type="dxa"/>
          </w:tcPr>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Not useful for monitoring disease.</w:t>
            </w:r>
          </w:p>
        </w:tc>
      </w:tr>
      <w:tr w:rsidR="003952B9" w:rsidRPr="00C9544F" w:rsidTr="00C955E6">
        <w:tc>
          <w:tcPr>
            <w:cnfStyle w:val="001000000000" w:firstRow="0" w:lastRow="0" w:firstColumn="1" w:lastColumn="0" w:oddVBand="0" w:evenVBand="0" w:oddHBand="0" w:evenHBand="0" w:firstRowFirstColumn="0" w:firstRowLastColumn="0" w:lastRowFirstColumn="0" w:lastRowLastColumn="0"/>
            <w:tcW w:w="1892"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Jo-1 antibody</w:t>
            </w:r>
          </w:p>
        </w:tc>
        <w:tc>
          <w:tcPr>
            <w:tcW w:w="2044" w:type="dxa"/>
          </w:tcPr>
          <w:p w:rsidR="003952B9" w:rsidRPr="00C9544F" w:rsidRDefault="003952B9" w:rsidP="00EA30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Dermatomyositis</w:t>
            </w:r>
          </w:p>
        </w:tc>
        <w:tc>
          <w:tcPr>
            <w:tcW w:w="6520" w:type="dxa"/>
          </w:tcPr>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Not useful for monitoring disease.</w:t>
            </w:r>
          </w:p>
        </w:tc>
      </w:tr>
      <w:tr w:rsidR="003952B9" w:rsidRPr="00C9544F" w:rsidTr="00C955E6">
        <w:tc>
          <w:tcPr>
            <w:cnfStyle w:val="001000000000" w:firstRow="0" w:lastRow="0" w:firstColumn="1" w:lastColumn="0" w:oddVBand="0" w:evenVBand="0" w:oddHBand="0" w:evenHBand="0" w:firstRowFirstColumn="0" w:firstRowLastColumn="0" w:lastRowFirstColumn="0" w:lastRowLastColumn="0"/>
            <w:tcW w:w="1892"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Centromere antibody</w:t>
            </w:r>
          </w:p>
        </w:tc>
        <w:tc>
          <w:tcPr>
            <w:tcW w:w="2044" w:type="dxa"/>
          </w:tcPr>
          <w:p w:rsidR="003952B9" w:rsidRPr="00C9544F" w:rsidRDefault="003952B9" w:rsidP="00EA30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CREST syndrome</w:t>
            </w:r>
          </w:p>
        </w:tc>
        <w:tc>
          <w:tcPr>
            <w:tcW w:w="6520" w:type="dxa"/>
          </w:tcPr>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Not useful for monitoring disease.</w:t>
            </w:r>
          </w:p>
        </w:tc>
      </w:tr>
      <w:tr w:rsidR="003952B9" w:rsidRPr="00C9544F" w:rsidTr="00C955E6">
        <w:tc>
          <w:tcPr>
            <w:cnfStyle w:val="001000000000" w:firstRow="0" w:lastRow="0" w:firstColumn="1" w:lastColumn="0" w:oddVBand="0" w:evenVBand="0" w:oddHBand="0" w:evenHBand="0" w:firstRowFirstColumn="0" w:firstRowLastColumn="0" w:lastRowFirstColumn="0" w:lastRowLastColumn="0"/>
            <w:tcW w:w="1892"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Myositis specific autoantibody panel</w:t>
            </w:r>
          </w:p>
        </w:tc>
        <w:tc>
          <w:tcPr>
            <w:tcW w:w="2044" w:type="dxa"/>
          </w:tcPr>
          <w:p w:rsidR="003952B9" w:rsidRPr="00C9544F" w:rsidRDefault="003952B9" w:rsidP="00EA30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Myositis syndromes</w:t>
            </w:r>
          </w:p>
        </w:tc>
        <w:tc>
          <w:tcPr>
            <w:tcW w:w="6520" w:type="dxa"/>
          </w:tcPr>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Not useful for monitoring disease.</w:t>
            </w:r>
          </w:p>
        </w:tc>
      </w:tr>
      <w:tr w:rsidR="003952B9" w:rsidRPr="00C9544F" w:rsidTr="00C955E6">
        <w:tc>
          <w:tcPr>
            <w:cnfStyle w:val="001000000000" w:firstRow="0" w:lastRow="0" w:firstColumn="1" w:lastColumn="0" w:oddVBand="0" w:evenVBand="0" w:oddHBand="0" w:evenHBand="0" w:firstRowFirstColumn="0" w:firstRowLastColumn="0" w:lastRowFirstColumn="0" w:lastRowLastColumn="0"/>
            <w:tcW w:w="1892"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Complement C3 and C4</w:t>
            </w:r>
          </w:p>
        </w:tc>
        <w:tc>
          <w:tcPr>
            <w:tcW w:w="2044" w:type="dxa"/>
          </w:tcPr>
          <w:p w:rsidR="003952B9" w:rsidRPr="00C9544F" w:rsidRDefault="003952B9" w:rsidP="00EA30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Immune complex diseases</w:t>
            </w:r>
          </w:p>
        </w:tc>
        <w:tc>
          <w:tcPr>
            <w:tcW w:w="6520" w:type="dxa"/>
          </w:tcPr>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Falling C4 concentration may predict lupus nephritis.</w:t>
            </w:r>
          </w:p>
          <w:p w:rsidR="003952B9" w:rsidRPr="00C9544F" w:rsidRDefault="003952B9" w:rsidP="00EA3038">
            <w:pPr>
              <w:widowControl/>
              <w:numPr>
                <w:ilvl w:val="0"/>
                <w:numId w:val="37"/>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Cryoglobulin analysis may be indicated with an unexpected low C4 concentration – Call the lab for collection protocol.</w:t>
            </w:r>
          </w:p>
        </w:tc>
      </w:tr>
    </w:tbl>
    <w:p w:rsidR="003952B9" w:rsidRDefault="003952B9" w:rsidP="003952B9">
      <w:pPr>
        <w:rPr>
          <w:rFonts w:ascii="Arial" w:hAnsi="Arial"/>
          <w:sz w:val="20"/>
        </w:rPr>
      </w:pPr>
    </w:p>
    <w:p w:rsidR="00A75971" w:rsidRDefault="00A75971" w:rsidP="003952B9">
      <w:pPr>
        <w:rPr>
          <w:rFonts w:ascii="Arial" w:hAnsi="Arial"/>
          <w:b/>
          <w:szCs w:val="24"/>
        </w:rPr>
      </w:pPr>
    </w:p>
    <w:p w:rsidR="003952B9" w:rsidRDefault="003952B9" w:rsidP="003952B9">
      <w:pPr>
        <w:rPr>
          <w:rFonts w:ascii="Arial" w:hAnsi="Arial"/>
          <w:b/>
          <w:szCs w:val="24"/>
        </w:rPr>
      </w:pPr>
      <w:r w:rsidRPr="003C0273">
        <w:rPr>
          <w:rFonts w:ascii="Arial" w:hAnsi="Arial"/>
          <w:b/>
          <w:szCs w:val="24"/>
        </w:rPr>
        <w:t>AUTOIMMUNE THYROID DISEASE AND DIABETES</w:t>
      </w:r>
    </w:p>
    <w:tbl>
      <w:tblPr>
        <w:tblStyle w:val="GridTable1Light-Accent1"/>
        <w:tblW w:w="0" w:type="auto"/>
        <w:tblInd w:w="-147" w:type="dxa"/>
        <w:tblLook w:val="04A0" w:firstRow="1" w:lastRow="0" w:firstColumn="1" w:lastColumn="0" w:noHBand="0" w:noVBand="1"/>
        <w:tblCaption w:val="table of antigens "/>
      </w:tblPr>
      <w:tblGrid>
        <w:gridCol w:w="1838"/>
        <w:gridCol w:w="1622"/>
        <w:gridCol w:w="7053"/>
      </w:tblGrid>
      <w:tr w:rsidR="009B1EE1" w:rsidRPr="00C9544F" w:rsidTr="009B1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dxa"/>
          </w:tcPr>
          <w:p w:rsidR="003952B9" w:rsidRPr="00EA6070" w:rsidRDefault="009B1EE1" w:rsidP="00EA3038">
            <w:pPr>
              <w:rPr>
                <w:rFonts w:ascii="Arial" w:hAnsi="Arial" w:cs="Arial"/>
                <w:sz w:val="20"/>
              </w:rPr>
            </w:pPr>
            <w:r>
              <w:rPr>
                <w:rFonts w:ascii="Arial" w:hAnsi="Arial" w:cs="Arial"/>
                <w:sz w:val="20"/>
              </w:rPr>
              <w:t>TEST/REQUES</w:t>
            </w:r>
            <w:r w:rsidR="003952B9" w:rsidRPr="00EA6070">
              <w:rPr>
                <w:rFonts w:ascii="Arial" w:hAnsi="Arial" w:cs="Arial"/>
                <w:sz w:val="20"/>
              </w:rPr>
              <w:t>T</w:t>
            </w:r>
          </w:p>
        </w:tc>
        <w:tc>
          <w:tcPr>
            <w:tcW w:w="1614" w:type="dxa"/>
          </w:tcPr>
          <w:p w:rsidR="003952B9" w:rsidRPr="00EA6070" w:rsidRDefault="003952B9" w:rsidP="00EA3038">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EA6070">
              <w:rPr>
                <w:rFonts w:ascii="Arial" w:hAnsi="Arial" w:cs="Arial"/>
                <w:sz w:val="20"/>
              </w:rPr>
              <w:t>POSSIBLE CLINICAL OUTCOME</w:t>
            </w:r>
          </w:p>
        </w:tc>
        <w:tc>
          <w:tcPr>
            <w:tcW w:w="0" w:type="auto"/>
          </w:tcPr>
          <w:p w:rsidR="003952B9" w:rsidRPr="00EA6070" w:rsidRDefault="003952B9" w:rsidP="00EA3038">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EA6070">
              <w:rPr>
                <w:rFonts w:ascii="Arial" w:hAnsi="Arial" w:cs="Arial"/>
                <w:sz w:val="20"/>
              </w:rPr>
              <w:t>COMMENTS</w:t>
            </w:r>
          </w:p>
        </w:tc>
      </w:tr>
      <w:tr w:rsidR="009B1EE1" w:rsidRPr="00C9544F" w:rsidTr="009B1EE1">
        <w:tc>
          <w:tcPr>
            <w:cnfStyle w:val="001000000000" w:firstRow="0" w:lastRow="0" w:firstColumn="1" w:lastColumn="0" w:oddVBand="0" w:evenVBand="0" w:oddHBand="0" w:evenHBand="0" w:firstRowFirstColumn="0" w:firstRowLastColumn="0" w:lastRowFirstColumn="0" w:lastRowLastColumn="0"/>
            <w:tcW w:w="1887" w:type="dxa"/>
          </w:tcPr>
          <w:p w:rsidR="003952B9" w:rsidRPr="00C9544F" w:rsidRDefault="003952B9" w:rsidP="00EA3038">
            <w:pPr>
              <w:rPr>
                <w:rFonts w:ascii="Arial" w:hAnsi="Arial" w:cs="Arial"/>
                <w:sz w:val="22"/>
                <w:szCs w:val="22"/>
              </w:rPr>
            </w:pPr>
            <w:r w:rsidRPr="00C9544F">
              <w:rPr>
                <w:rFonts w:ascii="Arial" w:hAnsi="Arial" w:cs="Arial"/>
                <w:b w:val="0"/>
                <w:sz w:val="22"/>
                <w:szCs w:val="22"/>
              </w:rPr>
              <w:t>Thyroid peroxidase antibody (TPO)</w:t>
            </w:r>
          </w:p>
        </w:tc>
        <w:tc>
          <w:tcPr>
            <w:tcW w:w="1614"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Autoimmune thyroiditis</w:t>
            </w:r>
          </w:p>
        </w:tc>
        <w:tc>
          <w:tcPr>
            <w:tcW w:w="0" w:type="auto"/>
          </w:tcPr>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Anti thyroid peroxidase antibodies should only be requested in particular situations – the most common is when the TSH is between 5 and 10 mU/L with a normal free T4.</w:t>
            </w:r>
          </w:p>
          <w:p w:rsidR="003952B9" w:rsidRPr="00C9544F" w:rsidRDefault="003952B9" w:rsidP="00EA3038">
            <w:pPr>
              <w:pStyle w:val="ListParagraph"/>
              <w:numPr>
                <w:ilvl w:val="0"/>
                <w:numId w:val="36"/>
              </w:numPr>
              <w:contextualSpacing/>
              <w:cnfStyle w:val="000000000000" w:firstRow="0" w:lastRow="0" w:firstColumn="0" w:lastColumn="0" w:oddVBand="0" w:evenVBand="0" w:oddHBand="0" w:evenHBand="0" w:firstRowFirstColumn="0" w:firstRowLastColumn="0" w:lastRowFirstColumn="0" w:lastRowLastColumn="0"/>
              <w:rPr>
                <w:rFonts w:cs="Arial"/>
                <w:sz w:val="22"/>
                <w:szCs w:val="22"/>
              </w:rPr>
            </w:pPr>
            <w:r w:rsidRPr="00C9544F">
              <w:rPr>
                <w:rFonts w:cs="Arial"/>
                <w:sz w:val="22"/>
                <w:szCs w:val="22"/>
              </w:rPr>
              <w:t>No indication for monitoring disease - use thyroid function tests.</w:t>
            </w:r>
          </w:p>
        </w:tc>
      </w:tr>
      <w:tr w:rsidR="009B1EE1" w:rsidRPr="00C9544F" w:rsidTr="009B1EE1">
        <w:tc>
          <w:tcPr>
            <w:cnfStyle w:val="001000000000" w:firstRow="0" w:lastRow="0" w:firstColumn="1" w:lastColumn="0" w:oddVBand="0" w:evenVBand="0" w:oddHBand="0" w:evenHBand="0" w:firstRowFirstColumn="0" w:firstRowLastColumn="0" w:lastRowFirstColumn="0" w:lastRowLastColumn="0"/>
            <w:tcW w:w="1887"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TSH receptor antibody</w:t>
            </w:r>
          </w:p>
        </w:tc>
        <w:tc>
          <w:tcPr>
            <w:tcW w:w="1614" w:type="dxa"/>
          </w:tcPr>
          <w:p w:rsidR="00EA6070" w:rsidRDefault="00EA6070"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Thyrotoxicosis</w:t>
            </w:r>
          </w:p>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Grave’s disease</w:t>
            </w:r>
          </w:p>
        </w:tc>
        <w:tc>
          <w:tcPr>
            <w:tcW w:w="0" w:type="auto"/>
          </w:tcPr>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Pathogenic antibodies that may be associated with neonatal hyperthyroidism.</w:t>
            </w:r>
          </w:p>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Can be used to monitor but TFTs usually used instead.</w:t>
            </w:r>
          </w:p>
        </w:tc>
      </w:tr>
      <w:tr w:rsidR="009B1EE1" w:rsidRPr="00C9544F" w:rsidTr="009B1EE1">
        <w:tc>
          <w:tcPr>
            <w:cnfStyle w:val="001000000000" w:firstRow="0" w:lastRow="0" w:firstColumn="1" w:lastColumn="0" w:oddVBand="0" w:evenVBand="0" w:oddHBand="0" w:evenHBand="0" w:firstRowFirstColumn="0" w:firstRowLastColumn="0" w:lastRowFirstColumn="0" w:lastRowLastColumn="0"/>
            <w:tcW w:w="1887"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Diabetes autoantibodies (GAD, IA-2 &amp; ZnT8)</w:t>
            </w:r>
          </w:p>
        </w:tc>
        <w:tc>
          <w:tcPr>
            <w:tcW w:w="1614"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Type 1 diabetes mellitus</w:t>
            </w:r>
          </w:p>
        </w:tc>
        <w:tc>
          <w:tcPr>
            <w:tcW w:w="0" w:type="auto"/>
          </w:tcPr>
          <w:p w:rsidR="00BF1166" w:rsidRDefault="00BF1166" w:rsidP="00BF1166">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9544F">
              <w:rPr>
                <w:rFonts w:ascii="Arial" w:hAnsi="Arial" w:cs="Arial"/>
                <w:b/>
                <w:sz w:val="22"/>
                <w:szCs w:val="22"/>
              </w:rPr>
              <w:t xml:space="preserve">Guidelines available on </w:t>
            </w:r>
            <w:r>
              <w:rPr>
                <w:rFonts w:ascii="Arial" w:hAnsi="Arial" w:cs="Arial"/>
                <w:b/>
                <w:sz w:val="22"/>
                <w:szCs w:val="22"/>
              </w:rPr>
              <w:t xml:space="preserve">the pathology microguide: </w:t>
            </w:r>
          </w:p>
          <w:p w:rsidR="00BF1166" w:rsidRDefault="00674CB2" w:rsidP="00BF1166">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39" w:history="1">
              <w:r w:rsidR="00BF1166" w:rsidRPr="00FB04C6">
                <w:rPr>
                  <w:rStyle w:val="Hyperlink"/>
                  <w:rFonts w:ascii="Arial" w:hAnsi="Arial" w:cs="Arial"/>
                  <w:sz w:val="22"/>
                  <w:szCs w:val="22"/>
                </w:rPr>
                <w:t>https://viewer.microguide.global/guide/1000000446/content/pathology-guidelines</w:t>
              </w:r>
            </w:hyperlink>
          </w:p>
          <w:p w:rsidR="003952B9" w:rsidRPr="00C9544F" w:rsidRDefault="003952B9" w:rsidP="001753F1">
            <w:pPr>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Diabetes autoantibodies should not be measured routinely to confirm type 1 diabetes</w:t>
            </w:r>
          </w:p>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May be useful if clinical presentation is atypical</w:t>
            </w:r>
          </w:p>
        </w:tc>
      </w:tr>
    </w:tbl>
    <w:p w:rsidR="003952B9" w:rsidRDefault="003952B9" w:rsidP="003952B9">
      <w:pPr>
        <w:rPr>
          <w:rFonts w:ascii="Arial" w:hAnsi="Arial"/>
          <w:b/>
          <w:sz w:val="20"/>
        </w:rPr>
      </w:pPr>
    </w:p>
    <w:p w:rsidR="009B1EE1" w:rsidRDefault="009B1EE1" w:rsidP="003952B9">
      <w:pPr>
        <w:rPr>
          <w:rFonts w:ascii="Arial" w:hAnsi="Arial"/>
          <w:b/>
          <w:szCs w:val="24"/>
        </w:rPr>
      </w:pPr>
    </w:p>
    <w:p w:rsidR="003952B9" w:rsidRPr="003C0273" w:rsidRDefault="003952B9" w:rsidP="003952B9">
      <w:pPr>
        <w:rPr>
          <w:rFonts w:ascii="Arial" w:hAnsi="Arial"/>
          <w:b/>
          <w:szCs w:val="24"/>
        </w:rPr>
      </w:pPr>
      <w:r w:rsidRPr="003C0273">
        <w:rPr>
          <w:rFonts w:ascii="Arial" w:hAnsi="Arial"/>
          <w:b/>
          <w:szCs w:val="24"/>
        </w:rPr>
        <w:t>LIVER DISEASE</w:t>
      </w:r>
    </w:p>
    <w:tbl>
      <w:tblPr>
        <w:tblStyle w:val="GridTable1Light-Accent1"/>
        <w:tblW w:w="10173" w:type="dxa"/>
        <w:tblLook w:val="04A0" w:firstRow="1" w:lastRow="0" w:firstColumn="1" w:lastColumn="0" w:noHBand="0" w:noVBand="1"/>
        <w:tblCaption w:val="table of antigens "/>
      </w:tblPr>
      <w:tblGrid>
        <w:gridCol w:w="3080"/>
        <w:gridCol w:w="3081"/>
        <w:gridCol w:w="4012"/>
      </w:tblGrid>
      <w:tr w:rsidR="003952B9" w:rsidRPr="00C9544F" w:rsidTr="009B1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tcPr>
          <w:p w:rsidR="003952B9" w:rsidRPr="009B1EE1" w:rsidRDefault="003952B9" w:rsidP="00EA3038">
            <w:pPr>
              <w:rPr>
                <w:rFonts w:ascii="Arial" w:hAnsi="Arial" w:cs="Arial"/>
                <w:sz w:val="20"/>
              </w:rPr>
            </w:pPr>
            <w:r w:rsidRPr="009B1EE1">
              <w:rPr>
                <w:rFonts w:ascii="Arial" w:hAnsi="Arial" w:cs="Arial"/>
                <w:sz w:val="20"/>
              </w:rPr>
              <w:t>TEST/REQUEST</w:t>
            </w:r>
          </w:p>
        </w:tc>
        <w:tc>
          <w:tcPr>
            <w:tcW w:w="3081" w:type="dxa"/>
          </w:tcPr>
          <w:p w:rsidR="003952B9" w:rsidRPr="009B1EE1" w:rsidRDefault="003952B9" w:rsidP="00EA3038">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9B1EE1">
              <w:rPr>
                <w:rFonts w:ascii="Arial" w:hAnsi="Arial" w:cs="Arial"/>
                <w:sz w:val="20"/>
              </w:rPr>
              <w:t>POSSIBLE CLINICAL OUTCOME</w:t>
            </w:r>
          </w:p>
        </w:tc>
        <w:tc>
          <w:tcPr>
            <w:tcW w:w="4012" w:type="dxa"/>
          </w:tcPr>
          <w:p w:rsidR="003952B9" w:rsidRPr="009B1EE1" w:rsidRDefault="003952B9" w:rsidP="00EA3038">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9B1EE1">
              <w:rPr>
                <w:rFonts w:ascii="Arial" w:hAnsi="Arial" w:cs="Arial"/>
                <w:sz w:val="20"/>
              </w:rPr>
              <w:t>COMMENTS</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3080" w:type="dxa"/>
          </w:tcPr>
          <w:p w:rsidR="003952B9" w:rsidRPr="00C9544F" w:rsidRDefault="003952B9" w:rsidP="00EA3038">
            <w:pPr>
              <w:rPr>
                <w:rFonts w:ascii="Arial" w:hAnsi="Arial" w:cs="Arial"/>
                <w:sz w:val="22"/>
                <w:szCs w:val="22"/>
              </w:rPr>
            </w:pPr>
            <w:r w:rsidRPr="00C9544F">
              <w:rPr>
                <w:rFonts w:ascii="Arial" w:hAnsi="Arial" w:cs="Arial"/>
                <w:b w:val="0"/>
                <w:sz w:val="22"/>
                <w:szCs w:val="22"/>
              </w:rPr>
              <w:t>Mitochondrial antibody</w:t>
            </w:r>
          </w:p>
        </w:tc>
        <w:tc>
          <w:tcPr>
            <w:tcW w:w="3081"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Primary biliary cirrhosis</w:t>
            </w:r>
          </w:p>
        </w:tc>
        <w:tc>
          <w:tcPr>
            <w:tcW w:w="4012" w:type="dxa"/>
          </w:tcPr>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M2 subtype may be indicated if results are inconsistent with clinical findings.</w:t>
            </w:r>
          </w:p>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Raised IgM concentrations often seen with PBC.</w:t>
            </w:r>
          </w:p>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 xml:space="preserve">Not typically used to monitor treatment. </w:t>
            </w:r>
          </w:p>
          <w:p w:rsidR="003952B9" w:rsidRPr="00C9544F" w:rsidRDefault="003952B9" w:rsidP="00EA3038">
            <w:pPr>
              <w:pStyle w:val="ListParagraph"/>
              <w:numPr>
                <w:ilvl w:val="0"/>
                <w:numId w:val="36"/>
              </w:numPr>
              <w:contextualSpacing/>
              <w:cnfStyle w:val="000000000000" w:firstRow="0" w:lastRow="0" w:firstColumn="0" w:lastColumn="0" w:oddVBand="0" w:evenVBand="0" w:oddHBand="0" w:evenHBand="0" w:firstRowFirstColumn="0" w:firstRowLastColumn="0" w:lastRowFirstColumn="0" w:lastRowLastColumn="0"/>
              <w:rPr>
                <w:rFonts w:cs="Arial"/>
                <w:sz w:val="22"/>
                <w:szCs w:val="22"/>
              </w:rPr>
            </w:pPr>
            <w:r w:rsidRPr="00C9544F">
              <w:rPr>
                <w:rFonts w:cs="Arial"/>
                <w:sz w:val="22"/>
                <w:szCs w:val="22"/>
              </w:rPr>
              <w:t>If you do want to recheck, request no more than every 6 -12 months.</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3080"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Smooth muscle antibody</w:t>
            </w:r>
          </w:p>
        </w:tc>
        <w:tc>
          <w:tcPr>
            <w:tcW w:w="3081"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Autoimmune hepatitis</w:t>
            </w:r>
          </w:p>
        </w:tc>
        <w:tc>
          <w:tcPr>
            <w:tcW w:w="4012" w:type="dxa"/>
          </w:tcPr>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Not typically used to monitor treatment.</w:t>
            </w:r>
          </w:p>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ANA may also be found.</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3080"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LKM antibody (Liver kidney microsomal)</w:t>
            </w:r>
          </w:p>
        </w:tc>
        <w:tc>
          <w:tcPr>
            <w:tcW w:w="3081"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Autoimmune hepatitis</w:t>
            </w:r>
          </w:p>
        </w:tc>
        <w:tc>
          <w:tcPr>
            <w:tcW w:w="4012" w:type="dxa"/>
          </w:tcPr>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Not typically used to monitor treatment.</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3080"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sym w:font="Symbol" w:char="F061"/>
            </w:r>
            <w:r w:rsidRPr="00C9544F">
              <w:rPr>
                <w:rFonts w:ascii="Arial" w:hAnsi="Arial" w:cs="Arial"/>
                <w:b w:val="0"/>
                <w:sz w:val="22"/>
                <w:szCs w:val="22"/>
              </w:rPr>
              <w:t>1 anti trypsin (concentration ± phenotype)</w:t>
            </w:r>
          </w:p>
        </w:tc>
        <w:tc>
          <w:tcPr>
            <w:tcW w:w="3081" w:type="dxa"/>
          </w:tcPr>
          <w:p w:rsidR="003952B9"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Liver disease</w:t>
            </w:r>
          </w:p>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Lung disease</w:t>
            </w:r>
          </w:p>
        </w:tc>
        <w:tc>
          <w:tcPr>
            <w:tcW w:w="4012" w:type="dxa"/>
          </w:tcPr>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Important investigation in prolonged neonatal jaundice.</w:t>
            </w:r>
          </w:p>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Deficiency phenotype can exacerbate liver disease.</w:t>
            </w:r>
          </w:p>
        </w:tc>
      </w:tr>
    </w:tbl>
    <w:p w:rsidR="00D8441A" w:rsidRDefault="00D8441A"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3952B9" w:rsidRPr="009D7C89" w:rsidRDefault="003952B9" w:rsidP="003952B9">
      <w:pPr>
        <w:rPr>
          <w:rFonts w:ascii="Arial" w:hAnsi="Arial"/>
          <w:b/>
          <w:szCs w:val="24"/>
        </w:rPr>
      </w:pPr>
      <w:r w:rsidRPr="009D7C89">
        <w:rPr>
          <w:rFonts w:ascii="Arial" w:hAnsi="Arial"/>
          <w:b/>
          <w:szCs w:val="24"/>
        </w:rPr>
        <w:t>GUT DISEASES</w:t>
      </w:r>
    </w:p>
    <w:tbl>
      <w:tblPr>
        <w:tblStyle w:val="GridTable1Light-Accent1"/>
        <w:tblW w:w="10173" w:type="dxa"/>
        <w:tblLook w:val="04A0" w:firstRow="1" w:lastRow="0" w:firstColumn="1" w:lastColumn="0" w:noHBand="0" w:noVBand="1"/>
        <w:tblCaption w:val="table of antigens"/>
      </w:tblPr>
      <w:tblGrid>
        <w:gridCol w:w="1750"/>
        <w:gridCol w:w="1439"/>
        <w:gridCol w:w="7053"/>
      </w:tblGrid>
      <w:tr w:rsidR="003952B9" w:rsidRPr="00C9544F" w:rsidTr="009B1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tcPr>
          <w:p w:rsidR="003952B9" w:rsidRPr="009B1EE1" w:rsidRDefault="003952B9" w:rsidP="00EA3038">
            <w:pPr>
              <w:rPr>
                <w:rFonts w:ascii="Arial" w:hAnsi="Arial" w:cs="Arial"/>
                <w:sz w:val="20"/>
              </w:rPr>
            </w:pPr>
            <w:r w:rsidRPr="009B1EE1">
              <w:rPr>
                <w:rFonts w:ascii="Arial" w:hAnsi="Arial" w:cs="Arial"/>
                <w:sz w:val="20"/>
              </w:rPr>
              <w:t>TEST/REQUEST</w:t>
            </w:r>
          </w:p>
        </w:tc>
        <w:tc>
          <w:tcPr>
            <w:tcW w:w="1923" w:type="dxa"/>
          </w:tcPr>
          <w:p w:rsidR="003952B9" w:rsidRPr="009B1EE1" w:rsidRDefault="003952B9" w:rsidP="00EA3038">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9B1EE1">
              <w:rPr>
                <w:rFonts w:ascii="Arial" w:hAnsi="Arial" w:cs="Arial"/>
                <w:sz w:val="20"/>
              </w:rPr>
              <w:t>POSSIBLE CLINICAL OUTCOME</w:t>
            </w:r>
          </w:p>
        </w:tc>
        <w:tc>
          <w:tcPr>
            <w:tcW w:w="6000" w:type="dxa"/>
          </w:tcPr>
          <w:p w:rsidR="003952B9" w:rsidRPr="009B1EE1" w:rsidRDefault="003952B9" w:rsidP="00EA3038">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9B1EE1">
              <w:rPr>
                <w:rFonts w:ascii="Arial" w:hAnsi="Arial" w:cs="Arial"/>
                <w:sz w:val="20"/>
              </w:rPr>
              <w:t>COMMENTS</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2250" w:type="dxa"/>
          </w:tcPr>
          <w:p w:rsidR="003952B9" w:rsidRPr="00C9544F" w:rsidRDefault="003952B9" w:rsidP="00EA3038">
            <w:pPr>
              <w:rPr>
                <w:rFonts w:ascii="Arial" w:hAnsi="Arial" w:cs="Arial"/>
                <w:sz w:val="22"/>
                <w:szCs w:val="22"/>
              </w:rPr>
            </w:pPr>
            <w:r w:rsidRPr="00C9544F">
              <w:rPr>
                <w:rFonts w:ascii="Arial" w:hAnsi="Arial" w:cs="Arial"/>
                <w:b w:val="0"/>
                <w:sz w:val="22"/>
                <w:szCs w:val="22"/>
              </w:rPr>
              <w:t>Gastric parietal cell antibody (GPC)</w:t>
            </w:r>
          </w:p>
        </w:tc>
        <w:tc>
          <w:tcPr>
            <w:tcW w:w="1923"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Atrophic gastritis</w:t>
            </w:r>
          </w:p>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Pernicious anaemia</w:t>
            </w:r>
          </w:p>
        </w:tc>
        <w:tc>
          <w:tcPr>
            <w:tcW w:w="6000" w:type="dxa"/>
          </w:tcPr>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Can be a non-specific finding.</w:t>
            </w:r>
          </w:p>
          <w:p w:rsidR="003952B9" w:rsidRPr="00C9544F" w:rsidRDefault="003952B9" w:rsidP="00EA3038">
            <w:pPr>
              <w:pStyle w:val="ListParagraph"/>
              <w:numPr>
                <w:ilvl w:val="0"/>
                <w:numId w:val="36"/>
              </w:numPr>
              <w:contextualSpacing/>
              <w:cnfStyle w:val="000000000000" w:firstRow="0" w:lastRow="0" w:firstColumn="0" w:lastColumn="0" w:oddVBand="0" w:evenVBand="0" w:oddHBand="0" w:evenHBand="0" w:firstRowFirstColumn="0" w:firstRowLastColumn="0" w:lastRowFirstColumn="0" w:lastRowLastColumn="0"/>
              <w:rPr>
                <w:rFonts w:cs="Arial"/>
                <w:sz w:val="22"/>
                <w:szCs w:val="22"/>
              </w:rPr>
            </w:pPr>
            <w:r w:rsidRPr="00C9544F">
              <w:rPr>
                <w:rFonts w:cs="Arial"/>
                <w:sz w:val="22"/>
                <w:szCs w:val="22"/>
              </w:rPr>
              <w:t>Not used to monitor treatment.</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2250"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Intrinsic factor antibody</w:t>
            </w:r>
          </w:p>
        </w:tc>
        <w:tc>
          <w:tcPr>
            <w:tcW w:w="1923"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Pernicious anaemia</w:t>
            </w:r>
          </w:p>
        </w:tc>
        <w:tc>
          <w:tcPr>
            <w:tcW w:w="6000" w:type="dxa"/>
          </w:tcPr>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Not used to monitor treatment.</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2250"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Anti TTG antibodies (IgG and IgA)</w:t>
            </w:r>
          </w:p>
        </w:tc>
        <w:tc>
          <w:tcPr>
            <w:tcW w:w="1923"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Coeliac disease</w:t>
            </w:r>
          </w:p>
        </w:tc>
        <w:tc>
          <w:tcPr>
            <w:tcW w:w="6000" w:type="dxa"/>
          </w:tcPr>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Initial screen for coeliac disease.</w:t>
            </w:r>
          </w:p>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Positive results are confirmed with IgG and IgA anti endomysial antibodies.</w:t>
            </w:r>
          </w:p>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Occasionally used to monitor compliance to gluten free diet when anti TTG antibodies should disappear</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2250"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 xml:space="preserve">Endomysial antibodies </w:t>
            </w:r>
          </w:p>
          <w:p w:rsidR="003952B9" w:rsidRPr="00C9544F" w:rsidRDefault="003952B9" w:rsidP="00EA3038">
            <w:pPr>
              <w:rPr>
                <w:rFonts w:ascii="Arial" w:hAnsi="Arial" w:cs="Arial"/>
                <w:b w:val="0"/>
                <w:sz w:val="22"/>
                <w:szCs w:val="22"/>
              </w:rPr>
            </w:pPr>
            <w:r w:rsidRPr="00C9544F">
              <w:rPr>
                <w:rFonts w:ascii="Arial" w:hAnsi="Arial" w:cs="Arial"/>
                <w:b w:val="0"/>
                <w:sz w:val="22"/>
                <w:szCs w:val="22"/>
              </w:rPr>
              <w:t>(IgG &amp; IgA)</w:t>
            </w:r>
          </w:p>
        </w:tc>
        <w:tc>
          <w:tcPr>
            <w:tcW w:w="1923"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Coeliac disease</w:t>
            </w:r>
          </w:p>
        </w:tc>
        <w:tc>
          <w:tcPr>
            <w:tcW w:w="6000" w:type="dxa"/>
          </w:tcPr>
          <w:p w:rsidR="003952B9" w:rsidRPr="00C9544F" w:rsidRDefault="003952B9" w:rsidP="00EA3038">
            <w:pPr>
              <w:widowControl/>
              <w:numPr>
                <w:ilvl w:val="0"/>
                <w:numId w:val="36"/>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Follow-up investigation for positive anti TTG antibodies.</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2250"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IgE and specific IgE (please specify allergens)</w:t>
            </w:r>
          </w:p>
        </w:tc>
        <w:tc>
          <w:tcPr>
            <w:tcW w:w="1923"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 xml:space="preserve">Allergic reactions can cause a variety of symptoms including diarrhoea, vomiting, abdominal pain and anaphylactic reactions.  </w:t>
            </w:r>
          </w:p>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6000" w:type="dxa"/>
          </w:tcPr>
          <w:p w:rsidR="00FD56FE" w:rsidRDefault="003952B9" w:rsidP="00FD56F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 xml:space="preserve">There are a wide range of allergens available.  </w:t>
            </w:r>
            <w:r w:rsidRPr="00C9544F">
              <w:rPr>
                <w:rFonts w:ascii="Arial" w:hAnsi="Arial" w:cs="Arial"/>
                <w:b/>
                <w:sz w:val="22"/>
                <w:szCs w:val="22"/>
              </w:rPr>
              <w:t>Please use the Kent and Medway allergy guide and request form available on</w:t>
            </w:r>
            <w:r w:rsidRPr="00C9544F">
              <w:rPr>
                <w:rFonts w:ascii="Arial" w:hAnsi="Arial" w:cs="Arial"/>
                <w:sz w:val="22"/>
                <w:szCs w:val="22"/>
              </w:rPr>
              <w:t xml:space="preserve"> </w:t>
            </w:r>
            <w:hyperlink r:id="rId40" w:history="1">
              <w:r w:rsidR="00FD56FE" w:rsidRPr="00FB04C6">
                <w:rPr>
                  <w:rStyle w:val="Hyperlink"/>
                  <w:rFonts w:ascii="Arial" w:hAnsi="Arial" w:cs="Arial"/>
                  <w:sz w:val="22"/>
                  <w:szCs w:val="22"/>
                </w:rPr>
                <w:t>https://viewer.microguide.global/guide/1000000446/content/pathology-guidelines</w:t>
              </w:r>
            </w:hyperlink>
          </w:p>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3952B9" w:rsidRPr="00C9544F" w:rsidRDefault="003952B9" w:rsidP="00EA3038">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In children occasionally the reduction in specific IgE concentration is used to predict “residual” reactivity to an allergen before challenge testing is done – must be interpreted by clinical allergists.</w:t>
            </w:r>
          </w:p>
        </w:tc>
      </w:tr>
    </w:tbl>
    <w:p w:rsidR="003952B9" w:rsidRDefault="003952B9" w:rsidP="003952B9">
      <w:pPr>
        <w:rPr>
          <w:rFonts w:ascii="Arial" w:hAnsi="Arial"/>
          <w:b/>
          <w:sz w:val="20"/>
        </w:rPr>
      </w:pPr>
    </w:p>
    <w:p w:rsidR="003952B9" w:rsidRDefault="003952B9" w:rsidP="003952B9">
      <w:pPr>
        <w:rPr>
          <w:rFonts w:ascii="Arial" w:hAnsi="Arial"/>
          <w:b/>
          <w:sz w:val="20"/>
        </w:rPr>
      </w:pPr>
    </w:p>
    <w:p w:rsidR="003952B9" w:rsidRPr="00C44964" w:rsidRDefault="003952B9" w:rsidP="003952B9">
      <w:pPr>
        <w:rPr>
          <w:rFonts w:ascii="Arial" w:hAnsi="Arial"/>
          <w:b/>
          <w:szCs w:val="24"/>
        </w:rPr>
      </w:pPr>
      <w:r w:rsidRPr="00C44964">
        <w:rPr>
          <w:rFonts w:ascii="Arial" w:hAnsi="Arial"/>
          <w:b/>
          <w:szCs w:val="24"/>
        </w:rPr>
        <w:t>SKIN DISEASES</w:t>
      </w:r>
    </w:p>
    <w:tbl>
      <w:tblPr>
        <w:tblStyle w:val="GridTable1Light-Accent1"/>
        <w:tblW w:w="10173" w:type="dxa"/>
        <w:tblLook w:val="04A0" w:firstRow="1" w:lastRow="0" w:firstColumn="1" w:lastColumn="0" w:noHBand="0" w:noVBand="1"/>
        <w:tblCaption w:val="table of antigens"/>
      </w:tblPr>
      <w:tblGrid>
        <w:gridCol w:w="1758"/>
        <w:gridCol w:w="1362"/>
        <w:gridCol w:w="7053"/>
      </w:tblGrid>
      <w:tr w:rsidR="003952B9" w:rsidRPr="00C9544F" w:rsidTr="009B1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4" w:type="dxa"/>
          </w:tcPr>
          <w:p w:rsidR="003952B9" w:rsidRPr="009B1EE1" w:rsidRDefault="003952B9" w:rsidP="00EA3038">
            <w:pPr>
              <w:rPr>
                <w:rFonts w:ascii="Arial" w:hAnsi="Arial" w:cs="Arial"/>
                <w:sz w:val="20"/>
              </w:rPr>
            </w:pPr>
            <w:r w:rsidRPr="009B1EE1">
              <w:rPr>
                <w:rFonts w:ascii="Arial" w:hAnsi="Arial" w:cs="Arial"/>
                <w:sz w:val="20"/>
              </w:rPr>
              <w:t>TEST/REQUEST</w:t>
            </w:r>
          </w:p>
        </w:tc>
        <w:tc>
          <w:tcPr>
            <w:tcW w:w="1899" w:type="dxa"/>
          </w:tcPr>
          <w:p w:rsidR="003952B9" w:rsidRPr="009B1EE1" w:rsidRDefault="003952B9" w:rsidP="00EA3038">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9B1EE1">
              <w:rPr>
                <w:rFonts w:ascii="Arial" w:hAnsi="Arial" w:cs="Arial"/>
                <w:sz w:val="20"/>
              </w:rPr>
              <w:t>POSSIBLE CLINICAL OUTCOME</w:t>
            </w:r>
          </w:p>
        </w:tc>
        <w:tc>
          <w:tcPr>
            <w:tcW w:w="6000" w:type="dxa"/>
          </w:tcPr>
          <w:p w:rsidR="003952B9" w:rsidRPr="009B1EE1" w:rsidRDefault="003952B9" w:rsidP="00EA3038">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9B1EE1">
              <w:rPr>
                <w:rFonts w:ascii="Arial" w:hAnsi="Arial" w:cs="Arial"/>
                <w:sz w:val="20"/>
              </w:rPr>
              <w:t>COMMENTS</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2274"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 xml:space="preserve">Skin antibodies to intercellular cement </w:t>
            </w:r>
          </w:p>
        </w:tc>
        <w:tc>
          <w:tcPr>
            <w:tcW w:w="1899"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Bullous pemphigus</w:t>
            </w:r>
          </w:p>
        </w:tc>
        <w:tc>
          <w:tcPr>
            <w:tcW w:w="6000" w:type="dxa"/>
          </w:tcPr>
          <w:p w:rsidR="003952B9" w:rsidRPr="00C9544F" w:rsidRDefault="003952B9" w:rsidP="00EA3038">
            <w:pPr>
              <w:pStyle w:val="ListParagraph"/>
              <w:numPr>
                <w:ilvl w:val="0"/>
                <w:numId w:val="36"/>
              </w:numPr>
              <w:contextualSpacing/>
              <w:cnfStyle w:val="000000000000" w:firstRow="0" w:lastRow="0" w:firstColumn="0" w:lastColumn="0" w:oddVBand="0" w:evenVBand="0" w:oddHBand="0" w:evenHBand="0" w:firstRowFirstColumn="0" w:firstRowLastColumn="0" w:lastRowFirstColumn="0" w:lastRowLastColumn="0"/>
              <w:rPr>
                <w:rFonts w:cs="Arial"/>
                <w:sz w:val="22"/>
                <w:szCs w:val="22"/>
              </w:rPr>
            </w:pPr>
            <w:r w:rsidRPr="00C9544F">
              <w:rPr>
                <w:rFonts w:cs="Arial"/>
                <w:sz w:val="22"/>
                <w:szCs w:val="22"/>
              </w:rPr>
              <w:t>Not typically used to monitor treatment.</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2274"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Skin antibodies to basement membrane</w:t>
            </w:r>
          </w:p>
        </w:tc>
        <w:tc>
          <w:tcPr>
            <w:tcW w:w="1899"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Bullous pemphigoid</w:t>
            </w:r>
          </w:p>
        </w:tc>
        <w:tc>
          <w:tcPr>
            <w:tcW w:w="6000" w:type="dxa"/>
          </w:tcPr>
          <w:p w:rsidR="003952B9" w:rsidRPr="00C9544F" w:rsidRDefault="003952B9" w:rsidP="00EA3038">
            <w:pPr>
              <w:pStyle w:val="ListParagraph"/>
              <w:numPr>
                <w:ilvl w:val="0"/>
                <w:numId w:val="36"/>
              </w:numPr>
              <w:contextualSpacing/>
              <w:cnfStyle w:val="000000000000" w:firstRow="0" w:lastRow="0" w:firstColumn="0" w:lastColumn="0" w:oddVBand="0" w:evenVBand="0" w:oddHBand="0" w:evenHBand="0" w:firstRowFirstColumn="0" w:firstRowLastColumn="0" w:lastRowFirstColumn="0" w:lastRowLastColumn="0"/>
              <w:rPr>
                <w:rFonts w:cs="Arial"/>
                <w:sz w:val="22"/>
                <w:szCs w:val="22"/>
              </w:rPr>
            </w:pPr>
            <w:r w:rsidRPr="00C9544F">
              <w:rPr>
                <w:rFonts w:cs="Arial"/>
                <w:sz w:val="22"/>
                <w:szCs w:val="22"/>
              </w:rPr>
              <w:t>Not typically used to monitor treatment.</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2274" w:type="dxa"/>
          </w:tcPr>
          <w:p w:rsidR="003952B9" w:rsidRPr="00C9544F" w:rsidRDefault="003952B9" w:rsidP="00EA3038">
            <w:pPr>
              <w:rPr>
                <w:rFonts w:ascii="Arial" w:hAnsi="Arial" w:cs="Arial"/>
                <w:sz w:val="22"/>
                <w:szCs w:val="22"/>
              </w:rPr>
            </w:pPr>
            <w:r w:rsidRPr="00C9544F">
              <w:rPr>
                <w:rFonts w:ascii="Arial" w:hAnsi="Arial" w:cs="Arial"/>
                <w:b w:val="0"/>
                <w:sz w:val="22"/>
                <w:szCs w:val="22"/>
              </w:rPr>
              <w:t>IgE and specific IgE (please specify allergens)</w:t>
            </w:r>
          </w:p>
        </w:tc>
        <w:tc>
          <w:tcPr>
            <w:tcW w:w="1899"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 xml:space="preserve">Allergic reactions can cause a variety of symptoms including eczema, dermatitis. </w:t>
            </w:r>
          </w:p>
        </w:tc>
        <w:tc>
          <w:tcPr>
            <w:tcW w:w="6000" w:type="dxa"/>
          </w:tcPr>
          <w:p w:rsidR="00FD56FE" w:rsidRDefault="003952B9" w:rsidP="00FD56FE">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9544F">
              <w:rPr>
                <w:rFonts w:ascii="Arial" w:hAnsi="Arial" w:cs="Arial"/>
                <w:sz w:val="22"/>
                <w:szCs w:val="22"/>
              </w:rPr>
              <w:t xml:space="preserve">There are a wide range of allergens available.  </w:t>
            </w:r>
            <w:r w:rsidRPr="00C9544F">
              <w:rPr>
                <w:rFonts w:ascii="Arial" w:hAnsi="Arial" w:cs="Arial"/>
                <w:b/>
                <w:sz w:val="22"/>
                <w:szCs w:val="22"/>
              </w:rPr>
              <w:t>Please use the Kent and Medway allergy guide and request form available on</w:t>
            </w:r>
            <w:r w:rsidR="00FD56FE">
              <w:rPr>
                <w:rFonts w:ascii="Arial" w:hAnsi="Arial" w:cs="Arial"/>
                <w:b/>
                <w:sz w:val="22"/>
                <w:szCs w:val="22"/>
              </w:rPr>
              <w:t>:</w:t>
            </w:r>
          </w:p>
          <w:p w:rsidR="00FD56FE" w:rsidRDefault="00674CB2" w:rsidP="00FD56FE">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hyperlink r:id="rId41" w:history="1">
              <w:r w:rsidR="00FD56FE" w:rsidRPr="00FB04C6">
                <w:rPr>
                  <w:rStyle w:val="Hyperlink"/>
                  <w:rFonts w:ascii="Arial" w:hAnsi="Arial" w:cs="Arial"/>
                  <w:sz w:val="22"/>
                  <w:szCs w:val="22"/>
                </w:rPr>
                <w:t>https://viewer.microguide.global/guide/1000000446/content/pathology-guidelines</w:t>
              </w:r>
            </w:hyperlink>
          </w:p>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pPr>
            <w:r w:rsidRPr="00C9544F">
              <w:rPr>
                <w:rFonts w:ascii="Arial" w:hAnsi="Arial" w:cs="Arial"/>
                <w:sz w:val="22"/>
                <w:szCs w:val="22"/>
              </w:rPr>
              <w:t>In children occasionally the reduction in specific IgE concentration is used to predict “residual” reactivity to an allergen before challenge testing is done – must be interpreted by clinical allergists.</w:t>
            </w:r>
          </w:p>
        </w:tc>
      </w:tr>
    </w:tbl>
    <w:p w:rsidR="00451639" w:rsidRDefault="00451639" w:rsidP="003952B9">
      <w:pPr>
        <w:rPr>
          <w:rFonts w:ascii="Arial" w:hAnsi="Arial"/>
          <w:b/>
          <w:szCs w:val="24"/>
        </w:rPr>
      </w:pPr>
    </w:p>
    <w:p w:rsidR="00E61534" w:rsidRDefault="00E61534" w:rsidP="003952B9">
      <w:pPr>
        <w:rPr>
          <w:rFonts w:ascii="Arial" w:hAnsi="Arial"/>
          <w:b/>
          <w:szCs w:val="24"/>
        </w:rPr>
      </w:pPr>
    </w:p>
    <w:p w:rsidR="00E61534" w:rsidRDefault="00E61534" w:rsidP="003952B9">
      <w:pPr>
        <w:rPr>
          <w:rFonts w:ascii="Arial" w:hAnsi="Arial"/>
          <w:b/>
          <w:szCs w:val="24"/>
        </w:rPr>
      </w:pPr>
    </w:p>
    <w:p w:rsidR="00E61534" w:rsidRDefault="00E61534" w:rsidP="003952B9">
      <w:pPr>
        <w:rPr>
          <w:rFonts w:ascii="Arial" w:hAnsi="Arial"/>
          <w:b/>
          <w:szCs w:val="24"/>
        </w:rPr>
      </w:pPr>
    </w:p>
    <w:p w:rsidR="003952B9" w:rsidRPr="00ED3037" w:rsidRDefault="003952B9" w:rsidP="003952B9">
      <w:pPr>
        <w:rPr>
          <w:rFonts w:ascii="Arial" w:hAnsi="Arial"/>
          <w:b/>
          <w:szCs w:val="24"/>
        </w:rPr>
      </w:pPr>
      <w:r w:rsidRPr="00ED3037">
        <w:rPr>
          <w:rFonts w:ascii="Arial" w:hAnsi="Arial"/>
          <w:b/>
          <w:szCs w:val="24"/>
        </w:rPr>
        <w:t>RENAL DISEASE AND VASCULITIS</w:t>
      </w:r>
    </w:p>
    <w:tbl>
      <w:tblPr>
        <w:tblStyle w:val="GridTable1Light-Accent1"/>
        <w:tblW w:w="10173" w:type="dxa"/>
        <w:tblLook w:val="0620" w:firstRow="1" w:lastRow="0" w:firstColumn="0" w:lastColumn="0" w:noHBand="1" w:noVBand="1"/>
        <w:tblCaption w:val="table of antigens "/>
      </w:tblPr>
      <w:tblGrid>
        <w:gridCol w:w="1881"/>
        <w:gridCol w:w="1717"/>
        <w:gridCol w:w="6768"/>
      </w:tblGrid>
      <w:tr w:rsidR="003952B9" w:rsidRPr="00C9544F" w:rsidTr="009B1EE1">
        <w:trPr>
          <w:cnfStyle w:val="100000000000" w:firstRow="1" w:lastRow="0" w:firstColumn="0" w:lastColumn="0" w:oddVBand="0" w:evenVBand="0" w:oddHBand="0" w:evenHBand="0" w:firstRowFirstColumn="0" w:firstRowLastColumn="0" w:lastRowFirstColumn="0" w:lastRowLastColumn="0"/>
          <w:tblHeader/>
        </w:trPr>
        <w:tc>
          <w:tcPr>
            <w:tcW w:w="2026" w:type="dxa"/>
          </w:tcPr>
          <w:p w:rsidR="003952B9" w:rsidRPr="009B1EE1" w:rsidRDefault="003952B9" w:rsidP="00EA3038">
            <w:pPr>
              <w:rPr>
                <w:rFonts w:ascii="Arial" w:hAnsi="Arial" w:cs="Arial"/>
                <w:sz w:val="20"/>
              </w:rPr>
            </w:pPr>
            <w:r w:rsidRPr="009B1EE1">
              <w:rPr>
                <w:rFonts w:ascii="Arial" w:hAnsi="Arial" w:cs="Arial"/>
                <w:sz w:val="20"/>
              </w:rPr>
              <w:t>TEST/REQUEST</w:t>
            </w:r>
          </w:p>
        </w:tc>
        <w:tc>
          <w:tcPr>
            <w:tcW w:w="1848" w:type="dxa"/>
          </w:tcPr>
          <w:p w:rsidR="003952B9" w:rsidRPr="009B1EE1" w:rsidRDefault="003952B9" w:rsidP="00EA3038">
            <w:pPr>
              <w:rPr>
                <w:rFonts w:ascii="Arial" w:hAnsi="Arial" w:cs="Arial"/>
                <w:sz w:val="20"/>
              </w:rPr>
            </w:pPr>
            <w:r w:rsidRPr="009B1EE1">
              <w:rPr>
                <w:rFonts w:ascii="Arial" w:hAnsi="Arial" w:cs="Arial"/>
                <w:sz w:val="20"/>
              </w:rPr>
              <w:t>POSSIBLE CLINICAL OUTCOME</w:t>
            </w:r>
          </w:p>
        </w:tc>
        <w:tc>
          <w:tcPr>
            <w:tcW w:w="6299" w:type="dxa"/>
          </w:tcPr>
          <w:p w:rsidR="003952B9" w:rsidRPr="009B1EE1" w:rsidRDefault="003952B9" w:rsidP="00EA3038">
            <w:pPr>
              <w:rPr>
                <w:rFonts w:ascii="Arial" w:hAnsi="Arial" w:cs="Arial"/>
                <w:sz w:val="20"/>
              </w:rPr>
            </w:pPr>
            <w:r w:rsidRPr="009B1EE1">
              <w:rPr>
                <w:rFonts w:ascii="Arial" w:hAnsi="Arial" w:cs="Arial"/>
                <w:sz w:val="20"/>
              </w:rPr>
              <w:t>COMMENTS</w:t>
            </w:r>
          </w:p>
        </w:tc>
      </w:tr>
      <w:tr w:rsidR="003952B9" w:rsidRPr="00C9544F" w:rsidTr="009B1EE1">
        <w:tc>
          <w:tcPr>
            <w:tcW w:w="2026" w:type="dxa"/>
          </w:tcPr>
          <w:p w:rsidR="003952B9" w:rsidRPr="009B1EE1" w:rsidRDefault="003952B9" w:rsidP="00EA3038">
            <w:pPr>
              <w:rPr>
                <w:rFonts w:ascii="Arial" w:hAnsi="Arial" w:cs="Arial"/>
                <w:sz w:val="22"/>
                <w:szCs w:val="22"/>
              </w:rPr>
            </w:pPr>
            <w:r w:rsidRPr="009B1EE1">
              <w:rPr>
                <w:rFonts w:ascii="Arial" w:hAnsi="Arial" w:cs="Arial"/>
                <w:sz w:val="22"/>
                <w:szCs w:val="22"/>
              </w:rPr>
              <w:t>Glomerular basement membrane antibody (GBM)</w:t>
            </w:r>
          </w:p>
        </w:tc>
        <w:tc>
          <w:tcPr>
            <w:tcW w:w="1848" w:type="dxa"/>
          </w:tcPr>
          <w:p w:rsidR="003952B9" w:rsidRPr="00C9544F" w:rsidRDefault="003952B9" w:rsidP="00EA3038">
            <w:pPr>
              <w:jc w:val="both"/>
              <w:rPr>
                <w:rFonts w:ascii="Arial" w:hAnsi="Arial" w:cs="Arial"/>
                <w:sz w:val="22"/>
                <w:szCs w:val="22"/>
              </w:rPr>
            </w:pPr>
            <w:r w:rsidRPr="00C9544F">
              <w:rPr>
                <w:rFonts w:ascii="Arial" w:hAnsi="Arial" w:cs="Arial"/>
                <w:sz w:val="22"/>
                <w:szCs w:val="22"/>
              </w:rPr>
              <w:t>Goodpasture’s syndrome</w:t>
            </w:r>
          </w:p>
        </w:tc>
        <w:tc>
          <w:tcPr>
            <w:tcW w:w="6299" w:type="dxa"/>
          </w:tcPr>
          <w:p w:rsidR="003952B9" w:rsidRPr="00C9544F" w:rsidRDefault="003952B9" w:rsidP="00EA3038">
            <w:pPr>
              <w:widowControl/>
              <w:numPr>
                <w:ilvl w:val="0"/>
                <w:numId w:val="35"/>
              </w:numPr>
              <w:tabs>
                <w:tab w:val="clear" w:pos="720"/>
                <w:tab w:val="num" w:pos="72"/>
              </w:tabs>
              <w:ind w:left="432" w:hanging="72"/>
              <w:rPr>
                <w:rFonts w:ascii="Arial" w:hAnsi="Arial" w:cs="Arial"/>
                <w:sz w:val="22"/>
                <w:szCs w:val="22"/>
              </w:rPr>
            </w:pPr>
            <w:r w:rsidRPr="00C9544F">
              <w:rPr>
                <w:rFonts w:ascii="Arial" w:hAnsi="Arial" w:cs="Arial"/>
                <w:sz w:val="22"/>
                <w:szCs w:val="22"/>
              </w:rPr>
              <w:t>Useful in monitoring disease.</w:t>
            </w:r>
          </w:p>
          <w:p w:rsidR="003952B9" w:rsidRPr="00C9544F" w:rsidRDefault="003952B9" w:rsidP="00EA3038">
            <w:pPr>
              <w:widowControl/>
              <w:numPr>
                <w:ilvl w:val="0"/>
                <w:numId w:val="35"/>
              </w:numPr>
              <w:rPr>
                <w:rFonts w:ascii="Arial" w:hAnsi="Arial" w:cs="Arial"/>
                <w:sz w:val="22"/>
                <w:szCs w:val="22"/>
              </w:rPr>
            </w:pPr>
            <w:r w:rsidRPr="00C9544F">
              <w:rPr>
                <w:rFonts w:ascii="Arial" w:hAnsi="Arial" w:cs="Arial"/>
                <w:sz w:val="22"/>
                <w:szCs w:val="22"/>
              </w:rPr>
              <w:t xml:space="preserve">Suggest samples are taken daily while on plasmaphoresis. </w:t>
            </w:r>
          </w:p>
          <w:p w:rsidR="003952B9" w:rsidRPr="00C9544F" w:rsidRDefault="003952B9" w:rsidP="00EA3038">
            <w:pPr>
              <w:widowControl/>
              <w:numPr>
                <w:ilvl w:val="0"/>
                <w:numId w:val="35"/>
              </w:numPr>
              <w:rPr>
                <w:rFonts w:ascii="Arial" w:hAnsi="Arial" w:cs="Arial"/>
                <w:sz w:val="22"/>
                <w:szCs w:val="22"/>
              </w:rPr>
            </w:pPr>
            <w:r w:rsidRPr="00C9544F">
              <w:rPr>
                <w:rFonts w:ascii="Arial" w:hAnsi="Arial" w:cs="Arial"/>
                <w:sz w:val="22"/>
                <w:szCs w:val="22"/>
              </w:rPr>
              <w:t>For longer term monitoring suggest every 1-3 months depending on the clinical picture.</w:t>
            </w:r>
          </w:p>
        </w:tc>
      </w:tr>
      <w:tr w:rsidR="003952B9" w:rsidRPr="00C9544F" w:rsidTr="009B1EE1">
        <w:tc>
          <w:tcPr>
            <w:tcW w:w="2026" w:type="dxa"/>
          </w:tcPr>
          <w:p w:rsidR="003952B9" w:rsidRPr="009B1EE1" w:rsidRDefault="003952B9" w:rsidP="00EA3038">
            <w:pPr>
              <w:rPr>
                <w:rFonts w:ascii="Arial" w:hAnsi="Arial" w:cs="Arial"/>
                <w:sz w:val="22"/>
                <w:szCs w:val="22"/>
              </w:rPr>
            </w:pPr>
            <w:r w:rsidRPr="009B1EE1">
              <w:rPr>
                <w:rFonts w:ascii="Arial" w:hAnsi="Arial" w:cs="Arial"/>
                <w:sz w:val="22"/>
                <w:szCs w:val="22"/>
              </w:rPr>
              <w:t>Anti neutrophil cytoplasmic antibody</w:t>
            </w:r>
          </w:p>
        </w:tc>
        <w:tc>
          <w:tcPr>
            <w:tcW w:w="1848" w:type="dxa"/>
          </w:tcPr>
          <w:p w:rsidR="003952B9" w:rsidRPr="00C9544F" w:rsidRDefault="003952B9" w:rsidP="00EA3038">
            <w:pPr>
              <w:jc w:val="both"/>
              <w:rPr>
                <w:rFonts w:ascii="Arial" w:hAnsi="Arial" w:cs="Arial"/>
                <w:sz w:val="22"/>
                <w:szCs w:val="22"/>
              </w:rPr>
            </w:pPr>
          </w:p>
        </w:tc>
        <w:tc>
          <w:tcPr>
            <w:tcW w:w="6299" w:type="dxa"/>
          </w:tcPr>
          <w:p w:rsidR="00BF1166" w:rsidRDefault="00BF1166" w:rsidP="00BF1166">
            <w:pPr>
              <w:rPr>
                <w:rFonts w:ascii="Arial" w:hAnsi="Arial" w:cs="Arial"/>
                <w:b/>
                <w:sz w:val="22"/>
                <w:szCs w:val="22"/>
              </w:rPr>
            </w:pPr>
            <w:r w:rsidRPr="00C9544F">
              <w:rPr>
                <w:rFonts w:ascii="Arial" w:hAnsi="Arial" w:cs="Arial"/>
                <w:b/>
                <w:sz w:val="22"/>
                <w:szCs w:val="22"/>
              </w:rPr>
              <w:t xml:space="preserve">Guidelines available on </w:t>
            </w:r>
            <w:r>
              <w:rPr>
                <w:rFonts w:ascii="Arial" w:hAnsi="Arial" w:cs="Arial"/>
                <w:b/>
                <w:sz w:val="22"/>
                <w:szCs w:val="22"/>
              </w:rPr>
              <w:t xml:space="preserve">the pathology microguide: </w:t>
            </w:r>
          </w:p>
          <w:p w:rsidR="00BF1166" w:rsidRDefault="00674CB2" w:rsidP="00BF1166">
            <w:pPr>
              <w:rPr>
                <w:rFonts w:ascii="Arial" w:hAnsi="Arial" w:cs="Arial"/>
                <w:sz w:val="22"/>
                <w:szCs w:val="22"/>
              </w:rPr>
            </w:pPr>
            <w:hyperlink r:id="rId42" w:history="1">
              <w:r w:rsidR="00BF1166" w:rsidRPr="00FB04C6">
                <w:rPr>
                  <w:rStyle w:val="Hyperlink"/>
                  <w:rFonts w:ascii="Arial" w:hAnsi="Arial" w:cs="Arial"/>
                  <w:sz w:val="22"/>
                  <w:szCs w:val="22"/>
                </w:rPr>
                <w:t>https://viewer.microguide.global/guide/1000000446/content/pathology-guidelines</w:t>
              </w:r>
            </w:hyperlink>
          </w:p>
          <w:p w:rsidR="003952B9" w:rsidRPr="00C9544F" w:rsidRDefault="003952B9" w:rsidP="00EA3038">
            <w:pPr>
              <w:widowControl/>
              <w:numPr>
                <w:ilvl w:val="0"/>
                <w:numId w:val="35"/>
              </w:numPr>
              <w:tabs>
                <w:tab w:val="clear" w:pos="720"/>
                <w:tab w:val="num" w:pos="72"/>
              </w:tabs>
              <w:ind w:left="432" w:hanging="72"/>
              <w:rPr>
                <w:rFonts w:ascii="Arial" w:hAnsi="Arial" w:cs="Arial"/>
                <w:sz w:val="22"/>
                <w:szCs w:val="22"/>
              </w:rPr>
            </w:pPr>
            <w:r w:rsidRPr="00C9544F">
              <w:rPr>
                <w:rFonts w:ascii="Arial" w:hAnsi="Arial" w:cs="Arial"/>
                <w:sz w:val="22"/>
                <w:szCs w:val="22"/>
              </w:rPr>
              <w:t>Specimens showing a positive ANCA pattern will be tested for antibodies to specific antigens (see below):</w:t>
            </w:r>
          </w:p>
        </w:tc>
      </w:tr>
      <w:tr w:rsidR="003952B9" w:rsidRPr="00C9544F" w:rsidTr="009B1EE1">
        <w:tc>
          <w:tcPr>
            <w:tcW w:w="2026" w:type="dxa"/>
          </w:tcPr>
          <w:p w:rsidR="003952B9" w:rsidRPr="00C9544F" w:rsidRDefault="003952B9" w:rsidP="00EA3038">
            <w:pPr>
              <w:rPr>
                <w:rFonts w:ascii="Arial" w:hAnsi="Arial" w:cs="Arial"/>
                <w:b/>
                <w:sz w:val="22"/>
                <w:szCs w:val="22"/>
                <w:lang w:val="pt-BR"/>
              </w:rPr>
            </w:pPr>
            <w:r w:rsidRPr="00C9544F">
              <w:rPr>
                <w:rFonts w:ascii="Arial" w:hAnsi="Arial" w:cs="Arial"/>
                <w:sz w:val="22"/>
                <w:szCs w:val="22"/>
                <w:lang w:val="pt-BR"/>
              </w:rPr>
              <w:t>c-ANCA</w:t>
            </w:r>
            <w:r w:rsidRPr="00C9544F">
              <w:rPr>
                <w:rFonts w:ascii="Arial" w:hAnsi="Arial" w:cs="Arial"/>
                <w:sz w:val="22"/>
                <w:szCs w:val="22"/>
                <w:lang w:val="pt-BR"/>
              </w:rPr>
              <w:br/>
              <w:t>(IgG abs to proteinase 3)</w:t>
            </w:r>
          </w:p>
        </w:tc>
        <w:tc>
          <w:tcPr>
            <w:tcW w:w="1848" w:type="dxa"/>
          </w:tcPr>
          <w:p w:rsidR="003952B9" w:rsidRPr="00C9544F" w:rsidRDefault="003952B9" w:rsidP="00EA3038">
            <w:pPr>
              <w:rPr>
                <w:rFonts w:ascii="Arial" w:hAnsi="Arial" w:cs="Arial"/>
                <w:sz w:val="22"/>
                <w:szCs w:val="22"/>
              </w:rPr>
            </w:pPr>
            <w:r>
              <w:rPr>
                <w:rFonts w:ascii="Arial" w:eastAsia="Calibri" w:hAnsi="Arial" w:cs="Arial"/>
                <w:sz w:val="22"/>
                <w:szCs w:val="22"/>
              </w:rPr>
              <w:t>G</w:t>
            </w:r>
            <w:r w:rsidRPr="00637929">
              <w:rPr>
                <w:rFonts w:ascii="Arial" w:eastAsia="Calibri" w:hAnsi="Arial" w:cs="Arial"/>
                <w:sz w:val="22"/>
                <w:szCs w:val="22"/>
              </w:rPr>
              <w:t>ranulo</w:t>
            </w:r>
            <w:r>
              <w:rPr>
                <w:rFonts w:ascii="Arial" w:eastAsia="Calibri" w:hAnsi="Arial" w:cs="Arial"/>
                <w:sz w:val="22"/>
                <w:szCs w:val="22"/>
              </w:rPr>
              <w:t>matosis with polyangiitis (</w:t>
            </w:r>
            <w:r w:rsidRPr="00637929">
              <w:rPr>
                <w:rFonts w:ascii="Arial" w:eastAsia="Calibri" w:hAnsi="Arial" w:cs="Arial"/>
                <w:sz w:val="22"/>
                <w:szCs w:val="22"/>
              </w:rPr>
              <w:t>formerly known as Wegener’s granulomatosis)</w:t>
            </w:r>
          </w:p>
        </w:tc>
        <w:tc>
          <w:tcPr>
            <w:tcW w:w="6299" w:type="dxa"/>
          </w:tcPr>
          <w:p w:rsidR="003952B9" w:rsidRPr="00C9544F" w:rsidRDefault="003952B9" w:rsidP="00EA3038">
            <w:pPr>
              <w:widowControl/>
              <w:numPr>
                <w:ilvl w:val="0"/>
                <w:numId w:val="38"/>
              </w:numPr>
              <w:rPr>
                <w:rFonts w:ascii="Arial" w:hAnsi="Arial" w:cs="Arial"/>
                <w:sz w:val="22"/>
                <w:szCs w:val="22"/>
              </w:rPr>
            </w:pPr>
            <w:r w:rsidRPr="00C9544F">
              <w:rPr>
                <w:rFonts w:ascii="Arial" w:hAnsi="Arial" w:cs="Arial"/>
                <w:sz w:val="22"/>
                <w:szCs w:val="22"/>
              </w:rPr>
              <w:t>Can be useful in monitoring disease.</w:t>
            </w:r>
          </w:p>
          <w:p w:rsidR="003952B9" w:rsidRPr="00C9544F" w:rsidRDefault="003952B9" w:rsidP="00EA3038">
            <w:pPr>
              <w:widowControl/>
              <w:numPr>
                <w:ilvl w:val="0"/>
                <w:numId w:val="38"/>
              </w:numPr>
              <w:rPr>
                <w:rFonts w:ascii="Arial" w:hAnsi="Arial" w:cs="Arial"/>
                <w:sz w:val="22"/>
                <w:szCs w:val="22"/>
              </w:rPr>
            </w:pPr>
            <w:r w:rsidRPr="00C9544F">
              <w:rPr>
                <w:rFonts w:ascii="Arial" w:hAnsi="Arial" w:cs="Arial"/>
                <w:sz w:val="22"/>
                <w:szCs w:val="22"/>
              </w:rPr>
              <w:t>Suggest samples are taken weekly after start of treatment.</w:t>
            </w:r>
          </w:p>
          <w:p w:rsidR="003952B9" w:rsidRPr="00C9544F" w:rsidRDefault="003952B9" w:rsidP="00EA3038">
            <w:pPr>
              <w:widowControl/>
              <w:numPr>
                <w:ilvl w:val="0"/>
                <w:numId w:val="38"/>
              </w:numPr>
              <w:rPr>
                <w:rFonts w:ascii="Arial" w:hAnsi="Arial" w:cs="Arial"/>
                <w:sz w:val="22"/>
                <w:szCs w:val="22"/>
              </w:rPr>
            </w:pPr>
            <w:r w:rsidRPr="00C9544F">
              <w:rPr>
                <w:rFonts w:ascii="Arial" w:hAnsi="Arial" w:cs="Arial"/>
                <w:sz w:val="22"/>
                <w:szCs w:val="22"/>
              </w:rPr>
              <w:t>For longer term monitoring suggest every 1-3 months depending on clinical picture.</w:t>
            </w:r>
          </w:p>
        </w:tc>
      </w:tr>
      <w:tr w:rsidR="003952B9" w:rsidRPr="00C9544F" w:rsidTr="009B1EE1">
        <w:tc>
          <w:tcPr>
            <w:tcW w:w="2026" w:type="dxa"/>
          </w:tcPr>
          <w:p w:rsidR="003952B9" w:rsidRPr="00C9544F" w:rsidRDefault="003952B9" w:rsidP="00EA3038">
            <w:pPr>
              <w:rPr>
                <w:rFonts w:ascii="Arial" w:hAnsi="Arial" w:cs="Arial"/>
                <w:sz w:val="22"/>
                <w:szCs w:val="22"/>
              </w:rPr>
            </w:pPr>
            <w:r w:rsidRPr="00C9544F">
              <w:rPr>
                <w:rFonts w:ascii="Arial" w:hAnsi="Arial" w:cs="Arial"/>
                <w:sz w:val="22"/>
                <w:szCs w:val="22"/>
              </w:rPr>
              <w:t>p-ANCA</w:t>
            </w:r>
          </w:p>
          <w:p w:rsidR="003952B9" w:rsidRPr="00C9544F" w:rsidRDefault="003952B9" w:rsidP="00EA3038">
            <w:pPr>
              <w:rPr>
                <w:rFonts w:ascii="Arial" w:hAnsi="Arial" w:cs="Arial"/>
                <w:b/>
                <w:sz w:val="22"/>
                <w:szCs w:val="22"/>
              </w:rPr>
            </w:pPr>
            <w:r w:rsidRPr="00C9544F">
              <w:rPr>
                <w:rFonts w:ascii="Arial" w:hAnsi="Arial" w:cs="Arial"/>
                <w:sz w:val="22"/>
                <w:szCs w:val="22"/>
              </w:rPr>
              <w:t>(IgG abs to myeloperoxidase)</w:t>
            </w:r>
          </w:p>
        </w:tc>
        <w:tc>
          <w:tcPr>
            <w:tcW w:w="1848" w:type="dxa"/>
          </w:tcPr>
          <w:p w:rsidR="003952B9" w:rsidRPr="00C9544F" w:rsidRDefault="003952B9" w:rsidP="00EA3038">
            <w:pPr>
              <w:rPr>
                <w:rFonts w:ascii="Arial" w:hAnsi="Arial" w:cs="Arial"/>
                <w:sz w:val="22"/>
                <w:szCs w:val="22"/>
              </w:rPr>
            </w:pPr>
            <w:r w:rsidRPr="00C9544F">
              <w:rPr>
                <w:rFonts w:ascii="Arial" w:hAnsi="Arial" w:cs="Arial"/>
                <w:sz w:val="22"/>
                <w:szCs w:val="22"/>
              </w:rPr>
              <w:t xml:space="preserve">Microscopic polyangiitis, </w:t>
            </w:r>
          </w:p>
          <w:p w:rsidR="003952B9" w:rsidRPr="00C9544F" w:rsidRDefault="003952B9" w:rsidP="00EA3038">
            <w:pPr>
              <w:rPr>
                <w:rFonts w:ascii="Arial" w:hAnsi="Arial" w:cs="Arial"/>
                <w:sz w:val="22"/>
                <w:szCs w:val="22"/>
              </w:rPr>
            </w:pPr>
            <w:r w:rsidRPr="00C9544F">
              <w:rPr>
                <w:rFonts w:ascii="Arial" w:hAnsi="Arial" w:cs="Arial"/>
                <w:sz w:val="22"/>
                <w:szCs w:val="22"/>
              </w:rPr>
              <w:t>Churg-Strauss syndrome, Polyarteritis nodosa</w:t>
            </w:r>
          </w:p>
        </w:tc>
        <w:tc>
          <w:tcPr>
            <w:tcW w:w="6299" w:type="dxa"/>
          </w:tcPr>
          <w:p w:rsidR="003952B9" w:rsidRPr="00C9544F" w:rsidRDefault="003952B9" w:rsidP="00EA3038">
            <w:pPr>
              <w:widowControl/>
              <w:numPr>
                <w:ilvl w:val="0"/>
                <w:numId w:val="39"/>
              </w:numPr>
              <w:rPr>
                <w:rFonts w:ascii="Arial" w:hAnsi="Arial" w:cs="Arial"/>
                <w:sz w:val="22"/>
                <w:szCs w:val="22"/>
              </w:rPr>
            </w:pPr>
            <w:r w:rsidRPr="00C9544F">
              <w:rPr>
                <w:rFonts w:ascii="Arial" w:hAnsi="Arial" w:cs="Arial"/>
                <w:sz w:val="22"/>
                <w:szCs w:val="22"/>
              </w:rPr>
              <w:t>Can be useful in monitoring disease.</w:t>
            </w:r>
          </w:p>
          <w:p w:rsidR="003952B9" w:rsidRPr="00C9544F" w:rsidRDefault="003952B9" w:rsidP="00EA3038">
            <w:pPr>
              <w:widowControl/>
              <w:numPr>
                <w:ilvl w:val="0"/>
                <w:numId w:val="39"/>
              </w:numPr>
              <w:rPr>
                <w:rFonts w:ascii="Arial" w:hAnsi="Arial" w:cs="Arial"/>
                <w:sz w:val="22"/>
                <w:szCs w:val="22"/>
              </w:rPr>
            </w:pPr>
            <w:r w:rsidRPr="00C9544F">
              <w:rPr>
                <w:rFonts w:ascii="Arial" w:hAnsi="Arial" w:cs="Arial"/>
                <w:sz w:val="22"/>
                <w:szCs w:val="22"/>
              </w:rPr>
              <w:t>Suggest samples are taken weekly after start of treatment.</w:t>
            </w:r>
          </w:p>
          <w:p w:rsidR="003952B9" w:rsidRPr="00C9544F" w:rsidRDefault="003952B9" w:rsidP="00EA3038">
            <w:pPr>
              <w:widowControl/>
              <w:numPr>
                <w:ilvl w:val="0"/>
                <w:numId w:val="39"/>
              </w:numPr>
              <w:rPr>
                <w:rFonts w:ascii="Arial" w:hAnsi="Arial" w:cs="Arial"/>
                <w:sz w:val="22"/>
                <w:szCs w:val="22"/>
              </w:rPr>
            </w:pPr>
            <w:r w:rsidRPr="00C9544F">
              <w:rPr>
                <w:rFonts w:ascii="Arial" w:hAnsi="Arial" w:cs="Arial"/>
                <w:sz w:val="22"/>
                <w:szCs w:val="22"/>
              </w:rPr>
              <w:t>Longer term monitoring suggest every 1-3 months depending on clinical picture.</w:t>
            </w:r>
          </w:p>
        </w:tc>
      </w:tr>
      <w:tr w:rsidR="003952B9" w:rsidRPr="00C9544F" w:rsidTr="009B1EE1">
        <w:tc>
          <w:tcPr>
            <w:tcW w:w="2026" w:type="dxa"/>
          </w:tcPr>
          <w:p w:rsidR="003952B9" w:rsidRPr="009B1EE1" w:rsidRDefault="003952B9" w:rsidP="00EA3038">
            <w:pPr>
              <w:rPr>
                <w:rFonts w:ascii="Arial" w:hAnsi="Arial" w:cs="Arial"/>
                <w:sz w:val="22"/>
                <w:szCs w:val="22"/>
              </w:rPr>
            </w:pPr>
            <w:r w:rsidRPr="009B1EE1">
              <w:rPr>
                <w:rFonts w:ascii="Arial" w:hAnsi="Arial" w:cs="Arial"/>
                <w:sz w:val="22"/>
                <w:szCs w:val="22"/>
              </w:rPr>
              <w:t>Paraprotein studies (serum and urine)</w:t>
            </w:r>
          </w:p>
        </w:tc>
        <w:tc>
          <w:tcPr>
            <w:tcW w:w="1848" w:type="dxa"/>
          </w:tcPr>
          <w:p w:rsidR="003952B9" w:rsidRPr="00C9544F" w:rsidRDefault="003952B9" w:rsidP="00EA3038">
            <w:pPr>
              <w:jc w:val="both"/>
              <w:rPr>
                <w:rFonts w:ascii="Arial" w:hAnsi="Arial" w:cs="Arial"/>
                <w:sz w:val="22"/>
                <w:szCs w:val="22"/>
              </w:rPr>
            </w:pPr>
            <w:r w:rsidRPr="00C9544F">
              <w:rPr>
                <w:rFonts w:ascii="Arial" w:hAnsi="Arial" w:cs="Arial"/>
                <w:sz w:val="22"/>
                <w:szCs w:val="22"/>
              </w:rPr>
              <w:t>Presence of paraproteins (particularly Bence Jones protein) may be associated with renal disease.</w:t>
            </w:r>
          </w:p>
          <w:p w:rsidR="003952B9" w:rsidRPr="00C9544F" w:rsidRDefault="003952B9" w:rsidP="00EA3038">
            <w:pPr>
              <w:jc w:val="both"/>
              <w:rPr>
                <w:rFonts w:ascii="Arial" w:hAnsi="Arial" w:cs="Arial"/>
                <w:sz w:val="22"/>
                <w:szCs w:val="22"/>
              </w:rPr>
            </w:pPr>
          </w:p>
          <w:p w:rsidR="003952B9" w:rsidRPr="00C9544F" w:rsidRDefault="003952B9" w:rsidP="00EA3038">
            <w:pPr>
              <w:jc w:val="both"/>
              <w:rPr>
                <w:rFonts w:ascii="Arial" w:hAnsi="Arial" w:cs="Arial"/>
                <w:sz w:val="22"/>
                <w:szCs w:val="22"/>
              </w:rPr>
            </w:pPr>
          </w:p>
        </w:tc>
        <w:tc>
          <w:tcPr>
            <w:tcW w:w="6299" w:type="dxa"/>
          </w:tcPr>
          <w:p w:rsidR="003952B9" w:rsidRPr="00C9544F" w:rsidRDefault="003952B9" w:rsidP="00EA3038">
            <w:pPr>
              <w:widowControl/>
              <w:numPr>
                <w:ilvl w:val="0"/>
                <w:numId w:val="39"/>
              </w:numPr>
              <w:rPr>
                <w:rFonts w:ascii="Arial" w:hAnsi="Arial" w:cs="Arial"/>
                <w:sz w:val="22"/>
                <w:szCs w:val="22"/>
              </w:rPr>
            </w:pPr>
            <w:r w:rsidRPr="00C9544F">
              <w:rPr>
                <w:rFonts w:ascii="Arial" w:hAnsi="Arial" w:cs="Arial"/>
                <w:sz w:val="22"/>
                <w:szCs w:val="22"/>
              </w:rPr>
              <w:t>Follow-up frequency depends on clinical picture</w:t>
            </w:r>
          </w:p>
        </w:tc>
      </w:tr>
      <w:tr w:rsidR="003952B9" w:rsidRPr="00C9544F" w:rsidTr="009B1EE1">
        <w:tc>
          <w:tcPr>
            <w:tcW w:w="2026" w:type="dxa"/>
          </w:tcPr>
          <w:p w:rsidR="003952B9" w:rsidRPr="009B1EE1" w:rsidRDefault="003952B9" w:rsidP="00EA3038">
            <w:pPr>
              <w:rPr>
                <w:rFonts w:ascii="Arial" w:hAnsi="Arial" w:cs="Arial"/>
                <w:sz w:val="22"/>
                <w:szCs w:val="22"/>
              </w:rPr>
            </w:pPr>
            <w:r w:rsidRPr="009B1EE1">
              <w:rPr>
                <w:rFonts w:ascii="Arial" w:hAnsi="Arial" w:cs="Arial"/>
                <w:sz w:val="22"/>
                <w:szCs w:val="22"/>
              </w:rPr>
              <w:t>Cryoprotein investigations</w:t>
            </w:r>
          </w:p>
        </w:tc>
        <w:tc>
          <w:tcPr>
            <w:tcW w:w="1848" w:type="dxa"/>
          </w:tcPr>
          <w:p w:rsidR="003952B9" w:rsidRPr="00C9544F" w:rsidRDefault="003952B9" w:rsidP="00EA3038">
            <w:pPr>
              <w:rPr>
                <w:rFonts w:ascii="Arial" w:hAnsi="Arial" w:cs="Arial"/>
                <w:sz w:val="22"/>
                <w:szCs w:val="22"/>
              </w:rPr>
            </w:pPr>
            <w:r w:rsidRPr="00C9544F">
              <w:rPr>
                <w:rFonts w:ascii="Arial" w:hAnsi="Arial" w:cs="Arial"/>
                <w:sz w:val="22"/>
                <w:szCs w:val="22"/>
              </w:rPr>
              <w:t>Cryoglobulin analysis may be indicated in patients with deteriorating renal function, an unexpected low C4 concentration, history of hepatitis C infection etc.</w:t>
            </w:r>
          </w:p>
        </w:tc>
        <w:tc>
          <w:tcPr>
            <w:tcW w:w="6299" w:type="dxa"/>
          </w:tcPr>
          <w:p w:rsidR="003952B9" w:rsidRPr="00C9544F" w:rsidRDefault="003952B9" w:rsidP="00EA3038">
            <w:pPr>
              <w:widowControl/>
              <w:numPr>
                <w:ilvl w:val="0"/>
                <w:numId w:val="39"/>
              </w:numPr>
              <w:rPr>
                <w:rFonts w:ascii="Arial" w:hAnsi="Arial" w:cs="Arial"/>
                <w:sz w:val="22"/>
                <w:szCs w:val="22"/>
              </w:rPr>
            </w:pPr>
            <w:r w:rsidRPr="00C9544F">
              <w:rPr>
                <w:rFonts w:ascii="Arial" w:hAnsi="Arial" w:cs="Arial"/>
                <w:sz w:val="22"/>
                <w:szCs w:val="22"/>
              </w:rPr>
              <w:t>Call the lab for sample collection protocol.</w:t>
            </w:r>
          </w:p>
        </w:tc>
      </w:tr>
    </w:tbl>
    <w:p w:rsidR="00451639" w:rsidRDefault="00451639"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3952B9" w:rsidRPr="00ED3037" w:rsidRDefault="003952B9" w:rsidP="003952B9">
      <w:pPr>
        <w:rPr>
          <w:rFonts w:ascii="Arial" w:hAnsi="Arial"/>
          <w:b/>
          <w:szCs w:val="24"/>
        </w:rPr>
      </w:pPr>
      <w:r w:rsidRPr="00ED3037">
        <w:rPr>
          <w:rFonts w:ascii="Arial" w:hAnsi="Arial"/>
          <w:b/>
          <w:szCs w:val="24"/>
        </w:rPr>
        <w:t>IMMUNODEFICIENCY AND INFECTION</w:t>
      </w:r>
    </w:p>
    <w:tbl>
      <w:tblPr>
        <w:tblStyle w:val="GridTable1Light-Accent1"/>
        <w:tblW w:w="10173" w:type="dxa"/>
        <w:tblLook w:val="04A0" w:firstRow="1" w:lastRow="0" w:firstColumn="1" w:lastColumn="0" w:noHBand="0" w:noVBand="1"/>
        <w:tblCaption w:val="table of antigens "/>
      </w:tblPr>
      <w:tblGrid>
        <w:gridCol w:w="2175"/>
        <w:gridCol w:w="2134"/>
        <w:gridCol w:w="5864"/>
      </w:tblGrid>
      <w:tr w:rsidR="003952B9" w:rsidRPr="00C9544F" w:rsidTr="009B1E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75" w:type="dxa"/>
          </w:tcPr>
          <w:p w:rsidR="003952B9" w:rsidRPr="009B1EE1" w:rsidRDefault="003952B9" w:rsidP="00EA3038">
            <w:pPr>
              <w:rPr>
                <w:rFonts w:ascii="Arial" w:hAnsi="Arial" w:cs="Arial"/>
                <w:sz w:val="20"/>
              </w:rPr>
            </w:pPr>
            <w:r w:rsidRPr="009B1EE1">
              <w:rPr>
                <w:rFonts w:ascii="Arial" w:hAnsi="Arial" w:cs="Arial"/>
                <w:sz w:val="20"/>
              </w:rPr>
              <w:t>TEST/REQUEST</w:t>
            </w:r>
          </w:p>
        </w:tc>
        <w:tc>
          <w:tcPr>
            <w:tcW w:w="2134" w:type="dxa"/>
          </w:tcPr>
          <w:p w:rsidR="003952B9" w:rsidRPr="009B1EE1" w:rsidRDefault="003952B9" w:rsidP="00EA3038">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9B1EE1">
              <w:rPr>
                <w:rFonts w:ascii="Arial" w:hAnsi="Arial" w:cs="Arial"/>
                <w:sz w:val="20"/>
              </w:rPr>
              <w:t>POSSIBLE CLINICAL OUTCOME</w:t>
            </w:r>
          </w:p>
        </w:tc>
        <w:tc>
          <w:tcPr>
            <w:tcW w:w="5864" w:type="dxa"/>
          </w:tcPr>
          <w:p w:rsidR="003952B9" w:rsidRPr="009B1EE1" w:rsidRDefault="003952B9" w:rsidP="00EA3038">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9B1EE1">
              <w:rPr>
                <w:rFonts w:ascii="Arial" w:hAnsi="Arial" w:cs="Arial"/>
                <w:sz w:val="20"/>
              </w:rPr>
              <w:t>COMMENTS</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2175" w:type="dxa"/>
          </w:tcPr>
          <w:p w:rsidR="003952B9" w:rsidRPr="00C9544F" w:rsidRDefault="003952B9" w:rsidP="00EA3038">
            <w:pPr>
              <w:rPr>
                <w:rFonts w:ascii="Arial" w:hAnsi="Arial" w:cs="Arial"/>
                <w:sz w:val="22"/>
                <w:szCs w:val="22"/>
              </w:rPr>
            </w:pPr>
            <w:r w:rsidRPr="00C9544F">
              <w:rPr>
                <w:rFonts w:ascii="Arial" w:hAnsi="Arial" w:cs="Arial"/>
                <w:b w:val="0"/>
                <w:sz w:val="22"/>
                <w:szCs w:val="22"/>
              </w:rPr>
              <w:t>Immunoglobulins</w:t>
            </w:r>
            <w:r w:rsidRPr="00C9544F">
              <w:rPr>
                <w:rFonts w:ascii="Arial" w:hAnsi="Arial" w:cs="Arial"/>
                <w:sz w:val="22"/>
                <w:szCs w:val="22"/>
              </w:rPr>
              <w:t xml:space="preserve"> </w:t>
            </w:r>
          </w:p>
          <w:p w:rsidR="003952B9" w:rsidRPr="00C9544F" w:rsidRDefault="003952B9" w:rsidP="00EA3038">
            <w:pPr>
              <w:rPr>
                <w:rFonts w:ascii="Arial" w:hAnsi="Arial" w:cs="Arial"/>
                <w:sz w:val="22"/>
                <w:szCs w:val="22"/>
              </w:rPr>
            </w:pPr>
            <w:r w:rsidRPr="00C9544F">
              <w:rPr>
                <w:rFonts w:ascii="Arial" w:hAnsi="Arial" w:cs="Arial"/>
                <w:sz w:val="22"/>
                <w:szCs w:val="22"/>
              </w:rPr>
              <w:t>(IgG, IgA &amp; IgM)</w:t>
            </w:r>
          </w:p>
        </w:tc>
        <w:tc>
          <w:tcPr>
            <w:tcW w:w="2134"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Essential in the investigation of:</w:t>
            </w:r>
          </w:p>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 xml:space="preserve">Suspected </w:t>
            </w:r>
          </w:p>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immunoglobulin deficiency</w:t>
            </w:r>
          </w:p>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 xml:space="preserve">Suspected B cell </w:t>
            </w:r>
          </w:p>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malignancy</w:t>
            </w:r>
          </w:p>
        </w:tc>
        <w:tc>
          <w:tcPr>
            <w:tcW w:w="5864" w:type="dxa"/>
          </w:tcPr>
          <w:p w:rsidR="003952B9" w:rsidRPr="00C9544F" w:rsidRDefault="003952B9" w:rsidP="00EA3038">
            <w:pPr>
              <w:widowControl/>
              <w:numPr>
                <w:ilvl w:val="0"/>
                <w:numId w:val="40"/>
              </w:numPr>
              <w:tabs>
                <w:tab w:val="left" w:pos="252"/>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Used to monitor immunoglobulin replacement therapy.</w:t>
            </w:r>
          </w:p>
          <w:p w:rsidR="003952B9" w:rsidRPr="00C9544F" w:rsidRDefault="003952B9" w:rsidP="00EA3038">
            <w:pPr>
              <w:widowControl/>
              <w:numPr>
                <w:ilvl w:val="0"/>
                <w:numId w:val="40"/>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Also check urine for Bence Jones protein.</w:t>
            </w:r>
          </w:p>
          <w:p w:rsidR="003952B9" w:rsidRPr="00C9544F" w:rsidRDefault="003952B9" w:rsidP="00EA3038">
            <w:pPr>
              <w:widowControl/>
              <w:numPr>
                <w:ilvl w:val="0"/>
                <w:numId w:val="40"/>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 xml:space="preserve">Patients with normal immunoglobulin concentrations, no immune deficiency or B cell malignancy do not need repeat </w:t>
            </w:r>
            <w:r>
              <w:rPr>
                <w:rFonts w:ascii="Arial" w:hAnsi="Arial" w:cs="Arial"/>
                <w:sz w:val="22"/>
                <w:szCs w:val="22"/>
              </w:rPr>
              <w:t>immunoglobulins</w:t>
            </w:r>
            <w:r w:rsidRPr="00C9544F">
              <w:rPr>
                <w:rFonts w:ascii="Arial" w:hAnsi="Arial" w:cs="Arial"/>
                <w:sz w:val="22"/>
                <w:szCs w:val="22"/>
              </w:rPr>
              <w:t xml:space="preserve"> unless the clinical picture changes.</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2175" w:type="dxa"/>
          </w:tcPr>
          <w:p w:rsidR="003952B9" w:rsidRDefault="003952B9" w:rsidP="00EA3038">
            <w:pPr>
              <w:rPr>
                <w:rFonts w:ascii="Arial" w:hAnsi="Arial" w:cs="Arial"/>
                <w:b w:val="0"/>
                <w:sz w:val="22"/>
                <w:szCs w:val="22"/>
              </w:rPr>
            </w:pPr>
            <w:r w:rsidRPr="00C9544F">
              <w:rPr>
                <w:rFonts w:ascii="Arial" w:hAnsi="Arial" w:cs="Arial"/>
                <w:b w:val="0"/>
                <w:sz w:val="22"/>
                <w:szCs w:val="22"/>
              </w:rPr>
              <w:t>IgG subclasses</w:t>
            </w:r>
          </w:p>
          <w:p w:rsidR="003952B9" w:rsidRPr="00C9544F" w:rsidRDefault="003952B9" w:rsidP="00EA3038">
            <w:pPr>
              <w:rPr>
                <w:rFonts w:ascii="Arial" w:hAnsi="Arial" w:cs="Arial"/>
                <w:b w:val="0"/>
                <w:sz w:val="22"/>
                <w:szCs w:val="22"/>
              </w:rPr>
            </w:pPr>
            <w:r>
              <w:rPr>
                <w:rFonts w:ascii="Arial" w:hAnsi="Arial" w:cs="Arial"/>
                <w:b w:val="0"/>
                <w:sz w:val="22"/>
                <w:szCs w:val="22"/>
              </w:rPr>
              <w:t>(IgG1, 2, 3 &amp;4)</w:t>
            </w:r>
          </w:p>
          <w:p w:rsidR="003952B9" w:rsidRPr="00C9544F" w:rsidRDefault="003952B9" w:rsidP="00EA3038">
            <w:pPr>
              <w:rPr>
                <w:rFonts w:ascii="Arial" w:hAnsi="Arial" w:cs="Arial"/>
                <w:sz w:val="22"/>
                <w:szCs w:val="22"/>
              </w:rPr>
            </w:pPr>
          </w:p>
        </w:tc>
        <w:tc>
          <w:tcPr>
            <w:tcW w:w="2134" w:type="dxa"/>
          </w:tcPr>
          <w:p w:rsidR="003952B9"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May be indicated in patients (particularly children) with recurrent infections.</w:t>
            </w:r>
          </w:p>
          <w:p w:rsidR="003952B9"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IgG4 related disease </w:t>
            </w:r>
            <w:r w:rsidRPr="00686867">
              <w:rPr>
                <w:rFonts w:ascii="Arial" w:hAnsi="Arial" w:cs="Arial"/>
                <w:sz w:val="22"/>
                <w:szCs w:val="22"/>
              </w:rPr>
              <w:t>(IgG4-RD)</w:t>
            </w:r>
          </w:p>
        </w:tc>
        <w:tc>
          <w:tcPr>
            <w:tcW w:w="5864" w:type="dxa"/>
          </w:tcPr>
          <w:p w:rsidR="003952B9" w:rsidRDefault="003952B9" w:rsidP="00EA3038">
            <w:pPr>
              <w:widowControl/>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Not indicated in patients with low IgG concentrations or on immunoglobulin replacement therapy.</w:t>
            </w:r>
          </w:p>
          <w:p w:rsidR="003952B9" w:rsidRPr="00C9544F" w:rsidRDefault="003952B9" w:rsidP="00EA3038">
            <w:pPr>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B0D5D">
              <w:rPr>
                <w:rFonts w:ascii="Arial" w:hAnsi="Arial" w:cs="Arial"/>
                <w:sz w:val="22"/>
                <w:szCs w:val="22"/>
              </w:rPr>
              <w:t xml:space="preserve">IgG4-RD is an immune-mediated fibroinflammatory condition characterized histopathologically by three hallmark features in involved tissue: obliterative phlebitis, storiform fibrosis, and a dense lymphoplasmacytic infiltrate. </w:t>
            </w:r>
            <w:r>
              <w:rPr>
                <w:rFonts w:ascii="Arial" w:hAnsi="Arial" w:cs="Arial"/>
                <w:sz w:val="22"/>
                <w:szCs w:val="22"/>
              </w:rPr>
              <w:t xml:space="preserve">IgG4-RD </w:t>
            </w:r>
            <w:r w:rsidRPr="009B0D5D">
              <w:rPr>
                <w:rFonts w:ascii="Arial" w:hAnsi="Arial" w:cs="Arial"/>
                <w:sz w:val="22"/>
                <w:szCs w:val="22"/>
              </w:rPr>
              <w:t>can affect any organ with common presentations including Riedel’s thyroiditis, autoimmune pancreatitis, sclerosing cholangitis, sialadenitis, dacryoadenitis, periaortitis, an eosinophilic rash, and pseudotumor of the lung, lymph nodes, or orbits.  However, serum IgG4 quantification lacks sensitivity for IgG4-RD and is</w:t>
            </w:r>
            <w:r>
              <w:rPr>
                <w:rFonts w:ascii="Arial" w:hAnsi="Arial" w:cs="Arial"/>
                <w:sz w:val="22"/>
                <w:szCs w:val="22"/>
              </w:rPr>
              <w:t xml:space="preserve"> </w:t>
            </w:r>
            <w:r w:rsidRPr="009B0D5D">
              <w:rPr>
                <w:rFonts w:ascii="Arial" w:hAnsi="Arial" w:cs="Arial"/>
                <w:sz w:val="22"/>
                <w:szCs w:val="22"/>
              </w:rPr>
              <w:t xml:space="preserve">most useful as a predictor of relapse in patients who have been treated for IgG4-RD.   </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2175" w:type="dxa"/>
          </w:tcPr>
          <w:p w:rsidR="003952B9" w:rsidRPr="00C9544F" w:rsidRDefault="003952B9" w:rsidP="00EA3038">
            <w:pPr>
              <w:rPr>
                <w:rFonts w:ascii="Arial" w:hAnsi="Arial" w:cs="Arial"/>
                <w:sz w:val="22"/>
                <w:szCs w:val="22"/>
              </w:rPr>
            </w:pPr>
            <w:r w:rsidRPr="00C9544F">
              <w:rPr>
                <w:rFonts w:ascii="Arial" w:hAnsi="Arial" w:cs="Arial"/>
                <w:b w:val="0"/>
                <w:sz w:val="22"/>
                <w:szCs w:val="22"/>
              </w:rPr>
              <w:t>Complement CH50</w:t>
            </w:r>
          </w:p>
        </w:tc>
        <w:tc>
          <w:tcPr>
            <w:tcW w:w="2134"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Used to exclude deficiencies of the classical complement cascade.</w:t>
            </w:r>
          </w:p>
        </w:tc>
        <w:tc>
          <w:tcPr>
            <w:tcW w:w="5864" w:type="dxa"/>
          </w:tcPr>
          <w:p w:rsidR="003952B9" w:rsidRPr="00C9544F" w:rsidRDefault="003952B9" w:rsidP="00EA3038">
            <w:pPr>
              <w:widowControl/>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Sample must be separated within 30 mins of collection and frozen immediately.</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2175"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C1 inhibitor (C1 INH) deficiency</w:t>
            </w:r>
          </w:p>
        </w:tc>
        <w:tc>
          <w:tcPr>
            <w:tcW w:w="2134"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Hereditary angioedema</w:t>
            </w:r>
          </w:p>
        </w:tc>
        <w:tc>
          <w:tcPr>
            <w:tcW w:w="5864" w:type="dxa"/>
          </w:tcPr>
          <w:p w:rsidR="003952B9" w:rsidRPr="00C9544F" w:rsidRDefault="003952B9" w:rsidP="00EA3038">
            <w:pPr>
              <w:widowControl/>
              <w:numPr>
                <w:ilvl w:val="0"/>
                <w:numId w:val="41"/>
              </w:numPr>
              <w:tabs>
                <w:tab w:val="clear" w:pos="720"/>
                <w:tab w:val="num" w:pos="432"/>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Also check C3 and C4 – low C1 INH and low C4 concentrations are consistent with hereditary angioedema.</w:t>
            </w:r>
          </w:p>
          <w:p w:rsidR="003952B9" w:rsidRPr="00C9544F" w:rsidRDefault="003952B9" w:rsidP="00EA3038">
            <w:pPr>
              <w:widowControl/>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There is a rare form of functional C1 inhibitor deficiency with normal or raised C1 INH concentration – please call the lab to discuss.</w:t>
            </w:r>
          </w:p>
          <w:p w:rsidR="003952B9" w:rsidRPr="00C9544F" w:rsidRDefault="003952B9" w:rsidP="00EA3038">
            <w:pPr>
              <w:widowControl/>
              <w:numPr>
                <w:ilvl w:val="0"/>
                <w:numId w:val="41"/>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Patients with C1 inhibitor deficiency on treatment can be monitored every 2-3 months with C3, C4 and C1 INH measurements.</w:t>
            </w:r>
          </w:p>
        </w:tc>
      </w:tr>
    </w:tbl>
    <w:p w:rsidR="00451639" w:rsidRDefault="00451639" w:rsidP="003952B9">
      <w:pPr>
        <w:rPr>
          <w:rFonts w:ascii="Arial" w:hAnsi="Arial"/>
          <w:b/>
          <w:sz w:val="20"/>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9B1EE1" w:rsidRDefault="009B1EE1" w:rsidP="003952B9">
      <w:pPr>
        <w:rPr>
          <w:rFonts w:ascii="Arial" w:hAnsi="Arial"/>
          <w:b/>
          <w:szCs w:val="24"/>
        </w:rPr>
      </w:pPr>
    </w:p>
    <w:p w:rsidR="003952B9" w:rsidRPr="00ED3037" w:rsidRDefault="003952B9" w:rsidP="003952B9">
      <w:pPr>
        <w:rPr>
          <w:rFonts w:ascii="Arial" w:hAnsi="Arial"/>
          <w:b/>
          <w:szCs w:val="24"/>
        </w:rPr>
      </w:pPr>
      <w:r w:rsidRPr="00ED3037">
        <w:rPr>
          <w:rFonts w:ascii="Arial" w:hAnsi="Arial"/>
          <w:b/>
          <w:szCs w:val="24"/>
        </w:rPr>
        <w:t>NEUROLOGY</w:t>
      </w:r>
    </w:p>
    <w:tbl>
      <w:tblPr>
        <w:tblStyle w:val="GridTable1Light-Accent1"/>
        <w:tblW w:w="10173" w:type="dxa"/>
        <w:tblLook w:val="04A0" w:firstRow="1" w:lastRow="0" w:firstColumn="1" w:lastColumn="0" w:noHBand="0" w:noVBand="1"/>
        <w:tblCaption w:val="table of antigens "/>
      </w:tblPr>
      <w:tblGrid>
        <w:gridCol w:w="2175"/>
        <w:gridCol w:w="2134"/>
        <w:gridCol w:w="5864"/>
      </w:tblGrid>
      <w:tr w:rsidR="003952B9" w:rsidRPr="00C9544F" w:rsidTr="00BA61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75" w:type="dxa"/>
          </w:tcPr>
          <w:p w:rsidR="003952B9" w:rsidRPr="009B1EE1" w:rsidRDefault="003952B9" w:rsidP="00EA3038">
            <w:pPr>
              <w:rPr>
                <w:rFonts w:ascii="Arial" w:hAnsi="Arial" w:cs="Arial"/>
                <w:sz w:val="20"/>
              </w:rPr>
            </w:pPr>
            <w:r w:rsidRPr="009B1EE1">
              <w:rPr>
                <w:rFonts w:ascii="Arial" w:hAnsi="Arial" w:cs="Arial"/>
                <w:sz w:val="20"/>
              </w:rPr>
              <w:t>TEST/REQUEST</w:t>
            </w:r>
          </w:p>
        </w:tc>
        <w:tc>
          <w:tcPr>
            <w:tcW w:w="2134" w:type="dxa"/>
          </w:tcPr>
          <w:p w:rsidR="003952B9" w:rsidRPr="009B1EE1" w:rsidRDefault="003952B9" w:rsidP="00EA3038">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9B1EE1">
              <w:rPr>
                <w:rFonts w:ascii="Arial" w:hAnsi="Arial" w:cs="Arial"/>
                <w:sz w:val="20"/>
              </w:rPr>
              <w:t>POSSIBLE CLINICAL OUTCOME</w:t>
            </w:r>
          </w:p>
        </w:tc>
        <w:tc>
          <w:tcPr>
            <w:tcW w:w="5864" w:type="dxa"/>
          </w:tcPr>
          <w:p w:rsidR="003952B9" w:rsidRPr="009B1EE1" w:rsidRDefault="003952B9" w:rsidP="00EA3038">
            <w:pP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9B1EE1">
              <w:rPr>
                <w:rFonts w:ascii="Arial" w:hAnsi="Arial" w:cs="Arial"/>
                <w:sz w:val="20"/>
              </w:rPr>
              <w:t>COMMENTS</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2175" w:type="dxa"/>
          </w:tcPr>
          <w:p w:rsidR="003952B9" w:rsidRPr="00C9544F" w:rsidRDefault="003952B9" w:rsidP="00EA3038">
            <w:pPr>
              <w:rPr>
                <w:rFonts w:ascii="Arial" w:hAnsi="Arial" w:cs="Arial"/>
                <w:sz w:val="22"/>
                <w:szCs w:val="22"/>
              </w:rPr>
            </w:pPr>
            <w:r w:rsidRPr="00C9544F">
              <w:rPr>
                <w:rFonts w:ascii="Arial" w:hAnsi="Arial" w:cs="Arial"/>
                <w:b w:val="0"/>
                <w:sz w:val="22"/>
                <w:szCs w:val="22"/>
              </w:rPr>
              <w:t>Acetylcholine receptor abs.</w:t>
            </w:r>
          </w:p>
        </w:tc>
        <w:tc>
          <w:tcPr>
            <w:tcW w:w="2134"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Associated with myasthenia gravis</w:t>
            </w:r>
          </w:p>
        </w:tc>
        <w:tc>
          <w:tcPr>
            <w:tcW w:w="5864" w:type="dxa"/>
          </w:tcPr>
          <w:p w:rsidR="003952B9" w:rsidRPr="00C9544F" w:rsidRDefault="003952B9" w:rsidP="00EA3038">
            <w:pPr>
              <w:widowControl/>
              <w:numPr>
                <w:ilvl w:val="0"/>
                <w:numId w:val="42"/>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Pathogenic antibodies that may be associated with neonatal myasthenia.</w:t>
            </w:r>
          </w:p>
          <w:p w:rsidR="003952B9" w:rsidRPr="00C9544F" w:rsidRDefault="003952B9" w:rsidP="00EA3038">
            <w:pPr>
              <w:widowControl/>
              <w:numPr>
                <w:ilvl w:val="0"/>
                <w:numId w:val="42"/>
              </w:num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Can be used to monitor (e.g. every 3-6 months).</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2175" w:type="dxa"/>
          </w:tcPr>
          <w:p w:rsidR="003952B9" w:rsidRPr="00C9544F" w:rsidRDefault="003952B9" w:rsidP="00EA3038">
            <w:pPr>
              <w:rPr>
                <w:rFonts w:ascii="Arial" w:hAnsi="Arial" w:cs="Arial"/>
                <w:b w:val="0"/>
                <w:sz w:val="22"/>
                <w:szCs w:val="22"/>
              </w:rPr>
            </w:pPr>
            <w:r w:rsidRPr="00C9544F">
              <w:rPr>
                <w:rFonts w:ascii="Arial" w:hAnsi="Arial" w:cs="Arial"/>
                <w:b w:val="0"/>
                <w:sz w:val="22"/>
                <w:szCs w:val="22"/>
              </w:rPr>
              <w:t xml:space="preserve">Paraneoplastic antibodies and neurological antibodies </w:t>
            </w:r>
          </w:p>
        </w:tc>
        <w:tc>
          <w:tcPr>
            <w:tcW w:w="2134"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 xml:space="preserve">There is an increasing number of antibodies associated with neurological conditions. </w:t>
            </w:r>
          </w:p>
        </w:tc>
        <w:tc>
          <w:tcPr>
            <w:tcW w:w="5864" w:type="dxa"/>
          </w:tcPr>
          <w:p w:rsidR="003952B9" w:rsidRPr="00C9544F" w:rsidRDefault="003952B9" w:rsidP="00EA3038">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Please specify the antibody required.</w:t>
            </w:r>
          </w:p>
        </w:tc>
      </w:tr>
      <w:tr w:rsidR="003952B9" w:rsidRPr="00C9544F" w:rsidTr="009B1EE1">
        <w:tc>
          <w:tcPr>
            <w:cnfStyle w:val="001000000000" w:firstRow="0" w:lastRow="0" w:firstColumn="1" w:lastColumn="0" w:oddVBand="0" w:evenVBand="0" w:oddHBand="0" w:evenHBand="0" w:firstRowFirstColumn="0" w:firstRowLastColumn="0" w:lastRowFirstColumn="0" w:lastRowLastColumn="0"/>
            <w:tcW w:w="2175" w:type="dxa"/>
          </w:tcPr>
          <w:p w:rsidR="003952B9" w:rsidRPr="00C9544F" w:rsidRDefault="003952B9" w:rsidP="00EA3038">
            <w:pPr>
              <w:rPr>
                <w:rFonts w:ascii="Arial" w:hAnsi="Arial" w:cs="Arial"/>
                <w:b w:val="0"/>
                <w:sz w:val="22"/>
                <w:szCs w:val="22"/>
              </w:rPr>
            </w:pPr>
            <w:r>
              <w:rPr>
                <w:rFonts w:ascii="Arial" w:hAnsi="Arial" w:cs="Arial"/>
                <w:b w:val="0"/>
                <w:sz w:val="22"/>
                <w:szCs w:val="22"/>
              </w:rPr>
              <w:t xml:space="preserve">Fluid </w:t>
            </w:r>
            <w:r w:rsidRPr="00C9544F">
              <w:rPr>
                <w:rFonts w:ascii="Arial" w:hAnsi="Arial" w:cs="Arial"/>
                <w:b w:val="0"/>
                <w:sz w:val="22"/>
                <w:szCs w:val="22"/>
              </w:rPr>
              <w:t>Tau protein</w:t>
            </w:r>
          </w:p>
        </w:tc>
        <w:tc>
          <w:tcPr>
            <w:tcW w:w="2134"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Beta-2 transferrin can be used to determine whether a fluid leaking for example from the nose or ear is a CSF leak.</w:t>
            </w:r>
          </w:p>
        </w:tc>
        <w:tc>
          <w:tcPr>
            <w:tcW w:w="5864" w:type="dxa"/>
          </w:tcPr>
          <w:p w:rsidR="003952B9" w:rsidRPr="00C9544F" w:rsidRDefault="003952B9" w:rsidP="00EA3038">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rsidR="003952B9" w:rsidRDefault="003952B9" w:rsidP="003952B9">
      <w:pPr>
        <w:rPr>
          <w:rFonts w:ascii="Arial" w:hAnsi="Arial"/>
          <w:b/>
          <w:sz w:val="20"/>
        </w:rPr>
      </w:pPr>
    </w:p>
    <w:p w:rsidR="003952B9" w:rsidRDefault="003952B9" w:rsidP="003952B9">
      <w:pPr>
        <w:rPr>
          <w:rFonts w:ascii="Arial" w:hAnsi="Arial"/>
          <w:b/>
          <w:sz w:val="20"/>
        </w:rPr>
      </w:pPr>
    </w:p>
    <w:p w:rsidR="003952B9" w:rsidRPr="00ED3037" w:rsidRDefault="003952B9" w:rsidP="003952B9">
      <w:pPr>
        <w:rPr>
          <w:rFonts w:ascii="Arial" w:hAnsi="Arial"/>
          <w:b/>
          <w:szCs w:val="24"/>
        </w:rPr>
      </w:pPr>
      <w:r w:rsidRPr="00ED3037">
        <w:rPr>
          <w:rFonts w:ascii="Arial" w:hAnsi="Arial"/>
          <w:b/>
          <w:szCs w:val="24"/>
        </w:rPr>
        <w:t>ALLERGY AND HYPERSENSITIVITY</w:t>
      </w:r>
    </w:p>
    <w:tbl>
      <w:tblPr>
        <w:tblStyle w:val="GridTable1Light-Accent1"/>
        <w:tblW w:w="10173" w:type="dxa"/>
        <w:tblLook w:val="04A0" w:firstRow="1" w:lastRow="0" w:firstColumn="1" w:lastColumn="0" w:noHBand="0" w:noVBand="1"/>
        <w:tblCaption w:val="table of antigens "/>
      </w:tblPr>
      <w:tblGrid>
        <w:gridCol w:w="4621"/>
        <w:gridCol w:w="5552"/>
      </w:tblGrid>
      <w:tr w:rsidR="003952B9" w:rsidRPr="00C9544F" w:rsidTr="00BA61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3952B9" w:rsidRPr="00BA61BA" w:rsidRDefault="003952B9" w:rsidP="00EA3038">
            <w:pPr>
              <w:rPr>
                <w:rFonts w:ascii="Arial" w:hAnsi="Arial" w:cs="Arial"/>
                <w:sz w:val="22"/>
                <w:szCs w:val="22"/>
              </w:rPr>
            </w:pPr>
            <w:r w:rsidRPr="00BA61BA">
              <w:rPr>
                <w:rFonts w:ascii="Arial" w:hAnsi="Arial" w:cs="Arial"/>
                <w:sz w:val="22"/>
                <w:szCs w:val="22"/>
              </w:rPr>
              <w:t>Symptoms</w:t>
            </w:r>
          </w:p>
        </w:tc>
        <w:tc>
          <w:tcPr>
            <w:tcW w:w="5552" w:type="dxa"/>
          </w:tcPr>
          <w:p w:rsidR="003952B9" w:rsidRPr="00BA61BA" w:rsidRDefault="003952B9" w:rsidP="00EA3038">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BA61BA">
              <w:rPr>
                <w:rFonts w:ascii="Arial" w:hAnsi="Arial" w:cs="Arial"/>
                <w:sz w:val="22"/>
                <w:szCs w:val="22"/>
              </w:rPr>
              <w:t>Suggested specific IgE panel</w:t>
            </w:r>
          </w:p>
          <w:p w:rsidR="003952B9" w:rsidRPr="00BA61BA" w:rsidRDefault="003952B9" w:rsidP="00EA3038">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p>
        </w:tc>
      </w:tr>
      <w:tr w:rsidR="003952B9" w:rsidRPr="00C9544F" w:rsidTr="00BA61BA">
        <w:tc>
          <w:tcPr>
            <w:cnfStyle w:val="001000000000" w:firstRow="0" w:lastRow="0" w:firstColumn="1" w:lastColumn="0" w:oddVBand="0" w:evenVBand="0" w:oddHBand="0" w:evenHBand="0" w:firstRowFirstColumn="0" w:firstRowLastColumn="0" w:lastRowFirstColumn="0" w:lastRowLastColumn="0"/>
            <w:tcW w:w="4621" w:type="dxa"/>
          </w:tcPr>
          <w:p w:rsidR="003952B9" w:rsidRPr="00BA61BA" w:rsidRDefault="003952B9" w:rsidP="00EA3038">
            <w:pPr>
              <w:rPr>
                <w:rFonts w:ascii="Arial" w:hAnsi="Arial" w:cs="Arial"/>
                <w:b w:val="0"/>
                <w:sz w:val="22"/>
                <w:szCs w:val="22"/>
              </w:rPr>
            </w:pPr>
            <w:r w:rsidRPr="00BA61BA">
              <w:rPr>
                <w:rFonts w:ascii="Arial" w:hAnsi="Arial" w:cs="Arial"/>
                <w:b w:val="0"/>
                <w:sz w:val="22"/>
                <w:szCs w:val="22"/>
              </w:rPr>
              <w:t>Asthma, all year</w:t>
            </w:r>
          </w:p>
        </w:tc>
        <w:tc>
          <w:tcPr>
            <w:tcW w:w="5552"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9544F">
              <w:rPr>
                <w:rFonts w:ascii="Arial" w:hAnsi="Arial" w:cs="Arial"/>
                <w:sz w:val="22"/>
                <w:szCs w:val="22"/>
              </w:rPr>
              <w:t>HDM, cat, dog, moulds</w:t>
            </w:r>
          </w:p>
        </w:tc>
      </w:tr>
      <w:tr w:rsidR="003952B9" w:rsidRPr="00C9544F" w:rsidTr="00BA61BA">
        <w:tc>
          <w:tcPr>
            <w:cnfStyle w:val="001000000000" w:firstRow="0" w:lastRow="0" w:firstColumn="1" w:lastColumn="0" w:oddVBand="0" w:evenVBand="0" w:oddHBand="0" w:evenHBand="0" w:firstRowFirstColumn="0" w:firstRowLastColumn="0" w:lastRowFirstColumn="0" w:lastRowLastColumn="0"/>
            <w:tcW w:w="4621" w:type="dxa"/>
          </w:tcPr>
          <w:p w:rsidR="003952B9" w:rsidRPr="00BA61BA" w:rsidRDefault="003952B9" w:rsidP="00EA3038">
            <w:pPr>
              <w:rPr>
                <w:rFonts w:ascii="Arial" w:hAnsi="Arial" w:cs="Arial"/>
                <w:b w:val="0"/>
                <w:sz w:val="22"/>
                <w:szCs w:val="22"/>
              </w:rPr>
            </w:pPr>
            <w:r w:rsidRPr="00BA61BA">
              <w:rPr>
                <w:rFonts w:ascii="Arial" w:hAnsi="Arial" w:cs="Arial"/>
                <w:b w:val="0"/>
                <w:sz w:val="22"/>
                <w:szCs w:val="22"/>
              </w:rPr>
              <w:t>Asthma, all year  worse at night</w:t>
            </w:r>
          </w:p>
        </w:tc>
        <w:tc>
          <w:tcPr>
            <w:tcW w:w="5552"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9544F">
              <w:rPr>
                <w:rFonts w:ascii="Arial" w:hAnsi="Arial" w:cs="Arial"/>
                <w:sz w:val="22"/>
                <w:szCs w:val="22"/>
              </w:rPr>
              <w:t>HDM, cat, dog, mixed feathers</w:t>
            </w:r>
          </w:p>
        </w:tc>
      </w:tr>
      <w:tr w:rsidR="003952B9" w:rsidRPr="00C9544F" w:rsidTr="00BA61BA">
        <w:tc>
          <w:tcPr>
            <w:cnfStyle w:val="001000000000" w:firstRow="0" w:lastRow="0" w:firstColumn="1" w:lastColumn="0" w:oddVBand="0" w:evenVBand="0" w:oddHBand="0" w:evenHBand="0" w:firstRowFirstColumn="0" w:firstRowLastColumn="0" w:lastRowFirstColumn="0" w:lastRowLastColumn="0"/>
            <w:tcW w:w="4621" w:type="dxa"/>
          </w:tcPr>
          <w:p w:rsidR="003952B9" w:rsidRPr="00BA61BA" w:rsidRDefault="003952B9" w:rsidP="00EA3038">
            <w:pPr>
              <w:jc w:val="both"/>
              <w:rPr>
                <w:rFonts w:ascii="Arial" w:hAnsi="Arial" w:cs="Arial"/>
                <w:b w:val="0"/>
                <w:sz w:val="22"/>
                <w:szCs w:val="22"/>
              </w:rPr>
            </w:pPr>
            <w:r w:rsidRPr="00BA61BA">
              <w:rPr>
                <w:rFonts w:ascii="Arial" w:hAnsi="Arial" w:cs="Arial"/>
                <w:b w:val="0"/>
                <w:sz w:val="22"/>
                <w:szCs w:val="22"/>
              </w:rPr>
              <w:t>Seasonal rhinitis</w:t>
            </w:r>
          </w:p>
        </w:tc>
        <w:tc>
          <w:tcPr>
            <w:tcW w:w="5552"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9544F">
              <w:rPr>
                <w:rFonts w:ascii="Arial" w:hAnsi="Arial" w:cs="Arial"/>
                <w:sz w:val="22"/>
                <w:szCs w:val="22"/>
              </w:rPr>
              <w:t>HDM, cat, dog, mixed grass (trees and weeds available on request)</w:t>
            </w:r>
          </w:p>
        </w:tc>
      </w:tr>
      <w:tr w:rsidR="003952B9" w:rsidRPr="00C9544F" w:rsidTr="00BA61BA">
        <w:tc>
          <w:tcPr>
            <w:cnfStyle w:val="001000000000" w:firstRow="0" w:lastRow="0" w:firstColumn="1" w:lastColumn="0" w:oddVBand="0" w:evenVBand="0" w:oddHBand="0" w:evenHBand="0" w:firstRowFirstColumn="0" w:firstRowLastColumn="0" w:lastRowFirstColumn="0" w:lastRowLastColumn="0"/>
            <w:tcW w:w="4621" w:type="dxa"/>
          </w:tcPr>
          <w:p w:rsidR="003952B9" w:rsidRPr="00BA61BA" w:rsidRDefault="003952B9" w:rsidP="00EA3038">
            <w:pPr>
              <w:rPr>
                <w:rFonts w:ascii="Arial" w:hAnsi="Arial" w:cs="Arial"/>
                <w:b w:val="0"/>
                <w:sz w:val="22"/>
                <w:szCs w:val="22"/>
              </w:rPr>
            </w:pPr>
            <w:r w:rsidRPr="00BA61BA">
              <w:rPr>
                <w:rFonts w:ascii="Arial" w:hAnsi="Arial" w:cs="Arial"/>
                <w:b w:val="0"/>
                <w:sz w:val="22"/>
                <w:szCs w:val="22"/>
              </w:rPr>
              <w:t>Eczema</w:t>
            </w:r>
          </w:p>
        </w:tc>
        <w:tc>
          <w:tcPr>
            <w:tcW w:w="5552"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9544F">
              <w:rPr>
                <w:rFonts w:ascii="Arial" w:hAnsi="Arial" w:cs="Arial"/>
                <w:sz w:val="22"/>
                <w:szCs w:val="22"/>
              </w:rPr>
              <w:t>HDM, mixed foods</w:t>
            </w:r>
          </w:p>
        </w:tc>
      </w:tr>
      <w:tr w:rsidR="003952B9" w:rsidRPr="00C9544F" w:rsidTr="00BA61BA">
        <w:tc>
          <w:tcPr>
            <w:cnfStyle w:val="001000000000" w:firstRow="0" w:lastRow="0" w:firstColumn="1" w:lastColumn="0" w:oddVBand="0" w:evenVBand="0" w:oddHBand="0" w:evenHBand="0" w:firstRowFirstColumn="0" w:firstRowLastColumn="0" w:lastRowFirstColumn="0" w:lastRowLastColumn="0"/>
            <w:tcW w:w="4621" w:type="dxa"/>
          </w:tcPr>
          <w:p w:rsidR="003952B9" w:rsidRPr="00BA61BA" w:rsidRDefault="003952B9" w:rsidP="00EA3038">
            <w:pPr>
              <w:rPr>
                <w:rFonts w:ascii="Arial" w:hAnsi="Arial" w:cs="Arial"/>
                <w:b w:val="0"/>
                <w:sz w:val="22"/>
                <w:szCs w:val="22"/>
              </w:rPr>
            </w:pPr>
            <w:r w:rsidRPr="00BA61BA">
              <w:rPr>
                <w:rFonts w:ascii="Arial" w:hAnsi="Arial" w:cs="Arial"/>
                <w:b w:val="0"/>
                <w:sz w:val="22"/>
                <w:szCs w:val="22"/>
              </w:rPr>
              <w:t>Food  allergy screen</w:t>
            </w:r>
          </w:p>
        </w:tc>
        <w:tc>
          <w:tcPr>
            <w:tcW w:w="5552" w:type="dxa"/>
          </w:tcPr>
          <w:p w:rsidR="003952B9" w:rsidRPr="00C9544F" w:rsidRDefault="003952B9" w:rsidP="00EA3038">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9544F">
              <w:rPr>
                <w:rFonts w:ascii="Arial" w:hAnsi="Arial" w:cs="Arial"/>
                <w:sz w:val="22"/>
                <w:szCs w:val="22"/>
              </w:rPr>
              <w:t>Mixed foods (includes egg, milk, wheat, peanut, soya, cod fish)</w:t>
            </w:r>
          </w:p>
        </w:tc>
      </w:tr>
      <w:tr w:rsidR="003952B9" w:rsidRPr="00C9544F" w:rsidTr="00BA61BA">
        <w:tc>
          <w:tcPr>
            <w:cnfStyle w:val="001000000000" w:firstRow="0" w:lastRow="0" w:firstColumn="1" w:lastColumn="0" w:oddVBand="0" w:evenVBand="0" w:oddHBand="0" w:evenHBand="0" w:firstRowFirstColumn="0" w:firstRowLastColumn="0" w:lastRowFirstColumn="0" w:lastRowLastColumn="0"/>
            <w:tcW w:w="4621" w:type="dxa"/>
          </w:tcPr>
          <w:p w:rsidR="003952B9" w:rsidRPr="00BA61BA" w:rsidRDefault="003952B9" w:rsidP="00EA3038">
            <w:pPr>
              <w:rPr>
                <w:rFonts w:ascii="Arial" w:hAnsi="Arial" w:cs="Arial"/>
                <w:b w:val="0"/>
                <w:sz w:val="22"/>
                <w:szCs w:val="22"/>
              </w:rPr>
            </w:pPr>
            <w:r w:rsidRPr="00BA61BA">
              <w:rPr>
                <w:rFonts w:ascii="Arial" w:hAnsi="Arial" w:cs="Arial"/>
                <w:b w:val="0"/>
                <w:sz w:val="22"/>
                <w:szCs w:val="22"/>
              </w:rPr>
              <w:t>Peanut allergy</w:t>
            </w:r>
          </w:p>
        </w:tc>
        <w:tc>
          <w:tcPr>
            <w:tcW w:w="5552" w:type="dxa"/>
          </w:tcPr>
          <w:p w:rsidR="003952B9" w:rsidRPr="00C9544F" w:rsidRDefault="003952B9" w:rsidP="00EA30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Mixed nuts, peanut</w:t>
            </w:r>
          </w:p>
        </w:tc>
      </w:tr>
      <w:tr w:rsidR="003952B9" w:rsidRPr="00C9544F" w:rsidTr="00BA61BA">
        <w:tc>
          <w:tcPr>
            <w:cnfStyle w:val="001000000000" w:firstRow="0" w:lastRow="0" w:firstColumn="1" w:lastColumn="0" w:oddVBand="0" w:evenVBand="0" w:oddHBand="0" w:evenHBand="0" w:firstRowFirstColumn="0" w:firstRowLastColumn="0" w:lastRowFirstColumn="0" w:lastRowLastColumn="0"/>
            <w:tcW w:w="4621" w:type="dxa"/>
          </w:tcPr>
          <w:p w:rsidR="003952B9" w:rsidRPr="00BA61BA" w:rsidRDefault="003952B9" w:rsidP="00EA3038">
            <w:pPr>
              <w:rPr>
                <w:rFonts w:ascii="Arial" w:hAnsi="Arial" w:cs="Arial"/>
                <w:b w:val="0"/>
                <w:sz w:val="22"/>
                <w:szCs w:val="22"/>
              </w:rPr>
            </w:pPr>
            <w:r w:rsidRPr="00BA61BA">
              <w:rPr>
                <w:rFonts w:ascii="Arial" w:hAnsi="Arial" w:cs="Arial"/>
                <w:b w:val="0"/>
                <w:sz w:val="22"/>
                <w:szCs w:val="22"/>
              </w:rPr>
              <w:t>Insect venom anaphylaxis</w:t>
            </w:r>
          </w:p>
        </w:tc>
        <w:tc>
          <w:tcPr>
            <w:tcW w:w="5552" w:type="dxa"/>
          </w:tcPr>
          <w:p w:rsidR="003952B9" w:rsidRPr="00C9544F" w:rsidRDefault="003952B9" w:rsidP="00EA30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Bee venom, wasp venom</w:t>
            </w:r>
          </w:p>
        </w:tc>
      </w:tr>
      <w:tr w:rsidR="003952B9" w:rsidRPr="00C9544F" w:rsidTr="00BA61BA">
        <w:tc>
          <w:tcPr>
            <w:cnfStyle w:val="001000000000" w:firstRow="0" w:lastRow="0" w:firstColumn="1" w:lastColumn="0" w:oddVBand="0" w:evenVBand="0" w:oddHBand="0" w:evenHBand="0" w:firstRowFirstColumn="0" w:firstRowLastColumn="0" w:lastRowFirstColumn="0" w:lastRowLastColumn="0"/>
            <w:tcW w:w="4621" w:type="dxa"/>
          </w:tcPr>
          <w:p w:rsidR="003952B9" w:rsidRPr="00BA61BA" w:rsidRDefault="003952B9" w:rsidP="00EA3038">
            <w:pPr>
              <w:rPr>
                <w:rFonts w:ascii="Arial" w:hAnsi="Arial" w:cs="Arial"/>
                <w:b w:val="0"/>
                <w:sz w:val="22"/>
                <w:szCs w:val="22"/>
              </w:rPr>
            </w:pPr>
            <w:r w:rsidRPr="00BA61BA">
              <w:rPr>
                <w:rFonts w:ascii="Arial" w:hAnsi="Arial" w:cs="Arial"/>
                <w:b w:val="0"/>
                <w:sz w:val="22"/>
                <w:szCs w:val="22"/>
              </w:rPr>
              <w:t>Penicillin allergy</w:t>
            </w:r>
          </w:p>
        </w:tc>
        <w:tc>
          <w:tcPr>
            <w:tcW w:w="5552" w:type="dxa"/>
          </w:tcPr>
          <w:p w:rsidR="003952B9" w:rsidRPr="00C9544F" w:rsidRDefault="003952B9" w:rsidP="00EA303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9544F">
              <w:rPr>
                <w:rFonts w:ascii="Arial" w:hAnsi="Arial" w:cs="Arial"/>
                <w:sz w:val="22"/>
                <w:szCs w:val="22"/>
              </w:rPr>
              <w:t>Penicillin G and V</w:t>
            </w:r>
          </w:p>
        </w:tc>
      </w:tr>
      <w:tr w:rsidR="003952B9" w:rsidRPr="00C9544F" w:rsidTr="00BA61BA">
        <w:tc>
          <w:tcPr>
            <w:cnfStyle w:val="001000000000" w:firstRow="0" w:lastRow="0" w:firstColumn="1" w:lastColumn="0" w:oddVBand="0" w:evenVBand="0" w:oddHBand="0" w:evenHBand="0" w:firstRowFirstColumn="0" w:firstRowLastColumn="0" w:lastRowFirstColumn="0" w:lastRowLastColumn="0"/>
            <w:tcW w:w="4621" w:type="dxa"/>
          </w:tcPr>
          <w:p w:rsidR="003952B9" w:rsidRPr="00BA61BA" w:rsidRDefault="003952B9" w:rsidP="00EA3038">
            <w:pPr>
              <w:rPr>
                <w:rFonts w:ascii="Arial" w:hAnsi="Arial" w:cs="Arial"/>
                <w:b w:val="0"/>
                <w:sz w:val="22"/>
                <w:szCs w:val="22"/>
              </w:rPr>
            </w:pPr>
            <w:r w:rsidRPr="00BA61BA">
              <w:rPr>
                <w:rFonts w:ascii="Arial" w:hAnsi="Arial" w:cs="Arial"/>
                <w:b w:val="0"/>
                <w:sz w:val="22"/>
                <w:szCs w:val="22"/>
              </w:rPr>
              <w:t>Wheat intolerance</w:t>
            </w:r>
          </w:p>
        </w:tc>
        <w:tc>
          <w:tcPr>
            <w:tcW w:w="5552" w:type="dxa"/>
          </w:tcPr>
          <w:p w:rsidR="003952B9" w:rsidRPr="00C9544F" w:rsidRDefault="003952B9" w:rsidP="00EA3038">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9544F">
              <w:rPr>
                <w:rFonts w:ascii="Arial" w:hAnsi="Arial" w:cs="Arial"/>
                <w:sz w:val="22"/>
                <w:szCs w:val="22"/>
              </w:rPr>
              <w:t>Wheat  and suggest check anti TTG antibodies</w:t>
            </w:r>
          </w:p>
        </w:tc>
      </w:tr>
    </w:tbl>
    <w:p w:rsidR="003952B9" w:rsidRPr="00F961B8" w:rsidRDefault="003952B9" w:rsidP="003952B9">
      <w:pPr>
        <w:rPr>
          <w:rFonts w:ascii="Arial" w:hAnsi="Arial" w:cs="Arial"/>
          <w:sz w:val="22"/>
          <w:szCs w:val="22"/>
        </w:rPr>
      </w:pPr>
    </w:p>
    <w:p w:rsidR="003952B9" w:rsidRDefault="003952B9" w:rsidP="00D8441A">
      <w:pPr>
        <w:spacing w:line="360" w:lineRule="auto"/>
        <w:contextualSpacing/>
        <w:jc w:val="both"/>
        <w:rPr>
          <w:rFonts w:ascii="Arial" w:hAnsi="Arial" w:cs="Arial"/>
          <w:b/>
        </w:rPr>
      </w:pPr>
      <w:r>
        <w:rPr>
          <w:rFonts w:ascii="Arial" w:hAnsi="Arial" w:cs="Arial"/>
          <w:b/>
          <w:sz w:val="22"/>
          <w:szCs w:val="22"/>
        </w:rPr>
        <w:t>Further hypersensitivity testing</w:t>
      </w:r>
    </w:p>
    <w:p w:rsidR="003952B9" w:rsidRDefault="003952B9" w:rsidP="00D8441A">
      <w:pPr>
        <w:spacing w:line="360" w:lineRule="auto"/>
        <w:contextualSpacing/>
        <w:jc w:val="both"/>
        <w:rPr>
          <w:rFonts w:ascii="Arial" w:hAnsi="Arial" w:cs="Arial"/>
          <w:color w:val="000000"/>
          <w:sz w:val="22"/>
          <w:szCs w:val="22"/>
        </w:rPr>
      </w:pPr>
      <w:r w:rsidRPr="00184050">
        <w:rPr>
          <w:rFonts w:ascii="Arial" w:hAnsi="Arial" w:cs="Arial"/>
          <w:color w:val="000000"/>
          <w:sz w:val="22"/>
          <w:szCs w:val="22"/>
        </w:rPr>
        <w:t xml:space="preserve">We have a large number of other allergens please telephone to check availability. </w:t>
      </w:r>
    </w:p>
    <w:p w:rsidR="005D0C46" w:rsidRDefault="003952B9" w:rsidP="00D8441A">
      <w:pPr>
        <w:spacing w:line="360" w:lineRule="auto"/>
        <w:contextualSpacing/>
        <w:jc w:val="both"/>
        <w:rPr>
          <w:rFonts w:ascii="Arial" w:hAnsi="Arial" w:cs="Arial"/>
          <w:color w:val="000000"/>
          <w:sz w:val="22"/>
          <w:szCs w:val="22"/>
        </w:rPr>
      </w:pPr>
      <w:r w:rsidRPr="00184050">
        <w:rPr>
          <w:rFonts w:ascii="Arial" w:hAnsi="Arial" w:cs="Arial"/>
          <w:color w:val="000000"/>
          <w:sz w:val="22"/>
          <w:szCs w:val="22"/>
        </w:rPr>
        <w:t>Other antibiotic allergy testing </w:t>
      </w:r>
      <w:r w:rsidR="005D0C46" w:rsidRPr="00184050">
        <w:rPr>
          <w:rFonts w:ascii="Arial" w:hAnsi="Arial" w:cs="Arial"/>
          <w:color w:val="000000"/>
          <w:sz w:val="22"/>
          <w:szCs w:val="22"/>
        </w:rPr>
        <w:t>and allergen</w:t>
      </w:r>
      <w:r w:rsidRPr="00184050">
        <w:rPr>
          <w:rFonts w:ascii="Arial" w:hAnsi="Arial" w:cs="Arial"/>
          <w:color w:val="000000"/>
          <w:sz w:val="22"/>
          <w:szCs w:val="22"/>
        </w:rPr>
        <w:t> component testing is available upon request,</w:t>
      </w:r>
    </w:p>
    <w:p w:rsidR="003952B9" w:rsidRDefault="003952B9" w:rsidP="00D8441A">
      <w:pPr>
        <w:spacing w:line="360" w:lineRule="auto"/>
        <w:contextualSpacing/>
        <w:jc w:val="both"/>
        <w:rPr>
          <w:rFonts w:ascii="Arial" w:hAnsi="Arial" w:cs="Arial"/>
          <w:color w:val="000000"/>
          <w:sz w:val="22"/>
          <w:szCs w:val="22"/>
        </w:rPr>
      </w:pPr>
      <w:r w:rsidRPr="00184050">
        <w:rPr>
          <w:rFonts w:ascii="Arial" w:hAnsi="Arial" w:cs="Arial"/>
          <w:color w:val="000000"/>
          <w:sz w:val="22"/>
          <w:szCs w:val="22"/>
        </w:rPr>
        <w:t>please contact us to discuss. </w:t>
      </w:r>
    </w:p>
    <w:p w:rsidR="003952B9" w:rsidRPr="00184050" w:rsidRDefault="003952B9" w:rsidP="00D8441A">
      <w:pPr>
        <w:spacing w:line="360" w:lineRule="auto"/>
        <w:contextualSpacing/>
        <w:jc w:val="both"/>
        <w:rPr>
          <w:rFonts w:ascii="Arial" w:hAnsi="Arial" w:cs="Arial"/>
          <w:sz w:val="22"/>
          <w:szCs w:val="22"/>
        </w:rPr>
      </w:pPr>
      <w:r w:rsidRPr="00184050">
        <w:rPr>
          <w:rFonts w:ascii="Arial" w:hAnsi="Arial" w:cs="Arial"/>
          <w:color w:val="000000"/>
          <w:sz w:val="22"/>
          <w:szCs w:val="22"/>
        </w:rPr>
        <w:t>We also test for specific IgG</w:t>
      </w:r>
      <w:r>
        <w:rPr>
          <w:rFonts w:ascii="Arial" w:hAnsi="Arial" w:cs="Arial"/>
          <w:color w:val="000000"/>
          <w:sz w:val="22"/>
          <w:szCs w:val="22"/>
        </w:rPr>
        <w:t xml:space="preserve"> </w:t>
      </w:r>
      <w:r w:rsidRPr="00184050">
        <w:rPr>
          <w:rFonts w:ascii="Arial" w:hAnsi="Arial" w:cs="Arial"/>
          <w:color w:val="000000"/>
          <w:sz w:val="22"/>
          <w:szCs w:val="22"/>
        </w:rPr>
        <w:t>to Aspergillus Fumigatus, pigeon antigens &amp; budgerigar antigens</w:t>
      </w:r>
      <w:r w:rsidRPr="00184050">
        <w:rPr>
          <w:rFonts w:ascii="Arial" w:hAnsi="Arial" w:cs="Arial"/>
          <w:sz w:val="22"/>
          <w:szCs w:val="22"/>
        </w:rPr>
        <w:t>.</w:t>
      </w:r>
    </w:p>
    <w:p w:rsidR="003952B9" w:rsidRPr="00F961B8" w:rsidRDefault="003952B9" w:rsidP="00D8441A">
      <w:pPr>
        <w:spacing w:line="360" w:lineRule="auto"/>
        <w:contextualSpacing/>
        <w:jc w:val="both"/>
        <w:rPr>
          <w:rFonts w:ascii="Arial" w:hAnsi="Arial" w:cs="Arial"/>
          <w:sz w:val="22"/>
          <w:szCs w:val="22"/>
        </w:rPr>
      </w:pPr>
    </w:p>
    <w:p w:rsidR="003952B9" w:rsidRPr="00F961B8" w:rsidRDefault="003952B9" w:rsidP="00B66AC9">
      <w:pPr>
        <w:spacing w:line="360" w:lineRule="auto"/>
        <w:contextualSpacing/>
        <w:jc w:val="both"/>
        <w:rPr>
          <w:rFonts w:ascii="Arial" w:hAnsi="Arial" w:cs="Arial"/>
          <w:sz w:val="22"/>
          <w:szCs w:val="22"/>
        </w:rPr>
      </w:pPr>
      <w:r w:rsidRPr="00F961B8">
        <w:rPr>
          <w:rFonts w:ascii="Arial" w:hAnsi="Arial" w:cs="Arial"/>
          <w:b/>
          <w:sz w:val="22"/>
          <w:szCs w:val="22"/>
        </w:rPr>
        <w:t>Tryptase</w:t>
      </w:r>
    </w:p>
    <w:p w:rsidR="003952B9" w:rsidRDefault="003952B9" w:rsidP="00B66AC9">
      <w:pPr>
        <w:spacing w:line="360" w:lineRule="auto"/>
        <w:contextualSpacing/>
        <w:jc w:val="both"/>
        <w:rPr>
          <w:rFonts w:ascii="Arial" w:hAnsi="Arial" w:cs="Arial"/>
          <w:sz w:val="22"/>
          <w:szCs w:val="22"/>
        </w:rPr>
      </w:pPr>
      <w:r w:rsidRPr="00F961B8">
        <w:rPr>
          <w:rFonts w:ascii="Arial" w:hAnsi="Arial" w:cs="Arial"/>
          <w:sz w:val="22"/>
          <w:szCs w:val="22"/>
        </w:rPr>
        <w:t>Anaphylaxis should be investigated by measurin</w:t>
      </w:r>
      <w:r>
        <w:rPr>
          <w:rFonts w:ascii="Arial" w:hAnsi="Arial" w:cs="Arial"/>
          <w:sz w:val="22"/>
          <w:szCs w:val="22"/>
        </w:rPr>
        <w:t>g serum tryptase concentrations.  The NICE guideline (</w:t>
      </w:r>
      <w:r w:rsidR="005D0C46">
        <w:rPr>
          <w:rFonts w:ascii="Arial" w:hAnsi="Arial" w:cs="Arial"/>
          <w:sz w:val="22"/>
          <w:szCs w:val="22"/>
        </w:rPr>
        <w:t>C</w:t>
      </w:r>
      <w:r>
        <w:rPr>
          <w:rFonts w:ascii="Arial" w:hAnsi="Arial" w:cs="Arial"/>
          <w:sz w:val="22"/>
          <w:szCs w:val="22"/>
        </w:rPr>
        <w:t>G134): Anaphylaxis: assessment and referral (20</w:t>
      </w:r>
      <w:r w:rsidR="005D0C46">
        <w:rPr>
          <w:rFonts w:ascii="Arial" w:hAnsi="Arial" w:cs="Arial"/>
          <w:sz w:val="22"/>
          <w:szCs w:val="22"/>
        </w:rPr>
        <w:t>20</w:t>
      </w:r>
      <w:r>
        <w:rPr>
          <w:rFonts w:ascii="Arial" w:hAnsi="Arial" w:cs="Arial"/>
          <w:sz w:val="22"/>
          <w:szCs w:val="22"/>
        </w:rPr>
        <w:t>) states the following:</w:t>
      </w:r>
    </w:p>
    <w:p w:rsidR="003952B9" w:rsidRDefault="003952B9" w:rsidP="00B66AC9">
      <w:pPr>
        <w:widowControl/>
        <w:numPr>
          <w:ilvl w:val="0"/>
          <w:numId w:val="57"/>
        </w:numPr>
        <w:shd w:val="clear" w:color="auto" w:fill="FAFAFB"/>
        <w:spacing w:line="360" w:lineRule="auto"/>
        <w:contextualSpacing/>
        <w:jc w:val="both"/>
        <w:rPr>
          <w:rFonts w:ascii="Arial" w:hAnsi="Arial" w:cs="Arial"/>
          <w:snapToGrid/>
          <w:color w:val="0E0E0E"/>
          <w:sz w:val="22"/>
          <w:szCs w:val="22"/>
          <w:lang w:eastAsia="en-GB"/>
        </w:rPr>
      </w:pPr>
      <w:r w:rsidRPr="00CC6A8E">
        <w:rPr>
          <w:rFonts w:ascii="Arial" w:hAnsi="Arial" w:cs="Arial"/>
          <w:snapToGrid/>
          <w:color w:val="0E0E0E"/>
          <w:sz w:val="22"/>
          <w:szCs w:val="22"/>
          <w:lang w:eastAsia="en-GB"/>
        </w:rPr>
        <w:t>Record the time of onset of the reaction.</w:t>
      </w:r>
    </w:p>
    <w:p w:rsidR="003952B9" w:rsidRDefault="003952B9" w:rsidP="00B66AC9">
      <w:pPr>
        <w:widowControl/>
        <w:numPr>
          <w:ilvl w:val="0"/>
          <w:numId w:val="57"/>
        </w:numPr>
        <w:shd w:val="clear" w:color="auto" w:fill="FAFAFB"/>
        <w:spacing w:line="360" w:lineRule="auto"/>
        <w:contextualSpacing/>
        <w:jc w:val="both"/>
        <w:rPr>
          <w:rFonts w:ascii="Arial" w:hAnsi="Arial" w:cs="Arial"/>
          <w:snapToGrid/>
          <w:color w:val="0E0E0E"/>
          <w:sz w:val="22"/>
          <w:szCs w:val="22"/>
          <w:lang w:eastAsia="en-GB"/>
        </w:rPr>
      </w:pPr>
      <w:r w:rsidRPr="00CC6A8E">
        <w:rPr>
          <w:rFonts w:ascii="Arial" w:hAnsi="Arial" w:cs="Arial"/>
          <w:snapToGrid/>
          <w:color w:val="0E0E0E"/>
          <w:sz w:val="22"/>
          <w:szCs w:val="22"/>
          <w:lang w:eastAsia="en-GB"/>
        </w:rPr>
        <w:t>Record the circumstances immediately before the onset of symptoms to help to identify the possible trigger.</w:t>
      </w:r>
    </w:p>
    <w:p w:rsidR="003952B9" w:rsidRPr="00CC6A8E" w:rsidRDefault="003952B9" w:rsidP="00B66AC9">
      <w:pPr>
        <w:widowControl/>
        <w:numPr>
          <w:ilvl w:val="0"/>
          <w:numId w:val="57"/>
        </w:numPr>
        <w:shd w:val="clear" w:color="auto" w:fill="FAFAFB"/>
        <w:spacing w:line="360" w:lineRule="auto"/>
        <w:contextualSpacing/>
        <w:jc w:val="both"/>
        <w:rPr>
          <w:rFonts w:ascii="Arial" w:hAnsi="Arial" w:cs="Arial"/>
          <w:snapToGrid/>
          <w:color w:val="0E0E0E"/>
          <w:sz w:val="22"/>
          <w:szCs w:val="22"/>
          <w:lang w:eastAsia="en-GB"/>
        </w:rPr>
      </w:pPr>
      <w:r w:rsidRPr="00CC6A8E">
        <w:rPr>
          <w:rFonts w:ascii="Arial" w:hAnsi="Arial" w:cs="Arial"/>
          <w:snapToGrid/>
          <w:color w:val="0E0E0E"/>
          <w:sz w:val="22"/>
          <w:szCs w:val="22"/>
          <w:lang w:eastAsia="en-GB"/>
        </w:rPr>
        <w:t>After a suspected anaphylactic reaction in adults or young people aged 16 years or older, take timed blood samples for mast cell tryptase testing as follows:</w:t>
      </w:r>
    </w:p>
    <w:p w:rsidR="003952B9" w:rsidRPr="00CC6A8E" w:rsidRDefault="003952B9" w:rsidP="00B66AC9">
      <w:pPr>
        <w:widowControl/>
        <w:numPr>
          <w:ilvl w:val="0"/>
          <w:numId w:val="56"/>
        </w:numPr>
        <w:shd w:val="clear" w:color="auto" w:fill="FAFAFB"/>
        <w:spacing w:line="360" w:lineRule="auto"/>
        <w:contextualSpacing/>
        <w:jc w:val="both"/>
        <w:rPr>
          <w:rFonts w:ascii="Arial" w:hAnsi="Arial" w:cs="Arial"/>
          <w:snapToGrid/>
          <w:color w:val="0E0E0E"/>
          <w:sz w:val="22"/>
          <w:szCs w:val="22"/>
          <w:lang w:eastAsia="en-GB"/>
        </w:rPr>
      </w:pPr>
      <w:r w:rsidRPr="00CC6A8E">
        <w:rPr>
          <w:rFonts w:ascii="Arial" w:hAnsi="Arial" w:cs="Arial"/>
          <w:snapToGrid/>
          <w:color w:val="0E0E0E"/>
          <w:sz w:val="22"/>
          <w:szCs w:val="22"/>
          <w:lang w:eastAsia="en-GB"/>
        </w:rPr>
        <w:t>a sample as soon as possible after emergency treatment has started</w:t>
      </w:r>
    </w:p>
    <w:p w:rsidR="003952B9" w:rsidRPr="00CC6A8E" w:rsidRDefault="003952B9" w:rsidP="00B66AC9">
      <w:pPr>
        <w:widowControl/>
        <w:numPr>
          <w:ilvl w:val="0"/>
          <w:numId w:val="56"/>
        </w:numPr>
        <w:shd w:val="clear" w:color="auto" w:fill="FAFAFB"/>
        <w:spacing w:line="360" w:lineRule="auto"/>
        <w:contextualSpacing/>
        <w:jc w:val="both"/>
        <w:rPr>
          <w:rFonts w:ascii="Arial" w:hAnsi="Arial" w:cs="Arial"/>
          <w:snapToGrid/>
          <w:color w:val="0E0E0E"/>
          <w:sz w:val="22"/>
          <w:szCs w:val="22"/>
          <w:lang w:eastAsia="en-GB"/>
        </w:rPr>
      </w:pPr>
      <w:r w:rsidRPr="00CC6A8E">
        <w:rPr>
          <w:rFonts w:ascii="Arial" w:hAnsi="Arial" w:cs="Arial"/>
          <w:snapToGrid/>
          <w:color w:val="0E0E0E"/>
          <w:sz w:val="22"/>
          <w:szCs w:val="22"/>
          <w:lang w:eastAsia="en-GB"/>
        </w:rPr>
        <w:t>a second sample ideally within 1–2 hours (but no later than 4 hours) from the onset of symptoms.</w:t>
      </w:r>
    </w:p>
    <w:p w:rsidR="003952B9" w:rsidRPr="00CC6A8E" w:rsidRDefault="003952B9" w:rsidP="00B66AC9">
      <w:pPr>
        <w:widowControl/>
        <w:numPr>
          <w:ilvl w:val="0"/>
          <w:numId w:val="59"/>
        </w:numPr>
        <w:shd w:val="clear" w:color="auto" w:fill="FAFAFB"/>
        <w:spacing w:line="360" w:lineRule="auto"/>
        <w:contextualSpacing/>
        <w:jc w:val="both"/>
        <w:rPr>
          <w:rFonts w:ascii="Arial" w:hAnsi="Arial" w:cs="Arial"/>
          <w:snapToGrid/>
          <w:color w:val="0E0E0E"/>
          <w:sz w:val="22"/>
          <w:szCs w:val="22"/>
          <w:lang w:eastAsia="en-GB"/>
        </w:rPr>
      </w:pPr>
      <w:r w:rsidRPr="00CC6A8E">
        <w:rPr>
          <w:rFonts w:ascii="Arial" w:hAnsi="Arial" w:cs="Arial"/>
          <w:snapToGrid/>
          <w:color w:val="0E0E0E"/>
          <w:sz w:val="22"/>
          <w:szCs w:val="22"/>
          <w:lang w:eastAsia="en-GB"/>
        </w:rPr>
        <w:t>After a suspected anaphylactic reaction in children younger than 16 years, consider taking blood samples for mast cell tryptase testing as follows if the cause is thought to be venom-related, drug-related or idiopathic:</w:t>
      </w:r>
    </w:p>
    <w:p w:rsidR="003952B9" w:rsidRPr="00CC6A8E" w:rsidRDefault="003952B9" w:rsidP="00B66AC9">
      <w:pPr>
        <w:widowControl/>
        <w:numPr>
          <w:ilvl w:val="0"/>
          <w:numId w:val="58"/>
        </w:numPr>
        <w:shd w:val="clear" w:color="auto" w:fill="FAFAFB"/>
        <w:spacing w:line="360" w:lineRule="auto"/>
        <w:contextualSpacing/>
        <w:jc w:val="both"/>
        <w:rPr>
          <w:rFonts w:ascii="Arial" w:hAnsi="Arial" w:cs="Arial"/>
          <w:snapToGrid/>
          <w:color w:val="0E0E0E"/>
          <w:sz w:val="22"/>
          <w:szCs w:val="22"/>
          <w:lang w:eastAsia="en-GB"/>
        </w:rPr>
      </w:pPr>
      <w:r w:rsidRPr="00CC6A8E">
        <w:rPr>
          <w:rFonts w:ascii="Arial" w:hAnsi="Arial" w:cs="Arial"/>
          <w:snapToGrid/>
          <w:color w:val="0E0E0E"/>
          <w:sz w:val="22"/>
          <w:szCs w:val="22"/>
          <w:lang w:eastAsia="en-GB"/>
        </w:rPr>
        <w:t>a sample as soon as possible after emergency treatment has started</w:t>
      </w:r>
    </w:p>
    <w:p w:rsidR="003952B9" w:rsidRPr="00CC6A8E" w:rsidRDefault="003952B9" w:rsidP="00B66AC9">
      <w:pPr>
        <w:widowControl/>
        <w:numPr>
          <w:ilvl w:val="0"/>
          <w:numId w:val="58"/>
        </w:numPr>
        <w:shd w:val="clear" w:color="auto" w:fill="FAFAFB"/>
        <w:spacing w:line="360" w:lineRule="auto"/>
        <w:contextualSpacing/>
        <w:jc w:val="both"/>
        <w:rPr>
          <w:rFonts w:ascii="Arial" w:hAnsi="Arial" w:cs="Arial"/>
          <w:snapToGrid/>
          <w:color w:val="0E0E0E"/>
          <w:sz w:val="22"/>
          <w:szCs w:val="22"/>
          <w:lang w:eastAsia="en-GB"/>
        </w:rPr>
      </w:pPr>
      <w:r w:rsidRPr="00CC6A8E">
        <w:rPr>
          <w:rFonts w:ascii="Arial" w:hAnsi="Arial" w:cs="Arial"/>
          <w:snapToGrid/>
          <w:color w:val="0E0E0E"/>
          <w:sz w:val="22"/>
          <w:szCs w:val="22"/>
          <w:lang w:eastAsia="en-GB"/>
        </w:rPr>
        <w:t>a second sample ideally within 1–2 hours (but no later than 4 hours) from the onset of symptoms.</w:t>
      </w:r>
    </w:p>
    <w:p w:rsidR="003952B9" w:rsidRDefault="003952B9" w:rsidP="00B66AC9">
      <w:pPr>
        <w:spacing w:line="360" w:lineRule="auto"/>
        <w:contextualSpacing/>
        <w:jc w:val="both"/>
        <w:rPr>
          <w:rFonts w:ascii="Arial" w:hAnsi="Arial"/>
          <w:sz w:val="20"/>
        </w:rPr>
      </w:pPr>
    </w:p>
    <w:p w:rsidR="003952B9" w:rsidRPr="002D5FB6" w:rsidRDefault="003952B9" w:rsidP="00B66AC9">
      <w:pPr>
        <w:pStyle w:val="Heading5"/>
        <w:tabs>
          <w:tab w:val="clear" w:pos="360"/>
        </w:tabs>
        <w:spacing w:line="360" w:lineRule="auto"/>
        <w:ind w:left="426"/>
        <w:contextualSpacing/>
        <w:jc w:val="both"/>
      </w:pPr>
      <w:r w:rsidRPr="00983490">
        <w:rPr>
          <w:rFonts w:ascii="Arial" w:hAnsi="Arial"/>
          <w:sz w:val="22"/>
          <w:szCs w:val="22"/>
        </w:rPr>
        <w:t>Paraprotein studies and protein electrophoresis</w:t>
      </w:r>
    </w:p>
    <w:p w:rsidR="003952B9" w:rsidRDefault="003952B9" w:rsidP="00B66AC9">
      <w:pPr>
        <w:widowControl/>
        <w:numPr>
          <w:ilvl w:val="0"/>
          <w:numId w:val="54"/>
        </w:numPr>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ind w:left="709" w:hanging="284"/>
        <w:contextualSpacing/>
        <w:jc w:val="both"/>
        <w:rPr>
          <w:rFonts w:ascii="Arial" w:hAnsi="Arial"/>
          <w:sz w:val="22"/>
          <w:szCs w:val="22"/>
        </w:rPr>
      </w:pPr>
      <w:r w:rsidRPr="00983490">
        <w:rPr>
          <w:rFonts w:ascii="Arial" w:hAnsi="Arial"/>
          <w:sz w:val="22"/>
          <w:szCs w:val="22"/>
        </w:rPr>
        <w:t xml:space="preserve">Paraprotein bands in serum are associated with B cell malignancies (e.g. myeloma, Waldenstrom’s macroglobulinaemia, lymphoma). </w:t>
      </w:r>
    </w:p>
    <w:p w:rsidR="003952B9" w:rsidRDefault="003952B9" w:rsidP="00B66AC9">
      <w:pPr>
        <w:widowControl/>
        <w:numPr>
          <w:ilvl w:val="0"/>
          <w:numId w:val="54"/>
        </w:numPr>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ind w:left="709" w:hanging="284"/>
        <w:contextualSpacing/>
        <w:jc w:val="both"/>
        <w:rPr>
          <w:rFonts w:ascii="Arial" w:hAnsi="Arial"/>
          <w:sz w:val="22"/>
          <w:szCs w:val="22"/>
        </w:rPr>
      </w:pPr>
      <w:r w:rsidRPr="00983490">
        <w:rPr>
          <w:rFonts w:ascii="Arial" w:hAnsi="Arial"/>
          <w:sz w:val="22"/>
          <w:szCs w:val="22"/>
        </w:rPr>
        <w:t xml:space="preserve">The detection, characterisation and quantitation of paraprotein bands are used for diagnosis and monitoring disease. </w:t>
      </w:r>
    </w:p>
    <w:p w:rsidR="003952B9" w:rsidRDefault="003952B9" w:rsidP="00B66AC9">
      <w:pPr>
        <w:widowControl/>
        <w:numPr>
          <w:ilvl w:val="0"/>
          <w:numId w:val="54"/>
        </w:numPr>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ind w:left="709" w:hanging="284"/>
        <w:contextualSpacing/>
        <w:jc w:val="both"/>
        <w:rPr>
          <w:rFonts w:ascii="Arial" w:hAnsi="Arial"/>
          <w:sz w:val="22"/>
          <w:szCs w:val="22"/>
        </w:rPr>
      </w:pPr>
      <w:r w:rsidRPr="00983490">
        <w:rPr>
          <w:rFonts w:ascii="Arial" w:hAnsi="Arial"/>
          <w:sz w:val="22"/>
          <w:szCs w:val="22"/>
        </w:rPr>
        <w:t xml:space="preserve">Paraproteins can occur incidentally without associated B cell tumours (monoclonal gammopathy of undetermined significance), especially in the elderly. </w:t>
      </w:r>
    </w:p>
    <w:p w:rsidR="003952B9" w:rsidRDefault="003952B9" w:rsidP="00B66AC9">
      <w:pPr>
        <w:widowControl/>
        <w:numPr>
          <w:ilvl w:val="0"/>
          <w:numId w:val="54"/>
        </w:numPr>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ind w:left="709" w:hanging="284"/>
        <w:contextualSpacing/>
        <w:jc w:val="both"/>
        <w:rPr>
          <w:rFonts w:ascii="Arial" w:hAnsi="Arial"/>
          <w:sz w:val="22"/>
          <w:szCs w:val="22"/>
        </w:rPr>
      </w:pPr>
      <w:r w:rsidRPr="00983490">
        <w:rPr>
          <w:rFonts w:ascii="Arial" w:hAnsi="Arial"/>
          <w:sz w:val="22"/>
          <w:szCs w:val="22"/>
        </w:rPr>
        <w:t xml:space="preserve">The absence of a serum paraprotein band does not exclude myeloma: Bence Jones protein in the urine may be the only biochemical indication of malignancy in approximately 20% of cases of myeloma. </w:t>
      </w:r>
    </w:p>
    <w:p w:rsidR="003952B9" w:rsidRPr="00983490" w:rsidRDefault="003952B9" w:rsidP="00B66AC9">
      <w:pPr>
        <w:widowControl/>
        <w:numPr>
          <w:ilvl w:val="0"/>
          <w:numId w:val="54"/>
        </w:numPr>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ind w:left="709" w:hanging="284"/>
        <w:contextualSpacing/>
        <w:jc w:val="both"/>
        <w:rPr>
          <w:rFonts w:ascii="Arial" w:hAnsi="Arial"/>
          <w:sz w:val="22"/>
          <w:szCs w:val="22"/>
        </w:rPr>
      </w:pPr>
      <w:r>
        <w:rPr>
          <w:rFonts w:ascii="Arial" w:hAnsi="Arial"/>
          <w:sz w:val="22"/>
          <w:szCs w:val="22"/>
        </w:rPr>
        <w:t xml:space="preserve"> </w:t>
      </w:r>
      <w:r w:rsidRPr="00983490">
        <w:rPr>
          <w:rFonts w:ascii="Arial" w:hAnsi="Arial"/>
          <w:sz w:val="22"/>
          <w:szCs w:val="22"/>
        </w:rPr>
        <w:t xml:space="preserve">If myeloma is suspected </w:t>
      </w:r>
      <w:r w:rsidRPr="00FA4A91">
        <w:rPr>
          <w:rFonts w:ascii="Arial" w:hAnsi="Arial"/>
          <w:b/>
          <w:sz w:val="22"/>
          <w:szCs w:val="22"/>
        </w:rPr>
        <w:t>please always send serum and random plain urine samples</w:t>
      </w:r>
      <w:r w:rsidRPr="00983490">
        <w:rPr>
          <w:rFonts w:ascii="Arial" w:hAnsi="Arial"/>
          <w:sz w:val="22"/>
          <w:szCs w:val="22"/>
        </w:rPr>
        <w:t xml:space="preserve"> for analysis. If a monoclonal band is detected, we will automatically carry out immunofixation/immunotyping to determine the type of paraprotein. All requests for serum protein electrophoresis will automatically receive total protein and albumin measurement.</w:t>
      </w:r>
    </w:p>
    <w:p w:rsidR="003952B9" w:rsidRPr="00983490" w:rsidRDefault="003952B9" w:rsidP="00B66AC9">
      <w:pPr>
        <w:pStyle w:val="Heading5"/>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1512"/>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contextualSpacing/>
        <w:jc w:val="both"/>
        <w:rPr>
          <w:rFonts w:ascii="Arial" w:hAnsi="Arial"/>
          <w:sz w:val="22"/>
          <w:szCs w:val="22"/>
        </w:rPr>
      </w:pPr>
    </w:p>
    <w:p w:rsidR="003952B9" w:rsidRPr="002D5FB6" w:rsidRDefault="003952B9" w:rsidP="00B66AC9">
      <w:pPr>
        <w:pStyle w:val="Heading5"/>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1512"/>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360" w:lineRule="auto"/>
        <w:ind w:left="360"/>
        <w:contextualSpacing/>
        <w:jc w:val="both"/>
      </w:pPr>
      <w:r>
        <w:rPr>
          <w:rFonts w:ascii="Arial" w:hAnsi="Arial"/>
          <w:sz w:val="22"/>
          <w:szCs w:val="22"/>
        </w:rPr>
        <w:t>Cryoprotein</w:t>
      </w:r>
      <w:r w:rsidRPr="00983490">
        <w:rPr>
          <w:rFonts w:ascii="Arial" w:hAnsi="Arial"/>
          <w:sz w:val="22"/>
          <w:szCs w:val="22"/>
        </w:rPr>
        <w:t>s</w:t>
      </w:r>
      <w:r>
        <w:rPr>
          <w:rFonts w:ascii="Arial" w:hAnsi="Arial"/>
          <w:sz w:val="22"/>
          <w:szCs w:val="22"/>
        </w:rPr>
        <w:t xml:space="preserve"> (cryoglobulins and cryofibrinogen)</w:t>
      </w:r>
    </w:p>
    <w:p w:rsidR="003952B9" w:rsidRPr="00983490" w:rsidRDefault="003952B9" w:rsidP="00B66AC9">
      <w:pPr>
        <w:pStyle w:val="Heading5"/>
        <w:numPr>
          <w:ilvl w:val="0"/>
          <w:numId w:val="53"/>
        </w:numPr>
        <w:tabs>
          <w:tab w:val="clear" w:pos="-360"/>
          <w:tab w:val="clear" w:pos="360"/>
          <w:tab w:val="clear" w:pos="1080"/>
          <w:tab w:val="clear" w:pos="1800"/>
          <w:tab w:val="clear" w:pos="2520"/>
          <w:tab w:val="clear" w:pos="3240"/>
          <w:tab w:val="clear" w:pos="3960"/>
          <w:tab w:val="clear" w:pos="4680"/>
          <w:tab w:val="clear" w:pos="5400"/>
          <w:tab w:val="clear" w:pos="6120"/>
          <w:tab w:val="clear" w:pos="6840"/>
          <w:tab w:val="clear" w:pos="7560"/>
          <w:tab w:val="clear" w:pos="8280"/>
          <w:tab w:val="left" w:pos="-1512"/>
          <w:tab w:val="left" w:pos="-792"/>
          <w:tab w:val="left" w:pos="-72"/>
          <w:tab w:val="left" w:pos="709"/>
          <w:tab w:val="left" w:pos="2088"/>
          <w:tab w:val="left" w:pos="2808"/>
          <w:tab w:val="left" w:pos="3528"/>
          <w:tab w:val="left" w:pos="4248"/>
          <w:tab w:val="left" w:pos="4968"/>
          <w:tab w:val="left" w:pos="5688"/>
          <w:tab w:val="left" w:pos="6408"/>
          <w:tab w:val="left" w:pos="7128"/>
          <w:tab w:val="left" w:pos="7848"/>
        </w:tabs>
        <w:spacing w:line="360" w:lineRule="auto"/>
        <w:ind w:left="709" w:hanging="284"/>
        <w:contextualSpacing/>
        <w:jc w:val="both"/>
        <w:rPr>
          <w:rFonts w:ascii="Arial" w:hAnsi="Arial"/>
          <w:b w:val="0"/>
          <w:sz w:val="22"/>
          <w:szCs w:val="22"/>
        </w:rPr>
      </w:pPr>
      <w:r>
        <w:rPr>
          <w:rFonts w:ascii="Arial" w:hAnsi="Arial"/>
          <w:b w:val="0"/>
          <w:sz w:val="22"/>
          <w:szCs w:val="22"/>
        </w:rPr>
        <w:t>Blood (30 mL) for cryoprotein</w:t>
      </w:r>
      <w:r w:rsidRPr="00983490">
        <w:rPr>
          <w:rFonts w:ascii="Arial" w:hAnsi="Arial"/>
          <w:b w:val="0"/>
          <w:sz w:val="22"/>
          <w:szCs w:val="22"/>
        </w:rPr>
        <w:t>s must be collected into warm tubes and kept at 37</w:t>
      </w:r>
      <w:r w:rsidRPr="00983490">
        <w:rPr>
          <w:rFonts w:ascii="Arial" w:hAnsi="Arial"/>
          <w:b w:val="0"/>
          <w:sz w:val="22"/>
          <w:szCs w:val="22"/>
        </w:rPr>
        <w:sym w:font="Symbol" w:char="F0B0"/>
      </w:r>
      <w:r>
        <w:rPr>
          <w:rFonts w:ascii="Arial" w:hAnsi="Arial"/>
          <w:b w:val="0"/>
          <w:sz w:val="22"/>
          <w:szCs w:val="22"/>
        </w:rPr>
        <w:t xml:space="preserve">C during transit to </w:t>
      </w:r>
      <w:r w:rsidRPr="00983490">
        <w:rPr>
          <w:rFonts w:ascii="Arial" w:hAnsi="Arial"/>
          <w:b w:val="0"/>
          <w:sz w:val="22"/>
          <w:szCs w:val="22"/>
        </w:rPr>
        <w:t>the laboratory. Please contact the immuno</w:t>
      </w:r>
      <w:r>
        <w:rPr>
          <w:rFonts w:ascii="Arial" w:hAnsi="Arial"/>
          <w:b w:val="0"/>
          <w:sz w:val="22"/>
          <w:szCs w:val="22"/>
        </w:rPr>
        <w:t>logy laboratory for information.</w:t>
      </w:r>
    </w:p>
    <w:p w:rsidR="001C6F70" w:rsidRDefault="001C6F70" w:rsidP="00B66AC9">
      <w:pPr>
        <w:pStyle w:val="Heading1"/>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0" w:after="0" w:line="360" w:lineRule="auto"/>
        <w:contextualSpacing/>
        <w:jc w:val="both"/>
        <w:rPr>
          <w:kern w:val="0"/>
          <w:sz w:val="20"/>
        </w:rPr>
      </w:pPr>
    </w:p>
    <w:p w:rsidR="001C6F70" w:rsidRPr="001C6F70" w:rsidRDefault="001C6F70" w:rsidP="00B66AC9">
      <w:pPr>
        <w:spacing w:line="360" w:lineRule="auto"/>
        <w:contextualSpacing/>
        <w:jc w:val="both"/>
      </w:pPr>
    </w:p>
    <w:p w:rsidR="00894B97" w:rsidRDefault="00894B97" w:rsidP="00894B97">
      <w:pPr>
        <w:rPr>
          <w:rFonts w:ascii="Arial" w:hAnsi="Arial" w:cs="Arial"/>
          <w:b/>
        </w:rPr>
      </w:pPr>
    </w:p>
    <w:p w:rsidR="00FB3727" w:rsidRPr="00FB3727" w:rsidRDefault="00D03472" w:rsidP="00C56402">
      <w:pPr>
        <w:pStyle w:val="Heading4"/>
        <w:widowControl/>
        <w:numPr>
          <w:ilvl w:val="1"/>
          <w:numId w:val="58"/>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567" w:hanging="141"/>
        <w:rPr>
          <w:rFonts w:ascii="Arial" w:hAnsi="Arial"/>
          <w:caps/>
          <w:sz w:val="28"/>
          <w:szCs w:val="28"/>
        </w:rPr>
      </w:pPr>
      <w:r w:rsidRPr="00B12579">
        <w:rPr>
          <w:rFonts w:ascii="Arial" w:hAnsi="Arial"/>
          <w:caps/>
          <w:sz w:val="24"/>
        </w:rPr>
        <w:br w:type="page"/>
      </w:r>
    </w:p>
    <w:p w:rsidR="00FB3727" w:rsidRPr="00FB3727" w:rsidRDefault="00FB3727" w:rsidP="00FB3727">
      <w:pPr>
        <w:pStyle w:val="Heading4"/>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426"/>
        <w:rPr>
          <w:rFonts w:ascii="Arial" w:hAnsi="Arial"/>
          <w:caps/>
          <w:sz w:val="28"/>
          <w:szCs w:val="28"/>
        </w:rPr>
      </w:pPr>
    </w:p>
    <w:p w:rsidR="00B12579" w:rsidRPr="00D8441A" w:rsidRDefault="00FB3727" w:rsidP="00FB3727">
      <w:pPr>
        <w:pStyle w:val="Heading4"/>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rFonts w:ascii="Arial" w:hAnsi="Arial"/>
          <w:caps/>
          <w:sz w:val="28"/>
          <w:szCs w:val="28"/>
        </w:rPr>
      </w:pPr>
      <w:r>
        <w:rPr>
          <w:rFonts w:ascii="Arial" w:hAnsi="Arial"/>
          <w:caps/>
          <w:sz w:val="28"/>
          <w:szCs w:val="28"/>
        </w:rPr>
        <w:t xml:space="preserve">21. </w:t>
      </w:r>
      <w:r w:rsidR="00CA0916" w:rsidRPr="00B12579">
        <w:rPr>
          <w:rFonts w:ascii="Arial" w:hAnsi="Arial"/>
          <w:caps/>
          <w:sz w:val="28"/>
          <w:szCs w:val="28"/>
        </w:rPr>
        <w:t xml:space="preserve">test repertoire </w:t>
      </w:r>
    </w:p>
    <w:p w:rsidR="00EB40E2" w:rsidRDefault="00B12579" w:rsidP="005D0C4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724B7C">
        <w:rPr>
          <w:rFonts w:ascii="Arial" w:hAnsi="Arial"/>
          <w:sz w:val="22"/>
          <w:szCs w:val="22"/>
        </w:rPr>
        <w:t xml:space="preserve">This section details the </w:t>
      </w:r>
      <w:r w:rsidR="003D3791" w:rsidRPr="00724B7C">
        <w:rPr>
          <w:rFonts w:ascii="Arial" w:hAnsi="Arial"/>
          <w:sz w:val="22"/>
          <w:szCs w:val="22"/>
        </w:rPr>
        <w:t>repertoire of tests provided by clinical biochemistry and immun</w:t>
      </w:r>
      <w:r w:rsidRPr="00724B7C">
        <w:rPr>
          <w:rFonts w:ascii="Arial" w:hAnsi="Arial"/>
          <w:sz w:val="22"/>
          <w:szCs w:val="22"/>
        </w:rPr>
        <w:t>ology, including reference ranges,</w:t>
      </w:r>
      <w:r w:rsidR="003D3791" w:rsidRPr="00724B7C">
        <w:rPr>
          <w:rFonts w:ascii="Arial" w:hAnsi="Arial"/>
          <w:sz w:val="22"/>
          <w:szCs w:val="22"/>
        </w:rPr>
        <w:t xml:space="preserve"> turnaround times</w:t>
      </w:r>
      <w:r w:rsidRPr="00724B7C">
        <w:rPr>
          <w:rFonts w:ascii="Arial" w:hAnsi="Arial"/>
          <w:sz w:val="22"/>
          <w:szCs w:val="22"/>
        </w:rPr>
        <w:t xml:space="preserve">, special requirements/comments and sample requirements. </w:t>
      </w:r>
      <w:r w:rsidR="00EB40E2" w:rsidRPr="00724B7C">
        <w:rPr>
          <w:rFonts w:ascii="Arial" w:hAnsi="Arial"/>
          <w:sz w:val="22"/>
          <w:szCs w:val="22"/>
        </w:rPr>
        <w:t>Please contact the laboratory for advice if the test you require is not listed. Unless stated otherwise, reference ranges shown are adult ranges. A variety of factors can affect the interpretation of clinical laboratory results: reference ranges should only be used as a guide.</w:t>
      </w:r>
    </w:p>
    <w:p w:rsidR="00B66AC9" w:rsidRDefault="00B66AC9" w:rsidP="005D0C4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p>
    <w:p w:rsidR="00B66AC9" w:rsidRPr="00724B7C" w:rsidRDefault="00B66AC9" w:rsidP="005D0C4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sz w:val="22"/>
          <w:szCs w:val="22"/>
        </w:rPr>
      </w:pPr>
      <w:r w:rsidRPr="00CB7C64">
        <w:rPr>
          <w:rFonts w:ascii="Arial" w:hAnsi="Arial" w:cs="Arial"/>
          <w:bCs/>
          <w:snapToGrid/>
          <w:kern w:val="32"/>
          <w:sz w:val="22"/>
          <w:szCs w:val="22"/>
        </w:rPr>
        <w:t>Reference ranges are derived from various sources including: Abbott kit inserts, NICE guidance, Pathology harmony, the rel</w:t>
      </w:r>
      <w:r>
        <w:rPr>
          <w:rFonts w:ascii="Arial" w:hAnsi="Arial" w:cs="Arial"/>
          <w:bCs/>
          <w:snapToGrid/>
          <w:kern w:val="32"/>
          <w:sz w:val="22"/>
          <w:szCs w:val="22"/>
        </w:rPr>
        <w:t xml:space="preserve">evant referral laboratory, Caliper, in-house evaluation, published journals/books, </w:t>
      </w:r>
      <w:r w:rsidRPr="00CB7C64">
        <w:rPr>
          <w:rFonts w:ascii="Arial" w:hAnsi="Arial" w:cs="Arial"/>
          <w:bCs/>
          <w:snapToGrid/>
          <w:kern w:val="32"/>
          <w:sz w:val="22"/>
          <w:szCs w:val="22"/>
        </w:rPr>
        <w:t>MDA/2012/036</w:t>
      </w:r>
      <w:r>
        <w:rPr>
          <w:rFonts w:ascii="Arial" w:hAnsi="Arial" w:cs="Arial"/>
          <w:bCs/>
          <w:snapToGrid/>
          <w:kern w:val="32"/>
          <w:sz w:val="22"/>
          <w:szCs w:val="22"/>
        </w:rPr>
        <w:t>, or discussion with the renal team or microbiology</w:t>
      </w:r>
      <w:r w:rsidRPr="00CB7C64">
        <w:rPr>
          <w:rFonts w:ascii="Arial" w:hAnsi="Arial" w:cs="Arial"/>
          <w:bCs/>
          <w:snapToGrid/>
          <w:kern w:val="32"/>
          <w:sz w:val="22"/>
          <w:szCs w:val="22"/>
        </w:rPr>
        <w:t xml:space="preserve">. Please contact the laboratory if further detail is required.  </w:t>
      </w:r>
    </w:p>
    <w:p w:rsidR="00EB40E2" w:rsidRPr="00724B7C" w:rsidRDefault="00EB40E2" w:rsidP="005D0C4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ascii="Arial" w:hAnsi="Arial"/>
          <w:i/>
          <w:sz w:val="22"/>
          <w:szCs w:val="22"/>
          <w:highlight w:val="yellow"/>
        </w:rPr>
      </w:pPr>
    </w:p>
    <w:p w:rsidR="00C41DEE" w:rsidRPr="004C701E" w:rsidRDefault="00422E1C" w:rsidP="00D8441A">
      <w:pPr>
        <w:spacing w:line="360" w:lineRule="auto"/>
        <w:contextualSpacing/>
        <w:jc w:val="both"/>
        <w:sectPr w:rsidR="00C41DEE" w:rsidRPr="004C701E" w:rsidSect="005D0C46">
          <w:headerReference w:type="default" r:id="rId43"/>
          <w:footerReference w:type="default" r:id="rId44"/>
          <w:endnotePr>
            <w:numFmt w:val="decimal"/>
          </w:endnotePr>
          <w:pgSz w:w="11907" w:h="16840" w:code="9"/>
          <w:pgMar w:top="720" w:right="737" w:bottom="720" w:left="794" w:header="567" w:footer="0" w:gutter="0"/>
          <w:cols w:sep="1" w:space="720"/>
          <w:noEndnote/>
          <w:docGrid w:linePitch="326"/>
        </w:sectPr>
      </w:pPr>
      <w:r w:rsidRPr="00724B7C">
        <w:rPr>
          <w:rFonts w:ascii="Arial" w:hAnsi="Arial"/>
          <w:sz w:val="22"/>
          <w:szCs w:val="22"/>
        </w:rPr>
        <w:t>Turnaround times have been agreed in consultation with the clinical commissioning groups as described in the ‘Service Specification for Pa</w:t>
      </w:r>
      <w:r w:rsidR="00A27DBB" w:rsidRPr="00724B7C">
        <w:rPr>
          <w:rFonts w:ascii="Arial" w:hAnsi="Arial"/>
          <w:sz w:val="22"/>
          <w:szCs w:val="22"/>
        </w:rPr>
        <w:t>thology/Laboratory Medicine</w:t>
      </w:r>
      <w:r w:rsidRPr="00724B7C">
        <w:rPr>
          <w:rFonts w:ascii="Arial" w:hAnsi="Arial"/>
          <w:sz w:val="22"/>
          <w:szCs w:val="22"/>
        </w:rPr>
        <w:t xml:space="preserve">’. </w:t>
      </w:r>
      <w:r w:rsidR="00283D16" w:rsidRPr="00724B7C">
        <w:rPr>
          <w:rFonts w:ascii="Arial" w:hAnsi="Arial"/>
          <w:sz w:val="22"/>
          <w:szCs w:val="22"/>
        </w:rPr>
        <w:t xml:space="preserve">Turnaround times of some selected representative tests are audited on a monthly basis as key performance indicators and reviewed by the </w:t>
      </w:r>
      <w:r w:rsidR="00076537" w:rsidRPr="00724B7C">
        <w:rPr>
          <w:rFonts w:ascii="Arial" w:hAnsi="Arial"/>
          <w:sz w:val="22"/>
          <w:szCs w:val="22"/>
        </w:rPr>
        <w:t>Pathology</w:t>
      </w:r>
      <w:r w:rsidR="00283D16" w:rsidRPr="00724B7C">
        <w:rPr>
          <w:rFonts w:ascii="Arial" w:hAnsi="Arial"/>
          <w:sz w:val="22"/>
          <w:szCs w:val="22"/>
        </w:rPr>
        <w:t xml:space="preserve"> Quality Forum. </w:t>
      </w:r>
      <w:r w:rsidR="00E27714" w:rsidRPr="00724B7C">
        <w:rPr>
          <w:rFonts w:ascii="Arial" w:hAnsi="Arial"/>
          <w:sz w:val="22"/>
          <w:szCs w:val="22"/>
        </w:rPr>
        <w:t xml:space="preserve">Turnaround times are based upon the normal working days of the laboratory being Monday to Friday, excluding public holidays. </w:t>
      </w:r>
      <w:r w:rsidR="00EB40E2" w:rsidRPr="00724B7C">
        <w:rPr>
          <w:rFonts w:ascii="Arial" w:hAnsi="Arial"/>
          <w:sz w:val="22"/>
          <w:szCs w:val="22"/>
        </w:rPr>
        <w:t xml:space="preserve">Whilst every effort is made to adhere to these targets operational difficulties (e.g. </w:t>
      </w:r>
      <w:r w:rsidR="00A27DBB" w:rsidRPr="00724B7C">
        <w:rPr>
          <w:rFonts w:ascii="Arial" w:hAnsi="Arial"/>
          <w:sz w:val="22"/>
          <w:szCs w:val="22"/>
        </w:rPr>
        <w:t>analyser</w:t>
      </w:r>
      <w:r w:rsidR="00EB40E2" w:rsidRPr="00724B7C">
        <w:rPr>
          <w:rFonts w:ascii="Arial" w:hAnsi="Arial"/>
          <w:sz w:val="22"/>
          <w:szCs w:val="22"/>
        </w:rPr>
        <w:t xml:space="preserve"> failures) may, on occasion, compromise our service delivery. Conversely, in many case, results will be available more quickly than the indicated turnaround time.</w:t>
      </w:r>
      <w:r w:rsidR="00C03004" w:rsidRPr="00724B7C">
        <w:rPr>
          <w:rFonts w:ascii="Arial" w:hAnsi="Arial"/>
          <w:sz w:val="22"/>
          <w:szCs w:val="22"/>
        </w:rPr>
        <w:t xml:space="preserve"> </w:t>
      </w:r>
      <w:r w:rsidR="00EB40E2" w:rsidRPr="00724B7C">
        <w:rPr>
          <w:rFonts w:ascii="Arial" w:hAnsi="Arial"/>
          <w:sz w:val="22"/>
          <w:szCs w:val="22"/>
        </w:rPr>
        <w:t>Where an asterisk (*) appears next to a turnaround time, results may be available significantly more quickly for urgent and in-patient requests</w:t>
      </w:r>
      <w:r w:rsidR="004C701E">
        <w:rPr>
          <w:rFonts w:ascii="Arial" w:hAnsi="Arial"/>
          <w:sz w:val="22"/>
          <w:szCs w:val="22"/>
        </w:rPr>
        <w:t>.</w:t>
      </w:r>
    </w:p>
    <w:tbl>
      <w:tblPr>
        <w:tblStyle w:val="GridTable1Light-Accent1"/>
        <w:tblW w:w="15320" w:type="dxa"/>
        <w:tblLook w:val="04A0" w:firstRow="1" w:lastRow="0" w:firstColumn="1" w:lastColumn="0" w:noHBand="0" w:noVBand="1"/>
        <w:tblCaption w:val="table of turn around times "/>
      </w:tblPr>
      <w:tblGrid>
        <w:gridCol w:w="2653"/>
        <w:gridCol w:w="2126"/>
        <w:gridCol w:w="2861"/>
        <w:gridCol w:w="3260"/>
        <w:gridCol w:w="1869"/>
        <w:gridCol w:w="2551"/>
      </w:tblGrid>
      <w:tr w:rsidR="006C4F83" w:rsidRPr="00451639" w:rsidTr="001C679A">
        <w:trPr>
          <w:cnfStyle w:val="100000000000" w:firstRow="1" w:lastRow="0" w:firstColumn="0" w:lastColumn="0" w:oddVBand="0" w:evenVBand="0" w:oddHBand="0" w:evenHBand="0" w:firstRowFirstColumn="0" w:firstRowLastColumn="0" w:lastRowFirstColumn="0" w:lastRowLastColumn="0"/>
          <w:trHeight w:val="982"/>
          <w:tblHeader/>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1567F">
            <w:pPr>
              <w:widowControl/>
              <w:jc w:val="center"/>
              <w:rPr>
                <w:rFonts w:ascii="Arial" w:hAnsi="Arial" w:cs="Arial"/>
                <w:bCs w:val="0"/>
                <w:snapToGrid/>
                <w:sz w:val="22"/>
                <w:szCs w:val="22"/>
                <w:lang w:eastAsia="en-GB"/>
              </w:rPr>
            </w:pPr>
            <w:r w:rsidRPr="00BA61BA">
              <w:rPr>
                <w:rFonts w:ascii="Arial" w:hAnsi="Arial" w:cs="Arial"/>
                <w:bCs w:val="0"/>
                <w:snapToGrid/>
                <w:sz w:val="22"/>
                <w:szCs w:val="22"/>
                <w:lang w:eastAsia="en-GB"/>
              </w:rPr>
              <w:t>ANALTYE</w:t>
            </w:r>
          </w:p>
        </w:tc>
        <w:tc>
          <w:tcPr>
            <w:tcW w:w="2126" w:type="dxa"/>
            <w:noWrap/>
            <w:hideMark/>
          </w:tcPr>
          <w:p w:rsidR="006C4F83" w:rsidRPr="00BA61BA" w:rsidRDefault="006C4F83" w:rsidP="00B1567F">
            <w:pPr>
              <w:widowControl/>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napToGrid/>
                <w:sz w:val="22"/>
                <w:szCs w:val="22"/>
                <w:lang w:eastAsia="en-GB"/>
              </w:rPr>
            </w:pPr>
            <w:r w:rsidRPr="00BA61BA">
              <w:rPr>
                <w:rFonts w:ascii="Arial" w:hAnsi="Arial" w:cs="Arial"/>
                <w:bCs w:val="0"/>
                <w:snapToGrid/>
                <w:sz w:val="22"/>
                <w:szCs w:val="22"/>
                <w:lang w:eastAsia="en-GB"/>
              </w:rPr>
              <w:t>SAMPLE TYPE</w:t>
            </w:r>
          </w:p>
        </w:tc>
        <w:tc>
          <w:tcPr>
            <w:tcW w:w="2861" w:type="dxa"/>
            <w:noWrap/>
            <w:hideMark/>
          </w:tcPr>
          <w:p w:rsidR="006C4F83" w:rsidRPr="00BA61BA" w:rsidRDefault="006C4F83" w:rsidP="00B1567F">
            <w:pPr>
              <w:widowControl/>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napToGrid/>
                <w:sz w:val="22"/>
                <w:szCs w:val="22"/>
                <w:lang w:eastAsia="en-GB"/>
              </w:rPr>
            </w:pPr>
            <w:r w:rsidRPr="00BA61BA">
              <w:rPr>
                <w:rFonts w:ascii="Arial" w:hAnsi="Arial" w:cs="Arial"/>
                <w:bCs w:val="0"/>
                <w:snapToGrid/>
                <w:sz w:val="22"/>
                <w:szCs w:val="22"/>
                <w:lang w:eastAsia="en-GB"/>
              </w:rPr>
              <w:t>REFERENCE RANGE</w:t>
            </w:r>
          </w:p>
        </w:tc>
        <w:tc>
          <w:tcPr>
            <w:tcW w:w="3260" w:type="dxa"/>
            <w:hideMark/>
          </w:tcPr>
          <w:p w:rsidR="006C4F83" w:rsidRPr="00BA61BA" w:rsidRDefault="006C4F83" w:rsidP="00B1567F">
            <w:pPr>
              <w:widowControl/>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napToGrid/>
                <w:sz w:val="22"/>
                <w:szCs w:val="22"/>
                <w:lang w:eastAsia="en-GB"/>
              </w:rPr>
            </w:pPr>
            <w:r w:rsidRPr="00BA61BA">
              <w:rPr>
                <w:rFonts w:ascii="Arial" w:hAnsi="Arial" w:cs="Arial"/>
                <w:bCs w:val="0"/>
                <w:snapToGrid/>
                <w:sz w:val="22"/>
                <w:szCs w:val="22"/>
                <w:lang w:eastAsia="en-GB"/>
              </w:rPr>
              <w:t>NOTES (AGE/GENDER/COLLECTION CONDITIONS)</w:t>
            </w:r>
          </w:p>
        </w:tc>
        <w:tc>
          <w:tcPr>
            <w:tcW w:w="1869" w:type="dxa"/>
            <w:hideMark/>
          </w:tcPr>
          <w:p w:rsidR="006C4F83" w:rsidRPr="00BA61BA" w:rsidRDefault="006C4F83" w:rsidP="00B1567F">
            <w:pPr>
              <w:widowControl/>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napToGrid/>
                <w:sz w:val="22"/>
                <w:szCs w:val="22"/>
                <w:lang w:eastAsia="en-GB"/>
              </w:rPr>
            </w:pPr>
            <w:r w:rsidRPr="00BA61BA">
              <w:rPr>
                <w:rFonts w:ascii="Arial" w:hAnsi="Arial" w:cs="Arial"/>
                <w:bCs w:val="0"/>
                <w:snapToGrid/>
                <w:sz w:val="22"/>
                <w:szCs w:val="22"/>
                <w:lang w:eastAsia="en-GB"/>
              </w:rPr>
              <w:t>TURNAROUND TIME</w:t>
            </w:r>
          </w:p>
        </w:tc>
        <w:tc>
          <w:tcPr>
            <w:tcW w:w="2551" w:type="dxa"/>
            <w:hideMark/>
          </w:tcPr>
          <w:p w:rsidR="006C4F83" w:rsidRPr="00BA61BA" w:rsidRDefault="006C4F83" w:rsidP="00B1567F">
            <w:pPr>
              <w:widowControl/>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napToGrid/>
                <w:sz w:val="22"/>
                <w:szCs w:val="22"/>
                <w:lang w:eastAsia="en-GB"/>
              </w:rPr>
            </w:pPr>
            <w:r w:rsidRPr="00BA61BA">
              <w:rPr>
                <w:rFonts w:ascii="Arial" w:hAnsi="Arial" w:cs="Arial"/>
                <w:bCs w:val="0"/>
                <w:snapToGrid/>
                <w:sz w:val="22"/>
                <w:szCs w:val="22"/>
                <w:lang w:eastAsia="en-GB"/>
              </w:rPr>
              <w:t>REFERRAL LABORATORY</w:t>
            </w:r>
            <w:r w:rsidR="000C2E2F" w:rsidRPr="00BA61BA">
              <w:rPr>
                <w:rFonts w:ascii="Arial" w:hAnsi="Arial" w:cs="Arial"/>
                <w:bCs w:val="0"/>
                <w:snapToGrid/>
                <w:sz w:val="22"/>
                <w:szCs w:val="22"/>
                <w:lang w:eastAsia="en-GB"/>
              </w:rPr>
              <w:t xml:space="preserve"> + UKAS accreditation number</w:t>
            </w:r>
            <w:r w:rsidRPr="00BA61BA">
              <w:rPr>
                <w:rFonts w:ascii="Arial" w:hAnsi="Arial" w:cs="Arial"/>
                <w:bCs w:val="0"/>
                <w:snapToGrid/>
                <w:sz w:val="22"/>
                <w:szCs w:val="22"/>
                <w:lang w:eastAsia="en-GB"/>
              </w:rPr>
              <w:t xml:space="preserve"> (IF NOT PROVIDED WITHIN EKHUFT)</w:t>
            </w:r>
          </w:p>
        </w:tc>
      </w:tr>
      <w:tr w:rsidR="006C4F83" w:rsidRPr="00451639" w:rsidTr="0069769D">
        <w:trPr>
          <w:trHeight w:val="111"/>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Acyl carnitine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spot</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6C4F83" w:rsidRPr="00451639" w:rsidRDefault="005805EB"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FA1624">
              <w:rPr>
                <w:rFonts w:ascii="Arial" w:hAnsi="Arial" w:cs="Arial"/>
                <w:snapToGrid/>
                <w:sz w:val="22"/>
                <w:szCs w:val="22"/>
                <w:lang w:eastAsia="en-GB"/>
              </w:rPr>
              <w:t>St Thomas's Hospital- Synnovis</w:t>
            </w:r>
            <w:r>
              <w:rPr>
                <w:rFonts w:ascii="Arial" w:hAnsi="Arial" w:cs="Arial"/>
                <w:snapToGrid/>
                <w:sz w:val="22"/>
                <w:szCs w:val="22"/>
                <w:lang w:eastAsia="en-GB"/>
              </w:rPr>
              <w:t xml:space="preserve"> (9093)</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z w:val="22"/>
                <w:szCs w:val="22"/>
              </w:rPr>
              <w:t>Adalimumab</w:t>
            </w: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rPr>
              <w:t xml:space="preserve">&gt; 6 </w:t>
            </w:r>
            <w:r w:rsidR="003033C0" w:rsidRPr="003033C0">
              <w:rPr>
                <w:rFonts w:ascii="Arial" w:hAnsi="Arial" w:cs="Arial"/>
                <w:snapToGrid/>
                <w:sz w:val="22"/>
                <w:szCs w:val="22"/>
                <w:lang w:eastAsia="en-GB"/>
              </w:rPr>
              <w:t>µ</w:t>
            </w:r>
            <w:r w:rsidRPr="00451639">
              <w:rPr>
                <w:rFonts w:ascii="Arial" w:hAnsi="Arial" w:cs="Arial"/>
                <w:snapToGrid/>
                <w:sz w:val="22"/>
                <w:szCs w:val="22"/>
              </w:rPr>
              <w:t>g/mL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6C4F83" w:rsidRPr="00451639" w:rsidRDefault="002775CB"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tcPr>
          <w:p w:rsidR="006C4F83" w:rsidRPr="00451639" w:rsidRDefault="00FA162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FA1624">
              <w:rPr>
                <w:rFonts w:ascii="Arial" w:hAnsi="Arial" w:cs="Arial"/>
                <w:snapToGrid/>
                <w:sz w:val="22"/>
                <w:szCs w:val="22"/>
                <w:lang w:eastAsia="en-GB"/>
              </w:rPr>
              <w:t>St Thomas's Hospital- Synnovis</w:t>
            </w:r>
            <w:r w:rsidR="006D14FA">
              <w:rPr>
                <w:rFonts w:ascii="Arial" w:hAnsi="Arial" w:cs="Arial"/>
                <w:snapToGrid/>
                <w:sz w:val="22"/>
                <w:szCs w:val="22"/>
                <w:lang w:eastAsia="en-GB"/>
              </w:rPr>
              <w:t xml:space="preserve"> (9093)</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z w:val="22"/>
                <w:szCs w:val="22"/>
              </w:rPr>
            </w:pPr>
            <w:r w:rsidRPr="00BA61BA">
              <w:rPr>
                <w:rFonts w:ascii="Arial" w:hAnsi="Arial" w:cs="Arial"/>
                <w:b w:val="0"/>
                <w:sz w:val="22"/>
                <w:szCs w:val="22"/>
              </w:rPr>
              <w:t>Adalimumab antibodies</w:t>
            </w: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serum</w:t>
            </w: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rPr>
            </w:pPr>
            <w:r w:rsidRPr="00451639">
              <w:rPr>
                <w:rFonts w:ascii="Arial" w:hAnsi="Arial" w:cs="Arial"/>
                <w:sz w:val="22"/>
                <w:szCs w:val="22"/>
              </w:rPr>
              <w:t>&lt; 10 ng/mL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6C4F83" w:rsidRPr="00451639" w:rsidRDefault="002775CB"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 xml:space="preserve">21 days </w:t>
            </w:r>
          </w:p>
        </w:tc>
        <w:tc>
          <w:tcPr>
            <w:tcW w:w="2551" w:type="dxa"/>
            <w:noWrap/>
          </w:tcPr>
          <w:p w:rsidR="006C4F83" w:rsidRPr="00451639" w:rsidRDefault="00FA162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FA1624">
              <w:rPr>
                <w:rFonts w:ascii="Arial" w:hAnsi="Arial" w:cs="Arial"/>
                <w:sz w:val="22"/>
                <w:szCs w:val="22"/>
              </w:rPr>
              <w:t>St Thomas's Hospital- Synnovis</w:t>
            </w:r>
            <w:r w:rsidR="006D14FA">
              <w:rPr>
                <w:rFonts w:ascii="Arial" w:hAnsi="Arial" w:cs="Arial"/>
                <w:sz w:val="22"/>
                <w:szCs w:val="22"/>
              </w:rPr>
              <w:t xml:space="preserve"> (9093)</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Adrenocorticotrophic</w:t>
            </w:r>
            <w:r w:rsidR="003E0589" w:rsidRPr="00BA61BA">
              <w:rPr>
                <w:rFonts w:ascii="Arial" w:hAnsi="Arial" w:cs="Arial"/>
                <w:b w:val="0"/>
                <w:snapToGrid/>
                <w:sz w:val="22"/>
                <w:szCs w:val="22"/>
                <w:lang w:eastAsia="en-GB"/>
              </w:rPr>
              <w:t xml:space="preserve"> </w:t>
            </w:r>
            <w:r w:rsidRPr="00BA61BA">
              <w:rPr>
                <w:rFonts w:ascii="Arial" w:hAnsi="Arial" w:cs="Arial"/>
                <w:b w:val="0"/>
                <w:snapToGrid/>
                <w:sz w:val="22"/>
                <w:szCs w:val="22"/>
                <w:lang w:eastAsia="en-GB"/>
              </w:rPr>
              <w:t>hormone (ACTH)</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 (EDTA)</w:t>
            </w:r>
          </w:p>
        </w:tc>
        <w:tc>
          <w:tcPr>
            <w:tcW w:w="2861" w:type="dxa"/>
            <w:noWrap/>
          </w:tcPr>
          <w:p w:rsidR="006C4F83" w:rsidRPr="00451639" w:rsidRDefault="003E0589"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 xml:space="preserve">7.2 - 63.3 </w:t>
            </w:r>
            <w:r w:rsidRPr="003E0589">
              <w:rPr>
                <w:rFonts w:ascii="Arial" w:hAnsi="Arial" w:cs="Arial"/>
                <w:snapToGrid/>
                <w:sz w:val="22"/>
                <w:szCs w:val="22"/>
                <w:lang w:eastAsia="en-GB"/>
              </w:rPr>
              <w:t>ng/L</w:t>
            </w:r>
            <w:r>
              <w:rPr>
                <w:rFonts w:ascii="Arial" w:hAnsi="Arial" w:cs="Arial"/>
                <w:snapToGrid/>
                <w:sz w:val="22"/>
                <w:szCs w:val="22"/>
                <w:lang w:eastAsia="en-GB"/>
              </w:rPr>
              <w:t xml:space="preserve"> </w:t>
            </w:r>
          </w:p>
        </w:tc>
        <w:tc>
          <w:tcPr>
            <w:tcW w:w="3260" w:type="dxa"/>
          </w:tcPr>
          <w:p w:rsidR="00542A2D" w:rsidRDefault="003E0589"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 xml:space="preserve">Only applies to samples collected between 7 am to 10 am. </w:t>
            </w:r>
          </w:p>
          <w:p w:rsidR="006C4F83" w:rsidRPr="00451639" w:rsidRDefault="00542A2D"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 xml:space="preserve">Sample must reach the lab within 10 mins of collection. </w:t>
            </w:r>
          </w:p>
        </w:tc>
        <w:tc>
          <w:tcPr>
            <w:tcW w:w="1869" w:type="dxa"/>
            <w:noWrap/>
            <w:hideMark/>
          </w:tcPr>
          <w:p w:rsidR="006C4F83" w:rsidRPr="00451639" w:rsidRDefault="003E0589"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w:t>
            </w:r>
            <w:r w:rsidR="006C4F83" w:rsidRPr="00451639">
              <w:rPr>
                <w:rFonts w:ascii="Arial" w:hAnsi="Arial" w:cs="Arial"/>
                <w:snapToGrid/>
                <w:sz w:val="22"/>
                <w:szCs w:val="22"/>
                <w:lang w:eastAsia="en-GB"/>
              </w:rPr>
              <w:t xml:space="preserve"> weeks</w:t>
            </w:r>
          </w:p>
        </w:tc>
        <w:tc>
          <w:tcPr>
            <w:tcW w:w="2551" w:type="dxa"/>
            <w:noWrap/>
            <w:hideMark/>
          </w:tcPr>
          <w:p w:rsidR="006C4F83" w:rsidRPr="00451639" w:rsidRDefault="004C4519" w:rsidP="00F90164">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 xml:space="preserve"> </w:t>
            </w:r>
          </w:p>
        </w:tc>
      </w:tr>
      <w:tr w:rsidR="006C4F83" w:rsidRPr="00451639" w:rsidTr="0069769D">
        <w:trPr>
          <w:trHeight w:val="255"/>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xml:space="preserve">Adrenal antibody </w:t>
            </w: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negative</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6C4F83" w:rsidRPr="00451639" w:rsidRDefault="002775CB"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 days</w:t>
            </w:r>
          </w:p>
        </w:tc>
        <w:tc>
          <w:tcPr>
            <w:tcW w:w="2551" w:type="dxa"/>
            <w:noWrap/>
          </w:tcPr>
          <w:p w:rsidR="006C4F83" w:rsidRPr="00451639" w:rsidRDefault="006D14FA"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6D14FA">
              <w:rPr>
                <w:rFonts w:ascii="Arial" w:hAnsi="Arial" w:cs="Arial"/>
                <w:snapToGrid/>
                <w:sz w:val="22"/>
                <w:szCs w:val="22"/>
                <w:lang w:eastAsia="en-GB"/>
              </w:rPr>
              <w:t>St. George's Hospital</w:t>
            </w:r>
            <w:r>
              <w:rPr>
                <w:rFonts w:ascii="Arial" w:hAnsi="Arial" w:cs="Arial"/>
                <w:snapToGrid/>
                <w:sz w:val="22"/>
                <w:szCs w:val="22"/>
                <w:lang w:eastAsia="en-GB"/>
              </w:rPr>
              <w:t xml:space="preserve"> (9745)</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Alanine transaminase (ALT)</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5 - 45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male/female 0-3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10 - 25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male/female 4-6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10 - 35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male/female 7-9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10 - 35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10-11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10 - 55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12-13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10 - 45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14-16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10 - 30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 10-13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5 - 30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 14-16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0 - 70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&gt;16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0 - 50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 &gt;16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Albumin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30 - 45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&lt;1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30 - 50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y-16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69769D">
        <w:trPr>
          <w:trHeight w:val="335"/>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35 - 50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&gt;16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Albumin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&lt;3.0 mg/mmol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albumin/creatinine ratio</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Albumin ascites gradient (SAAG)</w:t>
            </w:r>
          </w:p>
        </w:tc>
        <w:tc>
          <w:tcPr>
            <w:tcW w:w="2126"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serum/ascitic fluid</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69769D">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Alcohol (see ethanol)</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DC1C3E">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592F93" w:rsidRDefault="006C4F83" w:rsidP="00BA61BA">
            <w:pPr>
              <w:widowControl/>
              <w:rPr>
                <w:rFonts w:ascii="Arial" w:hAnsi="Arial" w:cs="Arial"/>
                <w:b w:val="0"/>
                <w:snapToGrid/>
                <w:sz w:val="22"/>
                <w:szCs w:val="22"/>
                <w:highlight w:val="yellow"/>
                <w:lang w:eastAsia="en-GB"/>
              </w:rPr>
            </w:pPr>
            <w:r w:rsidRPr="00592F93">
              <w:rPr>
                <w:rFonts w:ascii="Arial" w:hAnsi="Arial" w:cs="Arial"/>
                <w:b w:val="0"/>
                <w:snapToGrid/>
                <w:sz w:val="22"/>
                <w:szCs w:val="22"/>
                <w:highlight w:val="yellow"/>
                <w:lang w:eastAsia="en-GB"/>
              </w:rPr>
              <w:t>Aldosterone</w:t>
            </w:r>
          </w:p>
        </w:tc>
        <w:tc>
          <w:tcPr>
            <w:tcW w:w="2126" w:type="dxa"/>
            <w:noWrap/>
            <w:hideMark/>
          </w:tcPr>
          <w:p w:rsidR="006C4F83" w:rsidRPr="00592F93"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highlight w:val="yellow"/>
                <w:lang w:eastAsia="en-GB"/>
              </w:rPr>
            </w:pPr>
            <w:r w:rsidRPr="00592F93">
              <w:rPr>
                <w:rFonts w:ascii="Arial" w:hAnsi="Arial" w:cs="Arial"/>
                <w:snapToGrid/>
                <w:sz w:val="22"/>
                <w:szCs w:val="22"/>
                <w:highlight w:val="yellow"/>
                <w:lang w:eastAsia="en-GB"/>
              </w:rPr>
              <w:t>plasma (EDTA)</w:t>
            </w:r>
          </w:p>
        </w:tc>
        <w:tc>
          <w:tcPr>
            <w:tcW w:w="2861" w:type="dxa"/>
            <w:noWrap/>
            <w:hideMark/>
          </w:tcPr>
          <w:p w:rsidR="006C4F83" w:rsidRPr="00592F93" w:rsidRDefault="00592F9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highlight w:val="yellow"/>
                <w:lang w:eastAsia="en-GB"/>
              </w:rPr>
            </w:pPr>
            <w:r w:rsidRPr="00592F93">
              <w:rPr>
                <w:rFonts w:ascii="Arial" w:hAnsi="Arial" w:cs="Arial"/>
                <w:sz w:val="22"/>
                <w:szCs w:val="22"/>
                <w:highlight w:val="yellow"/>
              </w:rPr>
              <w:t>&lt;200 pmol/</w:t>
            </w:r>
          </w:p>
        </w:tc>
        <w:tc>
          <w:tcPr>
            <w:tcW w:w="3260" w:type="dxa"/>
            <w:hideMark/>
          </w:tcPr>
          <w:p w:rsidR="006C4F83" w:rsidRPr="00592F93" w:rsidRDefault="00592F93" w:rsidP="00592F93">
            <w:pPr>
              <w:widowControl/>
              <w:jc w:val="both"/>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highlight w:val="yellow"/>
                <w:lang w:eastAsia="en-GB"/>
              </w:rPr>
            </w:pPr>
            <w:r w:rsidRPr="00592F93">
              <w:rPr>
                <w:rFonts w:ascii="Arial" w:hAnsi="Arial" w:cs="Arial"/>
                <w:snapToGrid/>
                <w:sz w:val="22"/>
                <w:szCs w:val="22"/>
                <w:highlight w:val="yellow"/>
                <w:lang w:eastAsia="en-GB"/>
              </w:rPr>
              <w:t>Please note the reference ranges only applies to hypertensive non-pregnant adults.</w:t>
            </w:r>
          </w:p>
        </w:tc>
        <w:tc>
          <w:tcPr>
            <w:tcW w:w="1869" w:type="dxa"/>
            <w:noWrap/>
            <w:hideMark/>
          </w:tcPr>
          <w:p w:rsidR="006C4F83" w:rsidRPr="00592F93" w:rsidRDefault="00592F9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highlight w:val="yellow"/>
                <w:lang w:eastAsia="en-GB"/>
              </w:rPr>
            </w:pPr>
            <w:r w:rsidRPr="00592F93">
              <w:rPr>
                <w:rFonts w:ascii="Arial" w:hAnsi="Arial" w:cs="Arial"/>
                <w:snapToGrid/>
                <w:sz w:val="22"/>
                <w:szCs w:val="22"/>
                <w:highlight w:val="yellow"/>
                <w:lang w:eastAsia="en-GB"/>
              </w:rPr>
              <w:t>21</w:t>
            </w:r>
            <w:r w:rsidR="00F518EA" w:rsidRPr="00592F93">
              <w:rPr>
                <w:rFonts w:ascii="Arial" w:hAnsi="Arial" w:cs="Arial"/>
                <w:snapToGrid/>
                <w:sz w:val="22"/>
                <w:szCs w:val="22"/>
                <w:highlight w:val="yellow"/>
                <w:lang w:eastAsia="en-GB"/>
              </w:rPr>
              <w:t xml:space="preserve"> days</w:t>
            </w:r>
          </w:p>
        </w:tc>
        <w:tc>
          <w:tcPr>
            <w:tcW w:w="2551" w:type="dxa"/>
            <w:noWrap/>
            <w:vAlign w:val="center"/>
            <w:hideMark/>
          </w:tcPr>
          <w:p w:rsidR="006C4F83" w:rsidRPr="00451639" w:rsidRDefault="00DC1C3E" w:rsidP="00DC1C3E">
            <w:pPr>
              <w:widowControl/>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9102E6">
              <w:rPr>
                <w:rFonts w:ascii="Arial" w:hAnsi="Arial" w:cs="Arial"/>
                <w:b/>
                <w:snapToGrid/>
                <w:sz w:val="22"/>
                <w:szCs w:val="22"/>
                <w:lang w:eastAsia="en-GB"/>
              </w:rPr>
              <w:t>(Not accredited)</w:t>
            </w:r>
          </w:p>
        </w:tc>
      </w:tr>
      <w:tr w:rsidR="001C679A" w:rsidRPr="00451639" w:rsidTr="00DC1C3E">
        <w:trPr>
          <w:trHeight w:val="1044"/>
        </w:trPr>
        <w:tc>
          <w:tcPr>
            <w:cnfStyle w:val="001000000000" w:firstRow="0" w:lastRow="0" w:firstColumn="1" w:lastColumn="0" w:oddVBand="0" w:evenVBand="0" w:oddHBand="0" w:evenHBand="0" w:firstRowFirstColumn="0" w:firstRowLastColumn="0" w:lastRowFirstColumn="0" w:lastRowLastColumn="0"/>
            <w:tcW w:w="2653" w:type="dxa"/>
            <w:hideMark/>
          </w:tcPr>
          <w:p w:rsidR="001C679A" w:rsidRPr="00592F93" w:rsidRDefault="001C679A" w:rsidP="00BA61BA">
            <w:pPr>
              <w:widowControl/>
              <w:rPr>
                <w:rFonts w:ascii="Arial" w:hAnsi="Arial" w:cs="Arial"/>
                <w:b w:val="0"/>
                <w:snapToGrid/>
                <w:sz w:val="22"/>
                <w:szCs w:val="22"/>
                <w:highlight w:val="yellow"/>
                <w:lang w:eastAsia="en-GB"/>
              </w:rPr>
            </w:pPr>
            <w:r w:rsidRPr="00592F93">
              <w:rPr>
                <w:rFonts w:ascii="Arial" w:hAnsi="Arial" w:cs="Arial"/>
                <w:b w:val="0"/>
                <w:snapToGrid/>
                <w:sz w:val="22"/>
                <w:szCs w:val="22"/>
                <w:highlight w:val="yellow"/>
                <w:lang w:eastAsia="en-GB"/>
              </w:rPr>
              <w:t>Aldosterone/renin ratio</w:t>
            </w:r>
          </w:p>
          <w:p w:rsidR="001C679A" w:rsidRPr="00592F93" w:rsidRDefault="001C679A" w:rsidP="00BA61BA">
            <w:pPr>
              <w:rPr>
                <w:rFonts w:ascii="Arial" w:hAnsi="Arial" w:cs="Arial"/>
                <w:b w:val="0"/>
                <w:snapToGrid/>
                <w:sz w:val="22"/>
                <w:szCs w:val="22"/>
                <w:highlight w:val="yellow"/>
                <w:lang w:eastAsia="en-GB"/>
              </w:rPr>
            </w:pPr>
            <w:r w:rsidRPr="00DC1C3E">
              <w:rPr>
                <w:rFonts w:ascii="Arial" w:hAnsi="Arial" w:cs="Arial"/>
                <w:b w:val="0"/>
                <w:snapToGrid/>
                <w:sz w:val="22"/>
                <w:szCs w:val="22"/>
                <w:lang w:eastAsia="en-GB"/>
              </w:rPr>
              <w:t> </w:t>
            </w:r>
          </w:p>
        </w:tc>
        <w:tc>
          <w:tcPr>
            <w:tcW w:w="2126" w:type="dxa"/>
            <w:noWrap/>
            <w:hideMark/>
          </w:tcPr>
          <w:p w:rsidR="001C679A" w:rsidRPr="00592F93" w:rsidRDefault="001C679A"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highlight w:val="yellow"/>
                <w:lang w:eastAsia="en-GB"/>
              </w:rPr>
            </w:pPr>
            <w:r w:rsidRPr="00592F93">
              <w:rPr>
                <w:rFonts w:ascii="Arial" w:hAnsi="Arial" w:cs="Arial"/>
                <w:snapToGrid/>
                <w:sz w:val="22"/>
                <w:szCs w:val="22"/>
                <w:highlight w:val="yellow"/>
                <w:lang w:eastAsia="en-GB"/>
              </w:rPr>
              <w:t>plasma (EDTA)</w:t>
            </w:r>
          </w:p>
          <w:p w:rsidR="001C679A" w:rsidRPr="00592F93" w:rsidRDefault="001C679A" w:rsidP="00BA61BA">
            <w:pPr>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highlight w:val="yellow"/>
                <w:lang w:eastAsia="en-GB"/>
              </w:rPr>
            </w:pPr>
          </w:p>
        </w:tc>
        <w:tc>
          <w:tcPr>
            <w:tcW w:w="2861" w:type="dxa"/>
            <w:noWrap/>
            <w:hideMark/>
          </w:tcPr>
          <w:p w:rsidR="001C679A" w:rsidRPr="00592F93" w:rsidRDefault="00592F9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highlight w:val="yellow"/>
                <w:lang w:eastAsia="en-GB"/>
              </w:rPr>
            </w:pPr>
            <w:r w:rsidRPr="00592F93">
              <w:rPr>
                <w:rFonts w:ascii="Arial" w:hAnsi="Arial" w:cs="Arial"/>
                <w:snapToGrid/>
                <w:sz w:val="22"/>
                <w:szCs w:val="22"/>
                <w:highlight w:val="yellow"/>
                <w:lang w:eastAsia="en-GB"/>
              </w:rPr>
              <w:t>≤30 pmol/mIU</w:t>
            </w:r>
          </w:p>
        </w:tc>
        <w:tc>
          <w:tcPr>
            <w:tcW w:w="3260" w:type="dxa"/>
            <w:hideMark/>
          </w:tcPr>
          <w:p w:rsidR="001C679A" w:rsidRPr="00592F93" w:rsidRDefault="00592F93" w:rsidP="00592F93">
            <w:pPr>
              <w:widowControl/>
              <w:jc w:val="both"/>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highlight w:val="yellow"/>
                <w:lang w:eastAsia="en-GB"/>
              </w:rPr>
            </w:pPr>
            <w:r w:rsidRPr="00592F93">
              <w:rPr>
                <w:rFonts w:ascii="Arial" w:hAnsi="Arial" w:cs="Arial"/>
                <w:snapToGrid/>
                <w:sz w:val="22"/>
                <w:szCs w:val="22"/>
                <w:highlight w:val="yellow"/>
                <w:lang w:eastAsia="en-GB"/>
              </w:rPr>
              <w:t>Please note the reference ranges only applies to hypertensive non-pregnant adults.</w:t>
            </w:r>
          </w:p>
        </w:tc>
        <w:tc>
          <w:tcPr>
            <w:tcW w:w="1869" w:type="dxa"/>
            <w:noWrap/>
            <w:hideMark/>
          </w:tcPr>
          <w:p w:rsidR="001C679A" w:rsidRPr="00592F93" w:rsidRDefault="00592F9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highlight w:val="yellow"/>
                <w:lang w:eastAsia="en-GB"/>
              </w:rPr>
            </w:pPr>
            <w:r w:rsidRPr="00592F93">
              <w:rPr>
                <w:rFonts w:ascii="Arial" w:hAnsi="Arial" w:cs="Arial"/>
                <w:snapToGrid/>
                <w:sz w:val="22"/>
                <w:szCs w:val="22"/>
                <w:highlight w:val="yellow"/>
                <w:lang w:eastAsia="en-GB"/>
              </w:rPr>
              <w:t>21</w:t>
            </w:r>
            <w:r w:rsidR="00F518EA" w:rsidRPr="00592F93">
              <w:rPr>
                <w:rFonts w:ascii="Arial" w:hAnsi="Arial" w:cs="Arial"/>
                <w:snapToGrid/>
                <w:sz w:val="22"/>
                <w:szCs w:val="22"/>
                <w:highlight w:val="yellow"/>
                <w:lang w:eastAsia="en-GB"/>
              </w:rPr>
              <w:t xml:space="preserve"> days </w:t>
            </w:r>
          </w:p>
          <w:p w:rsidR="001C679A" w:rsidRPr="00592F93" w:rsidRDefault="001C679A" w:rsidP="00BA61BA">
            <w:pPr>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highlight w:val="yellow"/>
                <w:lang w:eastAsia="en-GB"/>
              </w:rPr>
            </w:pPr>
          </w:p>
        </w:tc>
        <w:tc>
          <w:tcPr>
            <w:tcW w:w="2551" w:type="dxa"/>
            <w:noWrap/>
            <w:vAlign w:val="center"/>
            <w:hideMark/>
          </w:tcPr>
          <w:p w:rsidR="001C679A" w:rsidRPr="00451639" w:rsidRDefault="00DC1C3E" w:rsidP="00DC1C3E">
            <w:pPr>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9102E6">
              <w:rPr>
                <w:rFonts w:ascii="Arial" w:hAnsi="Arial" w:cs="Arial"/>
                <w:b/>
                <w:snapToGrid/>
                <w:sz w:val="22"/>
                <w:szCs w:val="22"/>
                <w:lang w:eastAsia="en-GB"/>
              </w:rPr>
              <w:t>(Not accredited)</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Alkaline phosphatase (ALP)</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90 - 273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 &amp; female &lt; 15 d</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6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134 – 518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 &amp; female 15 d – &lt; 1y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156 – 369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 &amp; female 1 y - &lt;10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451639" w:rsidRDefault="006C4F83" w:rsidP="00BA61BA">
            <w:pPr>
              <w:widowControl/>
              <w:rPr>
                <w:rFonts w:ascii="Arial" w:hAnsi="Arial" w:cs="Arial"/>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141 – 460 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 &amp; female 10 y - &lt;13 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451639" w:rsidRDefault="006C4F83" w:rsidP="00BA61BA">
            <w:pPr>
              <w:widowControl/>
              <w:rPr>
                <w:rFonts w:ascii="Arial" w:hAnsi="Arial" w:cs="Arial"/>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127 – 517 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 13 y - &lt;15 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451639" w:rsidRDefault="006C4F83" w:rsidP="00BA61BA">
            <w:pPr>
              <w:widowControl/>
              <w:rPr>
                <w:rFonts w:ascii="Arial" w:hAnsi="Arial" w:cs="Arial"/>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62 – 280 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female 13 y - &lt;15 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451639" w:rsidRDefault="006C4F83" w:rsidP="00BA61BA">
            <w:pPr>
              <w:widowControl/>
              <w:rPr>
                <w:rFonts w:ascii="Arial" w:hAnsi="Arial" w:cs="Arial"/>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89 – 365 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 15 y - &lt; 17 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451639" w:rsidRDefault="006C4F83" w:rsidP="00BA61BA">
            <w:pPr>
              <w:widowControl/>
              <w:rPr>
                <w:rFonts w:ascii="Arial" w:hAnsi="Arial" w:cs="Arial"/>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54 – 128 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female 15 y - &lt;17 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451639" w:rsidRDefault="006C4F83" w:rsidP="00BA61BA">
            <w:pPr>
              <w:widowControl/>
              <w:rPr>
                <w:rFonts w:ascii="Arial" w:hAnsi="Arial" w:cs="Arial"/>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59 – 164 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 17 y - &lt;19 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451639" w:rsidRDefault="006C4F83" w:rsidP="00BA61BA">
            <w:pPr>
              <w:widowControl/>
              <w:rPr>
                <w:rFonts w:ascii="Arial" w:hAnsi="Arial" w:cs="Arial"/>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48 – 95 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female 17 y - &lt;19 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451639" w:rsidRDefault="006C4F83" w:rsidP="00BA61BA">
            <w:pPr>
              <w:widowControl/>
              <w:rPr>
                <w:rFonts w:ascii="Arial" w:hAnsi="Arial" w:cs="Arial"/>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30 - 130 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 19 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Alkaline phosphatase isoenzymes</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applicable</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Allergy testing ('RAST')</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Alpha-1-antitrypsin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0.90 - 2.20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&lt;6 m</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0.80 - 1.80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6-12 m</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1.10 - 2.00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1-5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1.10 - 2.20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6-10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249"/>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1.40 - 2.30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11-15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254"/>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1.10 - 2.10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&gt;15</w:t>
            </w:r>
            <w:r w:rsidRPr="00451639">
              <w:rPr>
                <w:rFonts w:ascii="Arial" w:hAnsi="Arial" w:cs="Arial"/>
                <w:snapToGrid/>
                <w:sz w:val="22"/>
                <w:szCs w:val="22"/>
                <w:lang w:eastAsia="en-GB"/>
              </w:rPr>
              <w:t xml:space="preserve">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Alpha-1-antitrypsin</w:t>
            </w:r>
            <w:r w:rsidR="003033C0" w:rsidRPr="00BA61BA">
              <w:rPr>
                <w:rFonts w:ascii="Arial" w:hAnsi="Arial" w:cs="Arial"/>
                <w:b w:val="0"/>
                <w:snapToGrid/>
                <w:sz w:val="22"/>
                <w:szCs w:val="22"/>
                <w:lang w:eastAsia="en-GB"/>
              </w:rPr>
              <w:t xml:space="preserve"> </w:t>
            </w:r>
            <w:r w:rsidRPr="00BA61BA">
              <w:rPr>
                <w:rFonts w:ascii="Arial" w:hAnsi="Arial" w:cs="Arial"/>
                <w:b w:val="0"/>
                <w:snapToGrid/>
                <w:sz w:val="22"/>
                <w:szCs w:val="22"/>
                <w:lang w:eastAsia="en-GB"/>
              </w:rPr>
              <w:t>phenotyping</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not applicable</w:t>
            </w:r>
          </w:p>
        </w:tc>
        <w:tc>
          <w:tcPr>
            <w:tcW w:w="3260" w:type="dxa"/>
            <w:hideMark/>
          </w:tcPr>
          <w:p w:rsidR="006C4F83" w:rsidRPr="00451639" w:rsidRDefault="003F1270"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F1270">
              <w:rPr>
                <w:rFonts w:ascii="Arial" w:hAnsi="Arial" w:cs="Arial"/>
                <w:sz w:val="22"/>
                <w:szCs w:val="22"/>
              </w:rPr>
              <w:t>Patient must have level AAT measured before sending for Pi type.</w:t>
            </w:r>
          </w:p>
        </w:tc>
        <w:tc>
          <w:tcPr>
            <w:tcW w:w="1869" w:type="dxa"/>
            <w:noWrap/>
            <w:hideMark/>
          </w:tcPr>
          <w:p w:rsidR="006C4F83" w:rsidRPr="00451639" w:rsidRDefault="002775CB"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St. George's Hospital</w:t>
            </w:r>
            <w:r w:rsidR="003033C0">
              <w:rPr>
                <w:rFonts w:ascii="Arial" w:hAnsi="Arial" w:cs="Arial"/>
                <w:snapToGrid/>
                <w:sz w:val="22"/>
                <w:szCs w:val="22"/>
                <w:lang w:eastAsia="en-GB"/>
              </w:rPr>
              <w:t xml:space="preserve"> (9745)</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Alpha-fetoprotein (tumour marker)</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lang w:val="en-US"/>
              </w:rPr>
              <w:t>0 - 1653 kU/L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&lt; 1 m</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lang w:val="en-US"/>
              </w:rPr>
              <w:t>8 - 1123 kU/L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lang w:val="en-US"/>
              </w:rPr>
              <w:t>1 – &lt; 6 m</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0.3 - 85 kU/L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6 m &lt; 1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0.7 – 11.6 kU/L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1 - &lt;19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&lt; 8 kU/L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19 - 50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6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&lt; 15 kU/L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50 - 70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&lt; 20 kU/L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70 – 90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Alpha-fetoprotein (maternal)</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King George Hospital</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Aluminium</w:t>
            </w:r>
          </w:p>
        </w:tc>
        <w:tc>
          <w:tcPr>
            <w:tcW w:w="2126" w:type="dxa"/>
            <w:noWrap/>
            <w:hideMark/>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plasma</w:t>
            </w:r>
          </w:p>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(Na hep)</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xml:space="preserve">&lt;0.37 </w:t>
            </w:r>
            <w:r w:rsidR="003033C0" w:rsidRPr="003033C0">
              <w:rPr>
                <w:rFonts w:ascii="Arial" w:hAnsi="Arial" w:cs="Arial"/>
                <w:snapToGrid/>
                <w:sz w:val="22"/>
                <w:szCs w:val="22"/>
                <w:lang w:eastAsia="en-GB"/>
              </w:rPr>
              <w:t>µ</w:t>
            </w:r>
            <w:r w:rsidRPr="00451639">
              <w:rPr>
                <w:rFonts w:ascii="Arial" w:hAnsi="Arial" w:cs="Arial"/>
                <w:snapToGrid/>
                <w:sz w:val="22"/>
                <w:szCs w:val="22"/>
                <w:lang w:eastAsia="en-GB"/>
              </w:rPr>
              <w:t>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hazardous &gt;2.2 umol/L</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6C4F83" w:rsidRPr="00451639" w:rsidRDefault="00A54E5C"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A54E5C">
              <w:rPr>
                <w:rFonts w:ascii="Arial" w:hAnsi="Arial" w:cs="Arial"/>
                <w:snapToGrid/>
                <w:sz w:val="22"/>
                <w:szCs w:val="22"/>
                <w:lang w:eastAsia="en-GB"/>
              </w:rPr>
              <w:t>University Hospital Wales</w:t>
            </w:r>
            <w:r>
              <w:rPr>
                <w:rFonts w:ascii="Arial" w:hAnsi="Arial" w:cs="Arial"/>
                <w:snapToGrid/>
                <w:sz w:val="22"/>
                <w:szCs w:val="22"/>
                <w:lang w:eastAsia="en-GB"/>
              </w:rPr>
              <w:t xml:space="preserve"> (</w:t>
            </w:r>
            <w:r w:rsidR="00A4234D">
              <w:rPr>
                <w:rFonts w:ascii="Arial" w:hAnsi="Arial" w:cs="Arial"/>
                <w:snapToGrid/>
                <w:sz w:val="22"/>
                <w:szCs w:val="22"/>
                <w:lang w:eastAsia="en-GB"/>
              </w:rPr>
              <w:t>8989</w:t>
            </w:r>
            <w:r>
              <w:rPr>
                <w:rFonts w:ascii="Arial" w:hAnsi="Arial" w:cs="Arial"/>
                <w:snapToGrid/>
                <w:sz w:val="22"/>
                <w:szCs w:val="22"/>
                <w:lang w:eastAsia="en-GB"/>
              </w:rPr>
              <w:t>)</w:t>
            </w:r>
          </w:p>
        </w:tc>
      </w:tr>
      <w:tr w:rsidR="003033C0"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3033C0" w:rsidRPr="00BA61BA" w:rsidRDefault="003033C0"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Aluminium</w:t>
            </w:r>
          </w:p>
        </w:tc>
        <w:tc>
          <w:tcPr>
            <w:tcW w:w="2126" w:type="dxa"/>
            <w:noWrap/>
          </w:tcPr>
          <w:p w:rsidR="003033C0" w:rsidRPr="00451639" w:rsidRDefault="003033C0"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urine</w:t>
            </w:r>
          </w:p>
        </w:tc>
        <w:tc>
          <w:tcPr>
            <w:tcW w:w="2861" w:type="dxa"/>
            <w:noWrap/>
          </w:tcPr>
          <w:p w:rsidR="003033C0" w:rsidRPr="00451639" w:rsidRDefault="003033C0"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3033C0">
              <w:rPr>
                <w:rFonts w:ascii="Arial" w:hAnsi="Arial" w:cs="Arial"/>
                <w:snapToGrid/>
                <w:sz w:val="22"/>
                <w:szCs w:val="22"/>
                <w:lang w:eastAsia="en-GB"/>
              </w:rPr>
              <w:t>&lt; 0.56 µmol/L</w:t>
            </w:r>
          </w:p>
        </w:tc>
        <w:tc>
          <w:tcPr>
            <w:tcW w:w="3260" w:type="dxa"/>
          </w:tcPr>
          <w:p w:rsidR="003033C0" w:rsidRPr="00451639" w:rsidRDefault="003033C0"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3033C0" w:rsidRPr="00451639" w:rsidRDefault="003033C0"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tcPr>
          <w:p w:rsidR="003033C0" w:rsidRPr="00451639" w:rsidRDefault="00A4234D"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A54E5C">
              <w:rPr>
                <w:rFonts w:ascii="Arial" w:hAnsi="Arial" w:cs="Arial"/>
                <w:snapToGrid/>
                <w:sz w:val="22"/>
                <w:szCs w:val="22"/>
                <w:lang w:eastAsia="en-GB"/>
              </w:rPr>
              <w:t>University Hospital Wales</w:t>
            </w:r>
            <w:r>
              <w:rPr>
                <w:rFonts w:ascii="Arial" w:hAnsi="Arial" w:cs="Arial"/>
                <w:snapToGrid/>
                <w:sz w:val="22"/>
                <w:szCs w:val="22"/>
                <w:lang w:eastAsia="en-GB"/>
              </w:rPr>
              <w:t xml:space="preserve"> (8989)</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Amikacin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it-IT"/>
              </w:rPr>
              <w:t>&lt; 5 mg/L</w:t>
            </w:r>
          </w:p>
        </w:tc>
        <w:tc>
          <w:tcPr>
            <w:tcW w:w="3260" w:type="dxa"/>
            <w:hideMark/>
          </w:tcPr>
          <w:p w:rsidR="006C4F83" w:rsidRPr="00451639" w:rsidRDefault="00A4234D"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A4234D">
              <w:rPr>
                <w:rFonts w:ascii="Arial" w:hAnsi="Arial" w:cs="Arial"/>
                <w:sz w:val="22"/>
                <w:szCs w:val="22"/>
                <w:lang w:val="it-IT"/>
              </w:rPr>
              <w:t>Target trough level (18h post dose)</w:t>
            </w:r>
            <w:r>
              <w:rPr>
                <w:rFonts w:ascii="Arial" w:hAnsi="Arial" w:cs="Arial"/>
                <w:sz w:val="22"/>
                <w:szCs w:val="22"/>
                <w:lang w:val="it-IT"/>
              </w:rPr>
              <w:t xml:space="preserve">, </w:t>
            </w:r>
            <w:r w:rsidRPr="00A4234D">
              <w:rPr>
                <w:rFonts w:ascii="Arial" w:hAnsi="Arial" w:cs="Arial"/>
                <w:sz w:val="22"/>
                <w:szCs w:val="22"/>
                <w:lang w:val="it-IT"/>
              </w:rPr>
              <w:t>if using single daily dose regime</w:t>
            </w:r>
            <w:r>
              <w:rPr>
                <w:rFonts w:ascii="Arial" w:hAnsi="Arial" w:cs="Arial"/>
                <w:sz w:val="22"/>
                <w:szCs w:val="22"/>
                <w:lang w:val="it-IT"/>
              </w:rPr>
              <w:t>. C</w:t>
            </w:r>
            <w:r w:rsidRPr="00A4234D">
              <w:rPr>
                <w:rFonts w:ascii="Arial" w:hAnsi="Arial" w:cs="Arial"/>
                <w:sz w:val="22"/>
                <w:szCs w:val="22"/>
                <w:lang w:val="it-IT"/>
              </w:rPr>
              <w:t>onsult Antimicrobial Microguide if multiple daily doses are being given</w:t>
            </w:r>
            <w:r>
              <w:rPr>
                <w:rFonts w:ascii="Arial" w:hAnsi="Arial" w:cs="Arial"/>
                <w:sz w:val="22"/>
                <w:szCs w:val="22"/>
                <w:lang w:val="it-IT"/>
              </w:rPr>
              <w:t xml:space="preserve">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Amino acids</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 (li. hep.)</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6C4F83" w:rsidRPr="00451639" w:rsidRDefault="00F518EA"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hideMark/>
          </w:tcPr>
          <w:p w:rsidR="006C4F83" w:rsidRPr="00451639" w:rsidRDefault="00FA162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FA1624">
              <w:rPr>
                <w:rFonts w:ascii="Arial" w:hAnsi="Arial" w:cs="Arial"/>
                <w:snapToGrid/>
                <w:sz w:val="22"/>
                <w:szCs w:val="22"/>
                <w:lang w:eastAsia="en-GB"/>
              </w:rPr>
              <w:t xml:space="preserve">St Thomas's Hospital- Synnovis </w:t>
            </w:r>
            <w:r w:rsidR="00542A2D" w:rsidRPr="00542A2D">
              <w:rPr>
                <w:rFonts w:ascii="Arial" w:hAnsi="Arial" w:cs="Arial"/>
                <w:snapToGrid/>
                <w:sz w:val="22"/>
                <w:szCs w:val="22"/>
                <w:lang w:eastAsia="en-GB"/>
              </w:rPr>
              <w:t>(9093)</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Amino acids</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(random)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6C4F83" w:rsidRPr="00451639" w:rsidRDefault="00FA162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FA1624">
              <w:rPr>
                <w:rFonts w:ascii="Arial" w:hAnsi="Arial" w:cs="Arial"/>
                <w:snapToGrid/>
                <w:sz w:val="22"/>
                <w:szCs w:val="22"/>
                <w:lang w:eastAsia="en-GB"/>
              </w:rPr>
              <w:t>St Thomas's Hospital- Synnovis</w:t>
            </w:r>
            <w:r w:rsidR="00542A2D" w:rsidRPr="00542A2D">
              <w:rPr>
                <w:rFonts w:ascii="Arial" w:hAnsi="Arial" w:cs="Arial"/>
                <w:snapToGrid/>
                <w:sz w:val="22"/>
                <w:szCs w:val="22"/>
                <w:lang w:eastAsia="en-GB"/>
              </w:rPr>
              <w:t xml:space="preserve"> (9093)</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Ammonia</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 (EDTA - paeds; li.hep- adults)</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&lt;150 umol/L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sick/premature infant</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&lt;100 umol/L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&lt;1 m</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59"/>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&lt;50 umol/L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&gt;1 m</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28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Amylase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&lt;125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28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z w:val="22"/>
                <w:szCs w:val="22"/>
                <w:lang w:val="es-AR"/>
              </w:rPr>
              <w:t>Amyloid A</w:t>
            </w: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s-AR"/>
              </w:rPr>
              <w:t>serum</w:t>
            </w: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s-AR"/>
              </w:rPr>
              <w:t>0 – 10.0 mg/L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Sheffield PRU</w:t>
            </w:r>
            <w:r w:rsidR="00542A2D">
              <w:rPr>
                <w:rFonts w:ascii="Arial" w:hAnsi="Arial" w:cs="Arial"/>
                <w:snapToGrid/>
                <w:sz w:val="22"/>
                <w:szCs w:val="22"/>
                <w:lang w:eastAsia="en-GB"/>
              </w:rPr>
              <w:t xml:space="preserve"> (9745)</w:t>
            </w:r>
          </w:p>
        </w:tc>
      </w:tr>
      <w:tr w:rsidR="006C4F83" w:rsidRPr="00451639" w:rsidTr="001C679A">
        <w:trPr>
          <w:trHeight w:val="415"/>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Androstenedione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lang w:val="en-US"/>
              </w:rPr>
              <w:t>No range</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male</w:t>
            </w:r>
          </w:p>
        </w:tc>
        <w:tc>
          <w:tcPr>
            <w:tcW w:w="1869" w:type="dxa"/>
            <w:noWrap/>
            <w:hideMark/>
          </w:tcPr>
          <w:p w:rsidR="006C4F83" w:rsidRPr="00451639" w:rsidRDefault="00F518EA"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hideMark/>
          </w:tcPr>
          <w:p w:rsidR="006C4F83" w:rsidRPr="00451639" w:rsidRDefault="00E148E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E148E8">
              <w:rPr>
                <w:rFonts w:ascii="Arial" w:hAnsi="Arial" w:cs="Arial"/>
                <w:snapToGrid/>
                <w:sz w:val="22"/>
                <w:szCs w:val="22"/>
                <w:lang w:eastAsia="en-GB"/>
              </w:rPr>
              <w:t>South Manchester Pathology Services (9063)</w:t>
            </w:r>
          </w:p>
        </w:tc>
      </w:tr>
      <w:tr w:rsidR="006C4F83" w:rsidRPr="00451639" w:rsidTr="001C679A">
        <w:trPr>
          <w:trHeight w:val="279"/>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E148E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napToGrid/>
                <w:sz w:val="22"/>
                <w:szCs w:val="22"/>
                <w:lang w:eastAsia="en-GB"/>
              </w:rPr>
              <w:t>Contact lab.</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lang w:val="en-US"/>
              </w:rPr>
              <w:t xml:space="preserve">female </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6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Angiotensin converting enzyme (ACE)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29 – 112 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6 m – 18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207"/>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20-70 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adult</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495"/>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Anti-acetylcholine receptor Ab</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&lt;0.25 nmol/L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6C4F83" w:rsidRPr="00451639" w:rsidRDefault="00F518EA"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St. George's Hospital</w:t>
            </w:r>
            <w:r w:rsidR="000C2E2F">
              <w:rPr>
                <w:rFonts w:ascii="Arial" w:hAnsi="Arial" w:cs="Arial"/>
                <w:snapToGrid/>
                <w:sz w:val="22"/>
                <w:szCs w:val="22"/>
                <w:lang w:eastAsia="en-GB"/>
              </w:rPr>
              <w:t xml:space="preserve"> (</w:t>
            </w:r>
            <w:r w:rsidR="006D14FA">
              <w:rPr>
                <w:rFonts w:ascii="Arial" w:hAnsi="Arial" w:cs="Arial"/>
                <w:snapToGrid/>
                <w:sz w:val="22"/>
                <w:szCs w:val="22"/>
                <w:lang w:eastAsia="en-GB"/>
              </w:rPr>
              <w:t>9745</w:t>
            </w:r>
            <w:r w:rsidR="000C2E2F">
              <w:rPr>
                <w:rFonts w:ascii="Arial" w:hAnsi="Arial" w:cs="Arial"/>
                <w:snapToGrid/>
                <w:sz w:val="22"/>
                <w:szCs w:val="22"/>
                <w:lang w:eastAsia="en-GB"/>
              </w:rPr>
              <w:t>)</w:t>
            </w:r>
          </w:p>
        </w:tc>
      </w:tr>
      <w:tr w:rsidR="006C4F83" w:rsidRPr="00451639" w:rsidTr="001C679A">
        <w:trPr>
          <w:trHeight w:val="337"/>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Anti-centromere Ab</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applicable</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Anti-endomysial Ab</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negative</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Anti-GBM Ab</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negative</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713"/>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Anti-Mullerian hormone</w:t>
            </w:r>
            <w:r w:rsidR="007720AE" w:rsidRPr="00BA61BA">
              <w:rPr>
                <w:rFonts w:ascii="Arial" w:hAnsi="Arial" w:cs="Arial"/>
                <w:b w:val="0"/>
                <w:snapToGrid/>
                <w:sz w:val="22"/>
                <w:szCs w:val="22"/>
                <w:lang w:eastAsia="en-GB"/>
              </w:rPr>
              <w:t xml:space="preserve"> (AMH)</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2.2 pmol/L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Very low fertility</w:t>
            </w:r>
          </w:p>
        </w:tc>
        <w:tc>
          <w:tcPr>
            <w:tcW w:w="1869" w:type="dxa"/>
            <w:noWrap/>
            <w:hideMark/>
          </w:tcPr>
          <w:p w:rsidR="009D4BD8" w:rsidRDefault="00EF088C"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p w:rsidR="006C4F83" w:rsidRPr="00451639" w:rsidRDefault="00EF088C"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w:t>
            </w:r>
            <w:r w:rsidR="006C4F83" w:rsidRPr="00451639">
              <w:rPr>
                <w:rFonts w:ascii="Arial" w:hAnsi="Arial" w:cs="Arial"/>
                <w:snapToGrid/>
                <w:sz w:val="22"/>
                <w:szCs w:val="22"/>
                <w:lang w:eastAsia="en-GB"/>
              </w:rPr>
              <w:t>p</w:t>
            </w:r>
            <w:r>
              <w:rPr>
                <w:rFonts w:ascii="Arial" w:hAnsi="Arial" w:cs="Arial"/>
                <w:snapToGrid/>
                <w:sz w:val="22"/>
                <w:szCs w:val="22"/>
                <w:lang w:eastAsia="en-GB"/>
              </w:rPr>
              <w:t xml:space="preserve"> </w:t>
            </w:r>
            <w:r w:rsidR="006C4F83" w:rsidRPr="00451639">
              <w:rPr>
                <w:rFonts w:ascii="Arial" w:hAnsi="Arial" w:cs="Arial"/>
                <w:snapToGrid/>
                <w:sz w:val="22"/>
                <w:szCs w:val="22"/>
                <w:lang w:eastAsia="en-GB"/>
              </w:rPr>
              <w:t>to three months if sample from children</w:t>
            </w:r>
          </w:p>
        </w:tc>
        <w:tc>
          <w:tcPr>
            <w:tcW w:w="2551" w:type="dxa"/>
            <w:noWrap/>
            <w:hideMark/>
          </w:tcPr>
          <w:p w:rsidR="006C4F83" w:rsidRPr="00EF088C"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NKPS (Adult)</w:t>
            </w:r>
            <w:r w:rsidR="003F1270">
              <w:rPr>
                <w:rFonts w:ascii="Arial" w:hAnsi="Arial" w:cs="Arial"/>
                <w:snapToGrid/>
                <w:sz w:val="22"/>
                <w:szCs w:val="22"/>
                <w:lang w:eastAsia="en-GB"/>
              </w:rPr>
              <w:t xml:space="preserve"> </w:t>
            </w:r>
            <w:r w:rsidR="00EF088C">
              <w:rPr>
                <w:rFonts w:ascii="Arial" w:hAnsi="Arial" w:cs="Arial"/>
                <w:snapToGrid/>
                <w:sz w:val="22"/>
                <w:szCs w:val="22"/>
                <w:lang w:eastAsia="en-GB"/>
              </w:rPr>
              <w:t>(8817)</w:t>
            </w:r>
          </w:p>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GOSH (Children)</w:t>
            </w:r>
            <w:r w:rsidR="003F1270">
              <w:rPr>
                <w:rFonts w:ascii="Arial" w:hAnsi="Arial" w:cs="Arial"/>
                <w:snapToGrid/>
                <w:sz w:val="22"/>
                <w:szCs w:val="22"/>
                <w:lang w:eastAsia="en-GB"/>
              </w:rPr>
              <w:t xml:space="preserve"> (8692)</w:t>
            </w:r>
          </w:p>
        </w:tc>
      </w:tr>
      <w:tr w:rsidR="006C4F83" w:rsidRPr="00451639" w:rsidTr="001C679A">
        <w:trPr>
          <w:trHeight w:val="301"/>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2.2 – 15.7 pmol/L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Low fertility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405"/>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15.8 – 28.6 pmol/L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Satisfactory fertility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409"/>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28.7 – 48.6 pmol/L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Optimal fertility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403"/>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 48.6 pmol/L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High (may be associated with PCOS)</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409"/>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Anti-neutrophil cytoplasmic Ab (ANCA)</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negative</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6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xml:space="preserve">Anti-thyroid peroxidase (TPO) Ab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&lt;5.5 IU/mL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97"/>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Aspartate transaminase (AST)</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32 - 162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male/female 0 – 14d</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79"/>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20 – 67 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male/female 15 d – 1 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79"/>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21 – 44 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male/female 1 – 7 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79"/>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18 – 36 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male/female 7 – 12 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79"/>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14 – 35 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 12 – 19 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79"/>
        </w:trPr>
        <w:tc>
          <w:tcPr>
            <w:cnfStyle w:val="001000000000" w:firstRow="0" w:lastRow="0" w:firstColumn="1" w:lastColumn="0" w:oddVBand="0" w:evenVBand="0" w:oddHBand="0" w:evenHBand="0" w:firstRowFirstColumn="0" w:firstRowLastColumn="0" w:lastRowFirstColumn="0" w:lastRowLastColumn="0"/>
            <w:tcW w:w="2653" w:type="dxa"/>
          </w:tcPr>
          <w:p w:rsidR="006C4F83" w:rsidRPr="00451639" w:rsidRDefault="006C4F83" w:rsidP="00BA61BA">
            <w:pPr>
              <w:widowControl/>
              <w:rPr>
                <w:rFonts w:ascii="Arial" w:hAnsi="Arial" w:cs="Arial"/>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13 – 26 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female 12 – 19 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79"/>
        </w:trPr>
        <w:tc>
          <w:tcPr>
            <w:cnfStyle w:val="001000000000" w:firstRow="0" w:lastRow="0" w:firstColumn="1" w:lastColumn="0" w:oddVBand="0" w:evenVBand="0" w:oddHBand="0" w:evenHBand="0" w:firstRowFirstColumn="0" w:firstRowLastColumn="0" w:lastRowFirstColumn="0" w:lastRowLastColumn="0"/>
            <w:tcW w:w="2653" w:type="dxa"/>
          </w:tcPr>
          <w:p w:rsidR="006C4F83" w:rsidRPr="00451639" w:rsidRDefault="006C4F83" w:rsidP="00BA61BA">
            <w:pPr>
              <w:widowControl/>
              <w:rPr>
                <w:rFonts w:ascii="Arial" w:hAnsi="Arial" w:cs="Arial"/>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0 - 50 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male/female ≥ 19 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412"/>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Aspergillus IgG antibodies</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 – 39 mgA/L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negative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405"/>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 40 mgA/L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positive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405"/>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Avian IgG antibodies</w:t>
            </w: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Pigeon: 0-37.9 mgA/L</w:t>
            </w:r>
          </w:p>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Budgerigar: 0-7.9 mgA/L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weeks</w:t>
            </w: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408"/>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Autoantibody screen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applicable</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Bence Jones protein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detected</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Beta-2-microglobulin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4C4519"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0.97 – 1.84</w:t>
            </w:r>
            <w:r w:rsidR="006C4F83" w:rsidRPr="00451639">
              <w:rPr>
                <w:rFonts w:ascii="Arial" w:hAnsi="Arial" w:cs="Arial"/>
                <w:snapToGrid/>
                <w:sz w:val="22"/>
                <w:szCs w:val="22"/>
                <w:lang w:eastAsia="en-GB"/>
              </w:rPr>
              <w:t xml:space="preserve"> mg/L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6C4F83" w:rsidRPr="00451639" w:rsidRDefault="00EF088C"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 days</w:t>
            </w:r>
          </w:p>
        </w:tc>
        <w:tc>
          <w:tcPr>
            <w:tcW w:w="2551" w:type="dxa"/>
            <w:noWrap/>
          </w:tcPr>
          <w:p w:rsidR="004C4519" w:rsidRPr="004C6AB8" w:rsidRDefault="004C4519"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 xml:space="preserve">NKPS </w:t>
            </w:r>
            <w:r w:rsidR="004C6AB8">
              <w:rPr>
                <w:rFonts w:ascii="Arial" w:hAnsi="Arial" w:cs="Arial"/>
                <w:snapToGrid/>
                <w:sz w:val="22"/>
                <w:szCs w:val="22"/>
                <w:lang w:eastAsia="en-GB"/>
              </w:rPr>
              <w:t>(8817)</w:t>
            </w:r>
          </w:p>
          <w:p w:rsidR="006C4F83" w:rsidRPr="00451639" w:rsidRDefault="004C4519"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 xml:space="preserve">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Bicarbonate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22 - 29 mmol/L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Bile acids</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&lt;40 μmol/L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RCOG cut-off</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Bilirubin (total)</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0 - 29 μmol/L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0-22 μmol/L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Bilirubin (conjugated/direct)</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&lt;15% of total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CA529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CA5297" w:rsidRPr="00BA61BA" w:rsidRDefault="00CA529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xml:space="preserve">Biotinidase </w:t>
            </w:r>
          </w:p>
        </w:tc>
        <w:tc>
          <w:tcPr>
            <w:tcW w:w="2126" w:type="dxa"/>
            <w:noWrap/>
          </w:tcPr>
          <w:p w:rsidR="00CA5297" w:rsidRPr="00451639" w:rsidRDefault="00CA529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Plasma (Li Hep)</w:t>
            </w:r>
          </w:p>
        </w:tc>
        <w:tc>
          <w:tcPr>
            <w:tcW w:w="2861" w:type="dxa"/>
            <w:noWrap/>
          </w:tcPr>
          <w:p w:rsidR="00CA5297" w:rsidRPr="00A44861" w:rsidRDefault="00CA529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4.00 - 15.00  nmol PABA/mL</w:t>
            </w:r>
            <w:r w:rsidRPr="00A44861">
              <w:rPr>
                <w:rFonts w:ascii="Arial" w:hAnsi="Arial" w:cs="Arial"/>
                <w:sz w:val="22"/>
                <w:szCs w:val="22"/>
              </w:rPr>
              <w:t xml:space="preserve"> plasma/minute</w:t>
            </w:r>
          </w:p>
        </w:tc>
        <w:tc>
          <w:tcPr>
            <w:tcW w:w="3260" w:type="dxa"/>
          </w:tcPr>
          <w:p w:rsidR="00CA5297" w:rsidRPr="00451639" w:rsidRDefault="00CA529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CA5297" w:rsidRPr="00451639" w:rsidRDefault="00CA529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6 weeks</w:t>
            </w:r>
          </w:p>
        </w:tc>
        <w:tc>
          <w:tcPr>
            <w:tcW w:w="2551" w:type="dxa"/>
            <w:noWrap/>
          </w:tcPr>
          <w:p w:rsidR="00CA5297" w:rsidRPr="002B669F" w:rsidRDefault="007F0DC2"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FA1624">
              <w:rPr>
                <w:rFonts w:ascii="Arial" w:hAnsi="Arial" w:cs="Arial"/>
                <w:snapToGrid/>
                <w:sz w:val="22"/>
                <w:szCs w:val="22"/>
                <w:lang w:eastAsia="en-GB"/>
              </w:rPr>
              <w:t>St Thomas's Hospital- Synnovis</w:t>
            </w:r>
            <w:r w:rsidRPr="00A57D2A">
              <w:rPr>
                <w:rFonts w:ascii="Arial" w:hAnsi="Arial" w:cs="Arial"/>
                <w:snapToGrid/>
                <w:sz w:val="22"/>
                <w:szCs w:val="22"/>
                <w:lang w:eastAsia="en-GB"/>
              </w:rPr>
              <w:t xml:space="preserve"> (9093)</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C1 esterase inhibitor</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0.15 - 0.35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4C6AB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 days</w:t>
            </w:r>
          </w:p>
        </w:tc>
        <w:tc>
          <w:tcPr>
            <w:tcW w:w="2551" w:type="dxa"/>
            <w:noWrap/>
            <w:hideMark/>
          </w:tcPr>
          <w:p w:rsidR="006C4F83" w:rsidRPr="00451639" w:rsidRDefault="002B669F"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2B669F">
              <w:rPr>
                <w:rFonts w:ascii="Arial" w:hAnsi="Arial" w:cs="Arial"/>
                <w:snapToGrid/>
                <w:sz w:val="22"/>
                <w:szCs w:val="22"/>
                <w:lang w:eastAsia="en-GB"/>
              </w:rPr>
              <w:t>St. George's Hospital (9745)</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C1 esterase inhibitor function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0.7 – 1.3 units/mL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6C4F83" w:rsidRPr="00451639" w:rsidRDefault="002B669F"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2B669F">
              <w:rPr>
                <w:rFonts w:ascii="Arial" w:hAnsi="Arial" w:cs="Arial"/>
                <w:snapToGrid/>
                <w:sz w:val="22"/>
                <w:szCs w:val="22"/>
                <w:lang w:eastAsia="en-GB"/>
              </w:rPr>
              <w:t>St. George's Hospital (9745)</w:t>
            </w:r>
          </w:p>
        </w:tc>
      </w:tr>
      <w:tr w:rsidR="006C4F83" w:rsidRPr="00451639" w:rsidTr="001C679A">
        <w:trPr>
          <w:trHeight w:val="391"/>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CA 12-5</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&lt;35 kU/L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CA 15-3</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9E691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0 -25 U/mL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weeks</w:t>
            </w:r>
          </w:p>
        </w:tc>
        <w:tc>
          <w:tcPr>
            <w:tcW w:w="2551" w:type="dxa"/>
            <w:noWrap/>
            <w:hideMark/>
          </w:tcPr>
          <w:p w:rsidR="006C4F83" w:rsidRPr="00451639" w:rsidRDefault="000C2E2F"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MTW</w:t>
            </w:r>
            <w:r w:rsidR="002B669F">
              <w:rPr>
                <w:rFonts w:ascii="Arial" w:hAnsi="Arial" w:cs="Arial"/>
                <w:snapToGrid/>
                <w:sz w:val="22"/>
                <w:szCs w:val="22"/>
                <w:lang w:eastAsia="en-GB"/>
              </w:rPr>
              <w:t xml:space="preserve"> (8342)</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CA 19-9</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&lt;37 kU/L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Caeruloplasmin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0.07 – 0.24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 m - 2 m</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0.14 - 0.33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m-6 m</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0.14 – 0.39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m - 12 m</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0.22 – 0.43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y - 8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0.21 – 0.40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8 y - 14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0.17 – 0.35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14 y - 19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widowControl/>
              <w:rPr>
                <w:rFonts w:ascii="Arial" w:hAnsi="Arial" w:cs="Arial"/>
                <w:snapToGrid/>
                <w:sz w:val="22"/>
                <w:szCs w:val="22"/>
                <w:lang w:eastAsia="en-GB"/>
              </w:rPr>
            </w:pPr>
            <w:r w:rsidRPr="00451639">
              <w:rPr>
                <w:rFonts w:ascii="Arial" w:hAnsi="Arial" w:cs="Arial"/>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0.21 – 0.43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 14 y - 19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451639" w:rsidRDefault="006C4F83" w:rsidP="00BA61BA">
            <w:pPr>
              <w:rPr>
                <w:rFonts w:ascii="Arial" w:hAnsi="Arial" w:cs="Arial"/>
                <w:sz w:val="22"/>
                <w:szCs w:val="22"/>
                <w:lang w:eastAsia="en-GB"/>
              </w:rPr>
            </w:pPr>
            <w:r w:rsidRPr="00451639">
              <w:rPr>
                <w:rFonts w:ascii="Arial" w:hAnsi="Arial" w:cs="Arial"/>
                <w:sz w:val="22"/>
                <w:szCs w:val="22"/>
                <w:lang w:eastAsia="en-GB"/>
              </w:rPr>
              <w:t> </w:t>
            </w:r>
          </w:p>
        </w:tc>
        <w:tc>
          <w:tcPr>
            <w:tcW w:w="2126" w:type="dxa"/>
            <w:noWrap/>
            <w:hideMark/>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p>
        </w:tc>
        <w:tc>
          <w:tcPr>
            <w:tcW w:w="2861" w:type="dxa"/>
            <w:noWrap/>
            <w:hideMark/>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it-IT"/>
              </w:rPr>
              <w:t>0.25 – 0.60 g/L</w:t>
            </w:r>
          </w:p>
        </w:tc>
        <w:tc>
          <w:tcPr>
            <w:tcW w:w="3260" w:type="dxa"/>
            <w:hideMark/>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451639">
              <w:rPr>
                <w:rFonts w:ascii="Arial" w:hAnsi="Arial" w:cs="Arial"/>
                <w:sz w:val="22"/>
                <w:szCs w:val="22"/>
                <w:lang w:eastAsia="en-GB"/>
              </w:rPr>
              <w:t>adult range</w:t>
            </w:r>
          </w:p>
        </w:tc>
        <w:tc>
          <w:tcPr>
            <w:tcW w:w="1869" w:type="dxa"/>
            <w:noWrap/>
            <w:hideMark/>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451639">
              <w:rPr>
                <w:rFonts w:ascii="Arial" w:hAnsi="Arial" w:cs="Arial"/>
                <w:sz w:val="22"/>
                <w:szCs w:val="22"/>
                <w:lang w:eastAsia="en-GB"/>
              </w:rPr>
              <w:t> </w:t>
            </w:r>
          </w:p>
        </w:tc>
        <w:tc>
          <w:tcPr>
            <w:tcW w:w="2551" w:type="dxa"/>
            <w:noWrap/>
            <w:hideMark/>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451639">
              <w:rPr>
                <w:rFonts w:ascii="Arial" w:hAnsi="Arial" w:cs="Arial"/>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rPr>
                <w:rFonts w:ascii="Arial" w:hAnsi="Arial" w:cs="Arial"/>
                <w:b w:val="0"/>
                <w:sz w:val="22"/>
                <w:szCs w:val="22"/>
                <w:lang w:eastAsia="en-GB"/>
              </w:rPr>
            </w:pPr>
            <w:r w:rsidRPr="00BA61BA">
              <w:rPr>
                <w:rFonts w:ascii="Arial" w:hAnsi="Arial" w:cs="Arial"/>
                <w:b w:val="0"/>
                <w:sz w:val="22"/>
                <w:szCs w:val="22"/>
                <w:lang w:eastAsia="en-GB"/>
              </w:rPr>
              <w:t>Calcitonin</w:t>
            </w:r>
          </w:p>
        </w:tc>
        <w:tc>
          <w:tcPr>
            <w:tcW w:w="2126" w:type="dxa"/>
            <w:noWrap/>
            <w:hideMark/>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451639">
              <w:rPr>
                <w:rFonts w:ascii="Arial" w:hAnsi="Arial" w:cs="Arial"/>
                <w:sz w:val="22"/>
                <w:szCs w:val="22"/>
                <w:lang w:eastAsia="en-GB"/>
              </w:rPr>
              <w:t>plasma (EDTA)</w:t>
            </w:r>
          </w:p>
        </w:tc>
        <w:tc>
          <w:tcPr>
            <w:tcW w:w="2861" w:type="dxa"/>
            <w:noWrap/>
            <w:hideMark/>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451639">
              <w:rPr>
                <w:rFonts w:ascii="Arial" w:hAnsi="Arial" w:cs="Arial"/>
                <w:sz w:val="22"/>
                <w:szCs w:val="22"/>
                <w:lang w:eastAsia="en-GB"/>
              </w:rPr>
              <w:t>&lt;2 mIU/L</w:t>
            </w:r>
          </w:p>
        </w:tc>
        <w:tc>
          <w:tcPr>
            <w:tcW w:w="3260" w:type="dxa"/>
            <w:hideMark/>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451639">
              <w:rPr>
                <w:rFonts w:ascii="Arial" w:hAnsi="Arial" w:cs="Arial"/>
                <w:sz w:val="22"/>
                <w:szCs w:val="22"/>
                <w:lang w:val="it-IT"/>
              </w:rPr>
              <w:t>old IRMA method</w:t>
            </w:r>
          </w:p>
        </w:tc>
        <w:tc>
          <w:tcPr>
            <w:tcW w:w="1869" w:type="dxa"/>
            <w:noWrap/>
            <w:hideMark/>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451639">
              <w:rPr>
                <w:rFonts w:ascii="Arial" w:hAnsi="Arial" w:cs="Arial"/>
                <w:sz w:val="22"/>
                <w:szCs w:val="22"/>
                <w:lang w:eastAsia="en-GB"/>
              </w:rPr>
              <w:t>6 weeks</w:t>
            </w:r>
          </w:p>
        </w:tc>
        <w:tc>
          <w:tcPr>
            <w:tcW w:w="2551" w:type="dxa"/>
            <w:noWrap/>
            <w:hideMark/>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451639">
              <w:rPr>
                <w:rFonts w:ascii="Arial" w:hAnsi="Arial" w:cs="Arial"/>
                <w:sz w:val="22"/>
                <w:szCs w:val="22"/>
                <w:lang w:eastAsia="en-GB"/>
              </w:rPr>
              <w:t>Sheffield PRU</w:t>
            </w:r>
            <w:r w:rsidR="00A57D2A">
              <w:rPr>
                <w:rFonts w:ascii="Arial" w:hAnsi="Arial" w:cs="Arial"/>
                <w:sz w:val="22"/>
                <w:szCs w:val="22"/>
                <w:lang w:eastAsia="en-GB"/>
              </w:rPr>
              <w:t xml:space="preserve"> (9745)</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451639" w:rsidRDefault="006C4F83" w:rsidP="00BA61BA">
            <w:pPr>
              <w:rPr>
                <w:rFonts w:ascii="Arial" w:hAnsi="Arial" w:cs="Arial"/>
                <w:sz w:val="22"/>
                <w:szCs w:val="22"/>
                <w:lang w:eastAsia="en-GB"/>
              </w:rPr>
            </w:pPr>
          </w:p>
        </w:tc>
        <w:tc>
          <w:tcPr>
            <w:tcW w:w="2126" w:type="dxa"/>
            <w:noWrap/>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p>
        </w:tc>
        <w:tc>
          <w:tcPr>
            <w:tcW w:w="2861" w:type="dxa"/>
            <w:noWrap/>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451639">
              <w:rPr>
                <w:rFonts w:ascii="Arial" w:hAnsi="Arial" w:cs="Arial"/>
                <w:snapToGrid/>
                <w:sz w:val="22"/>
                <w:szCs w:val="22"/>
                <w:lang w:val="it-IT"/>
              </w:rPr>
              <w:t>&lt; 10.6 ng/L</w:t>
            </w:r>
          </w:p>
        </w:tc>
        <w:tc>
          <w:tcPr>
            <w:tcW w:w="3260" w:type="dxa"/>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451639">
              <w:rPr>
                <w:rFonts w:ascii="Arial" w:hAnsi="Arial" w:cs="Arial"/>
                <w:sz w:val="22"/>
                <w:szCs w:val="22"/>
                <w:lang w:val="it-IT"/>
              </w:rPr>
              <w:t>new ECL method</w:t>
            </w:r>
          </w:p>
        </w:tc>
        <w:tc>
          <w:tcPr>
            <w:tcW w:w="1869" w:type="dxa"/>
            <w:noWrap/>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p>
        </w:tc>
        <w:tc>
          <w:tcPr>
            <w:tcW w:w="2551" w:type="dxa"/>
            <w:noWrap/>
          </w:tcPr>
          <w:p w:rsidR="006C4F83" w:rsidRPr="00451639" w:rsidRDefault="006C4F83"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Calcium</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2.0 - 2.7 mmol/L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&lt;1 m</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2.2 - 2.7 mmol/L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m-16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2.2 - 2.6 mmol/L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&gt;16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Calcium</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(24 h)</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2.5 - 7.5 mmol/24 h</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z w:val="22"/>
                <w:szCs w:val="22"/>
              </w:rPr>
              <w:t>Calcium creatinine clearance ratio</w:t>
            </w: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serum &amp; urine</w:t>
            </w: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&gt; 0.01</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excludes familial benign hypocalciuric hypercalcaemia</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Calculi</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calculus</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applicable</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4C6AB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City Assays</w:t>
            </w:r>
            <w:r w:rsidR="00A57D2A">
              <w:rPr>
                <w:rFonts w:ascii="Arial" w:hAnsi="Arial" w:cs="Arial"/>
                <w:snapToGrid/>
                <w:sz w:val="22"/>
                <w:szCs w:val="22"/>
                <w:lang w:eastAsia="en-GB"/>
              </w:rPr>
              <w:t xml:space="preserve"> (8407)</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Calprotectin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faeces</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6C4F83" w:rsidRPr="00451639" w:rsidRDefault="004C6AB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 days</w:t>
            </w:r>
          </w:p>
        </w:tc>
        <w:tc>
          <w:tcPr>
            <w:tcW w:w="2551" w:type="dxa"/>
            <w:noWrap/>
            <w:hideMark/>
          </w:tcPr>
          <w:p w:rsidR="006C4F83" w:rsidRPr="00451639" w:rsidRDefault="00A57D2A"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A57D2A">
              <w:rPr>
                <w:rFonts w:ascii="Arial" w:hAnsi="Arial" w:cs="Arial"/>
                <w:snapToGrid/>
                <w:sz w:val="22"/>
                <w:szCs w:val="22"/>
                <w:lang w:eastAsia="en-GB"/>
              </w:rPr>
              <w:t>MTW</w:t>
            </w:r>
            <w:r>
              <w:rPr>
                <w:rFonts w:ascii="Arial" w:hAnsi="Arial" w:cs="Arial"/>
                <w:snapToGrid/>
                <w:sz w:val="22"/>
                <w:szCs w:val="22"/>
                <w:lang w:eastAsia="en-GB"/>
              </w:rPr>
              <w:t xml:space="preserve"> </w:t>
            </w:r>
            <w:r w:rsidRPr="00A57D2A">
              <w:rPr>
                <w:rFonts w:ascii="Arial" w:hAnsi="Arial" w:cs="Arial"/>
                <w:snapToGrid/>
                <w:sz w:val="22"/>
                <w:szCs w:val="22"/>
                <w:lang w:eastAsia="en-GB"/>
              </w:rPr>
              <w:t>(8342)</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Carbamazepine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 (no gel)</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4 - 12 mg/L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preferably pre-dose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Carbon dioxide (pCO</w:t>
            </w:r>
            <w:r w:rsidR="00A57D2A" w:rsidRPr="00BA61BA">
              <w:rPr>
                <w:rFonts w:ascii="Arial" w:hAnsi="Arial" w:cs="Arial"/>
                <w:b w:val="0"/>
                <w:snapToGrid/>
                <w:sz w:val="22"/>
                <w:szCs w:val="22"/>
                <w:vertAlign w:val="subscript"/>
                <w:lang w:eastAsia="en-GB"/>
              </w:rPr>
              <w:t>2</w:t>
            </w:r>
            <w:r w:rsidRPr="00BA61BA">
              <w:rPr>
                <w:rFonts w:ascii="Arial" w:hAnsi="Arial" w:cs="Arial"/>
                <w:b w:val="0"/>
                <w:snapToGrid/>
                <w:sz w:val="22"/>
                <w:szCs w:val="22"/>
                <w:lang w:eastAsia="en-GB"/>
              </w:rPr>
              <w:t>)</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(heparin)</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4.5 - 6.0 kPa</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Carboxyhaemoglobin</w:t>
            </w:r>
          </w:p>
        </w:tc>
        <w:tc>
          <w:tcPr>
            <w:tcW w:w="2126"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(heparin or EDTA)</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&lt;1.5%</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non-smokers</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&gt;20%</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toxic</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6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Carcinoembryonic antigen (CEA)</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&lt;5 ug/L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non-smokers</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Carnitine (free)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spot</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10-45 umol/L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6C4F83" w:rsidRPr="00451639" w:rsidRDefault="00FA162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FA1624">
              <w:rPr>
                <w:rFonts w:ascii="Arial" w:hAnsi="Arial" w:cs="Arial"/>
                <w:snapToGrid/>
                <w:sz w:val="22"/>
                <w:szCs w:val="22"/>
                <w:lang w:eastAsia="en-GB"/>
              </w:rPr>
              <w:t>St Thomas's Hospital- Synnovis</w:t>
            </w:r>
            <w:r w:rsidR="00A57D2A" w:rsidRPr="00A57D2A">
              <w:rPr>
                <w:rFonts w:ascii="Arial" w:hAnsi="Arial" w:cs="Arial"/>
                <w:snapToGrid/>
                <w:sz w:val="22"/>
                <w:szCs w:val="22"/>
                <w:lang w:eastAsia="en-GB"/>
              </w:rPr>
              <w:t xml:space="preserve"> (9093)</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z w:val="22"/>
                <w:szCs w:val="22"/>
              </w:rPr>
              <w:t>Carotene (beta)</w:t>
            </w: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serum</w:t>
            </w: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0.19 – 0.89 umol/L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Birmingham City Hospital</w:t>
            </w:r>
            <w:r w:rsidR="00A57D2A">
              <w:rPr>
                <w:rFonts w:ascii="Arial" w:hAnsi="Arial" w:cs="Arial"/>
                <w:sz w:val="22"/>
                <w:szCs w:val="22"/>
              </w:rPr>
              <w:t xml:space="preserve"> (8407)</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z w:val="22"/>
                <w:szCs w:val="22"/>
              </w:rPr>
            </w:pPr>
            <w:r w:rsidRPr="00BA61BA">
              <w:rPr>
                <w:rFonts w:ascii="Arial" w:hAnsi="Arial" w:cs="Arial"/>
                <w:b w:val="0"/>
                <w:sz w:val="22"/>
                <w:szCs w:val="22"/>
              </w:rPr>
              <w:t>CART</w:t>
            </w: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plasma (EDTA)</w:t>
            </w: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&lt; 130 pmol/L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tcPr>
          <w:p w:rsidR="006C4F83" w:rsidRPr="00451639" w:rsidRDefault="00A57D2A"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57D2A">
              <w:rPr>
                <w:rFonts w:ascii="Arial" w:hAnsi="Arial" w:cs="Arial"/>
                <w:sz w:val="22"/>
                <w:szCs w:val="22"/>
              </w:rPr>
              <w:t>Imperial (Charing Cross) (8673)</w:t>
            </w:r>
          </w:p>
        </w:tc>
      </w:tr>
      <w:tr w:rsidR="006C4F83" w:rsidRPr="00451639" w:rsidTr="001C679A">
        <w:trPr>
          <w:trHeight w:val="325"/>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Chloride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95 - 108 mmol/L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xml:space="preserve">Chloride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Cholesterol (total)</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interpret using QRISK2</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Cholesterol (high density lipoprotein)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interpret using QRISK2</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Cholesterol (low density lipoprotein)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applicable</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calculated</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83"/>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Cholesterol (non-HDL)</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applicable</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calculated</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403"/>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Cholinesterase (pseudo-)</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suxamethonium</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Cardiff</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Cholinesterase (phenotype)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applicable</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suxamethonium</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Cardiff</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Cholinesterase (RBC)</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(EDTA)</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organophosphates</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H&amp;S Laboratory</w:t>
            </w:r>
            <w:r w:rsidR="00FA1624">
              <w:rPr>
                <w:rFonts w:ascii="Arial" w:hAnsi="Arial" w:cs="Arial"/>
                <w:snapToGrid/>
                <w:sz w:val="22"/>
                <w:szCs w:val="22"/>
                <w:lang w:eastAsia="en-GB"/>
              </w:rPr>
              <w:t xml:space="preserve"> (665)</w:t>
            </w:r>
          </w:p>
        </w:tc>
      </w:tr>
      <w:tr w:rsidR="006C4F83" w:rsidRPr="00451639" w:rsidTr="001C679A">
        <w:trPr>
          <w:trHeight w:val="6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Chromogranin A</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 (EDTA)</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&lt;60 pmol/L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xml:space="preserve">Complete overnight fast; patient must be at rest. H2 blockers should be stopped for 72h, and Omeprazole for two weeks, before blood is taken. </w:t>
            </w:r>
            <w:r w:rsidRPr="00451639">
              <w:rPr>
                <w:rFonts w:ascii="Arial" w:hAnsi="Arial" w:cs="Arial"/>
                <w:snapToGrid/>
                <w:sz w:val="22"/>
                <w:szCs w:val="22"/>
                <w:lang w:eastAsia="en-GB"/>
              </w:rPr>
              <w:br/>
              <w:t>3 X EDTA blood tubes. Samples must be delivered to the laboratory within 15 minutes of collection. They must then be spun and plasma frozen.</w:t>
            </w:r>
          </w:p>
        </w:tc>
        <w:tc>
          <w:tcPr>
            <w:tcW w:w="1869" w:type="dxa"/>
            <w:noWrap/>
            <w:hideMark/>
          </w:tcPr>
          <w:p w:rsidR="006C4F83" w:rsidRPr="00451639" w:rsidRDefault="009D75F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hideMark/>
          </w:tcPr>
          <w:p w:rsidR="006C4F83" w:rsidRPr="00451639" w:rsidRDefault="00FA162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FA1624">
              <w:rPr>
                <w:rFonts w:ascii="Arial" w:hAnsi="Arial" w:cs="Arial"/>
                <w:snapToGrid/>
                <w:sz w:val="22"/>
                <w:szCs w:val="22"/>
                <w:lang w:eastAsia="en-GB"/>
              </w:rPr>
              <w:t>Imperial (Charing Cross) (8673)</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Chromogranin B</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 (EDTA)</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&lt;150 pmol/L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xml:space="preserve">Complete overnight fast; patient must be at rest. H2 blockers should be stopped for 72h, and Omeprazole for two weeks, before blood is taken. </w:t>
            </w:r>
            <w:r w:rsidRPr="00451639">
              <w:rPr>
                <w:rFonts w:ascii="Arial" w:hAnsi="Arial" w:cs="Arial"/>
                <w:snapToGrid/>
                <w:sz w:val="22"/>
                <w:szCs w:val="22"/>
                <w:lang w:eastAsia="en-GB"/>
              </w:rPr>
              <w:br/>
              <w:t>3 X EDTA blood tubes. Samples must be delivered to the laboratory within 15 minutes of collection. They must then be spun and plasma frozen.</w:t>
            </w:r>
          </w:p>
        </w:tc>
        <w:tc>
          <w:tcPr>
            <w:tcW w:w="1869" w:type="dxa"/>
            <w:noWrap/>
            <w:hideMark/>
          </w:tcPr>
          <w:p w:rsidR="006C4F83" w:rsidRPr="00451639" w:rsidRDefault="009D75F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hideMark/>
          </w:tcPr>
          <w:p w:rsidR="006C4F83" w:rsidRPr="00451639" w:rsidRDefault="00FA162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FA1624">
              <w:rPr>
                <w:rFonts w:ascii="Arial" w:hAnsi="Arial" w:cs="Arial"/>
                <w:snapToGrid/>
                <w:sz w:val="22"/>
                <w:szCs w:val="22"/>
                <w:lang w:eastAsia="en-GB"/>
              </w:rPr>
              <w:t>Imperial (Charing Cross) (8673)</w:t>
            </w:r>
          </w:p>
        </w:tc>
      </w:tr>
      <w:tr w:rsidR="006C4F83" w:rsidRPr="00451639" w:rsidTr="001C679A">
        <w:trPr>
          <w:trHeight w:val="349"/>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Chromium</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(EDTA)</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rPr>
              <w:t>&lt; 7 ppb</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University of Surrey</w:t>
            </w:r>
            <w:r w:rsidR="00FA1624">
              <w:rPr>
                <w:rFonts w:ascii="Arial" w:hAnsi="Arial" w:cs="Arial"/>
                <w:snapToGrid/>
                <w:sz w:val="22"/>
                <w:szCs w:val="22"/>
                <w:lang w:eastAsia="en-GB"/>
              </w:rPr>
              <w:t xml:space="preserve"> (9732)</w:t>
            </w:r>
          </w:p>
        </w:tc>
      </w:tr>
      <w:tr w:rsidR="006C4F83" w:rsidRPr="00451639" w:rsidTr="001C679A">
        <w:trPr>
          <w:trHeight w:val="553"/>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Ciclosporin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(EDTA)</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rPr>
              <w:t>80 – 200 µg/L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trough (pre-dose)</w:t>
            </w:r>
            <w:r w:rsidRPr="00451639">
              <w:rPr>
                <w:rFonts w:ascii="Arial" w:hAnsi="Arial" w:cs="Arial"/>
                <w:snapToGrid/>
                <w:sz w:val="22"/>
                <w:szCs w:val="22"/>
              </w:rPr>
              <w:t xml:space="preserve"> 3-6 m after renal transplant</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Citrate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(24 h)</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0.60 - 4.80 mmol/24 h</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w:t>
            </w:r>
          </w:p>
        </w:tc>
        <w:tc>
          <w:tcPr>
            <w:tcW w:w="1869" w:type="dxa"/>
            <w:noWrap/>
            <w:hideMark/>
          </w:tcPr>
          <w:p w:rsidR="006C4F83" w:rsidRPr="00451639" w:rsidRDefault="004C701E"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1.30 - 6.00 mmol/24 h</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Cobalt</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(EDTA)</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 7 ppb</w:t>
            </w:r>
            <w:r w:rsidRPr="00451639" w:rsidDel="0035373B">
              <w:rPr>
                <w:rFonts w:ascii="Arial" w:hAnsi="Arial" w:cs="Arial"/>
                <w:snapToGrid/>
                <w:sz w:val="22"/>
                <w:szCs w:val="22"/>
                <w:lang w:eastAsia="en-GB"/>
              </w:rPr>
              <w:t xml:space="preserve"> </w:t>
            </w:r>
            <w:r w:rsidRPr="00451639">
              <w:rPr>
                <w:rFonts w:ascii="Arial" w:hAnsi="Arial" w:cs="Arial"/>
                <w:snapToGrid/>
                <w:sz w:val="22"/>
                <w:szCs w:val="22"/>
                <w:lang w:eastAsia="en-GB"/>
              </w:rPr>
              <w:t>.</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D4689F"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 xml:space="preserve">14 days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University of Surrey</w:t>
            </w:r>
            <w:r w:rsidR="00FA1624">
              <w:rPr>
                <w:rFonts w:ascii="Arial" w:hAnsi="Arial" w:cs="Arial"/>
                <w:snapToGrid/>
                <w:sz w:val="22"/>
                <w:szCs w:val="22"/>
                <w:lang w:eastAsia="en-GB"/>
              </w:rPr>
              <w:t xml:space="preserve"> (9732)</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Complement protein C3</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0.75 - 1.65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Complement protein C4</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0.14 - 0.54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Copper</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12 - 25 umol/L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r w:rsidRPr="00451639">
              <w:rPr>
                <w:rFonts w:ascii="Arial" w:hAnsi="Arial" w:cs="Arial"/>
                <w:snapToGrid/>
                <w:sz w:val="22"/>
                <w:szCs w:val="22"/>
              </w:rPr>
              <w:t>&gt;1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Copper</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(24 h)</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0.0 - 0.9 umol/24 h</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4C701E"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3 weeks</w:t>
            </w:r>
          </w:p>
        </w:tc>
        <w:tc>
          <w:tcPr>
            <w:tcW w:w="2551" w:type="dxa"/>
            <w:noWrap/>
            <w:hideMark/>
          </w:tcPr>
          <w:p w:rsidR="006C4F83" w:rsidRPr="00451639" w:rsidRDefault="00E148E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E148E8">
              <w:rPr>
                <w:rFonts w:ascii="Arial" w:hAnsi="Arial" w:cs="Arial"/>
                <w:snapToGrid/>
                <w:sz w:val="22"/>
                <w:szCs w:val="22"/>
                <w:lang w:eastAsia="en-GB"/>
              </w:rPr>
              <w:t>Kings College Hospital- Synnovis</w:t>
            </w:r>
            <w:r>
              <w:rPr>
                <w:rFonts w:ascii="Arial" w:hAnsi="Arial" w:cs="Arial"/>
                <w:snapToGrid/>
                <w:sz w:val="22"/>
                <w:szCs w:val="22"/>
                <w:lang w:eastAsia="en-GB"/>
              </w:rPr>
              <w:t xml:space="preserve"> (9067)</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Cortisol</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interpretation provided on reports</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&lt;40 nmol/L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midnight</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57"/>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Cortisol</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(24 h)</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&lt;200 nmol/24 h</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C-peptide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E148E8" w:rsidRDefault="00E148E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E148E8">
              <w:rPr>
                <w:rFonts w:ascii="Arial" w:hAnsi="Arial" w:cs="Arial"/>
                <w:snapToGrid/>
                <w:sz w:val="22"/>
                <w:szCs w:val="22"/>
                <w:lang w:eastAsia="en-GB"/>
              </w:rPr>
              <w:t>370 - 1</w:t>
            </w:r>
            <w:r>
              <w:rPr>
                <w:rFonts w:ascii="Arial" w:hAnsi="Arial" w:cs="Arial"/>
                <w:snapToGrid/>
                <w:sz w:val="22"/>
                <w:szCs w:val="22"/>
                <w:lang w:eastAsia="en-GB"/>
              </w:rPr>
              <w:t>470 pmol/L</w:t>
            </w:r>
          </w:p>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 sample should be taken when patient is hypoglycaemic (plasma glucose less than 3 mmol/L) or during an insulin induced hypoglycaemia test.  A simultaneous sample (fluoride oxalate) should be taken for glucose measurement.  A non-fasting sample may be required in certain situations, e.g. for differentiating between type-1 and type-2 diabetes mellitus</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6C4F83" w:rsidRPr="00451639" w:rsidRDefault="00E148E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E148E8">
              <w:rPr>
                <w:rFonts w:ascii="Arial" w:hAnsi="Arial" w:cs="Arial"/>
                <w:snapToGrid/>
                <w:sz w:val="22"/>
                <w:szCs w:val="22"/>
                <w:lang w:eastAsia="en-GB"/>
              </w:rPr>
              <w:t>Kings College Hospital- Synnovis (9067)</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C-reactive protein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&lt;10 mg/L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adult range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91"/>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Creatine kinase (CK)</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40 - 320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25 - 200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Creatinine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27 - 81 umol/L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&amp; female &lt;30 d</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14 - 34 umol/L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&amp; female 1-12 m</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15 - 31 umol/L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&amp; female 1-2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23 - 37 umol/L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&amp; female 3-4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25 - 42 umol/L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&amp; female 5-6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30 - 48 umol/L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&amp; female 7-8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28 - 57 umol/L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&amp; female 9-10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37 - 63 umol/L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&amp; female 11-12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40 - 72 umol/L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&amp; female 13-14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64 - 104 umol/L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&gt;15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49 - 90 umol/L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 &gt;15 y</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Creatinine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(24 h)</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13 - 18 mmol/24 h</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7 - 13 mmol/24 h</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Cryoglobulin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detected</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Cyclic citrullinated peptide (CCP) Ab</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0 - 7 U/mL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week</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Cystatin C</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0.57 - 1.05 mg/L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week</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Cystic fibrosis mutations</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(EDTA)</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applicable</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8 weeks</w:t>
            </w:r>
          </w:p>
        </w:tc>
        <w:tc>
          <w:tcPr>
            <w:tcW w:w="2551" w:type="dxa"/>
            <w:noWrap/>
            <w:hideMark/>
          </w:tcPr>
          <w:p w:rsidR="006C4F83" w:rsidRPr="00451639" w:rsidRDefault="00E148E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E148E8">
              <w:rPr>
                <w:rFonts w:ascii="Arial" w:hAnsi="Arial" w:cs="Arial"/>
                <w:snapToGrid/>
                <w:sz w:val="22"/>
                <w:szCs w:val="22"/>
                <w:lang w:eastAsia="en-GB"/>
              </w:rPr>
              <w:t>Guys Hospital- Synnovis</w:t>
            </w:r>
            <w:r>
              <w:rPr>
                <w:rFonts w:ascii="Arial" w:hAnsi="Arial" w:cs="Arial"/>
                <w:snapToGrid/>
                <w:sz w:val="22"/>
                <w:szCs w:val="22"/>
                <w:lang w:eastAsia="en-GB"/>
              </w:rPr>
              <w:t xml:space="preserve"> (8688)</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Cystine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(24 h)</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&lt;100 mg</w:t>
            </w:r>
            <w:r w:rsidRPr="00451639">
              <w:rPr>
                <w:rFonts w:ascii="Arial" w:hAnsi="Arial" w:cs="Arial"/>
                <w:snapToGrid/>
                <w:sz w:val="22"/>
                <w:szCs w:val="22"/>
                <w:lang w:eastAsia="en-GB"/>
              </w:rPr>
              <w:t>/24 h</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South Manchester Pathology Services</w:t>
            </w:r>
            <w:r w:rsidR="00E148E8">
              <w:rPr>
                <w:rFonts w:ascii="Arial" w:hAnsi="Arial" w:cs="Arial"/>
                <w:snapToGrid/>
                <w:sz w:val="22"/>
                <w:szCs w:val="22"/>
                <w:lang w:eastAsia="en-GB"/>
              </w:rPr>
              <w:t xml:space="preserve"> (9063)</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Dehydroepiandrosterone (DHEAS)</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no range</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w:t>
            </w:r>
          </w:p>
        </w:tc>
        <w:tc>
          <w:tcPr>
            <w:tcW w:w="1869" w:type="dxa"/>
            <w:noWrap/>
            <w:hideMark/>
          </w:tcPr>
          <w:p w:rsidR="006C4F83" w:rsidRPr="00451639" w:rsidRDefault="00D4689F"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hideMark/>
          </w:tcPr>
          <w:p w:rsidR="006C4F83" w:rsidRPr="00451639" w:rsidRDefault="00E148E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E148E8">
              <w:rPr>
                <w:rFonts w:ascii="Arial" w:hAnsi="Arial" w:cs="Arial"/>
                <w:snapToGrid/>
                <w:sz w:val="22"/>
                <w:szCs w:val="22"/>
                <w:lang w:eastAsia="en-GB"/>
              </w:rPr>
              <w:t>South Manchester Pathology Services (9063)</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E148E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E148E8">
              <w:rPr>
                <w:rFonts w:ascii="Arial" w:hAnsi="Arial" w:cs="Arial"/>
                <w:sz w:val="22"/>
                <w:szCs w:val="22"/>
              </w:rPr>
              <w:t>Contact lab.</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 xml:space="preserve">female </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Del="00B53B7E"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Del="00B53B7E" w:rsidRDefault="006C4F83" w:rsidP="00BA61BA">
            <w:pPr>
              <w:widowControl/>
              <w:rPr>
                <w:rFonts w:ascii="Arial" w:hAnsi="Arial" w:cs="Arial"/>
                <w:b w:val="0"/>
                <w:snapToGrid/>
                <w:sz w:val="22"/>
                <w:szCs w:val="22"/>
                <w:lang w:eastAsia="en-GB"/>
              </w:rPr>
            </w:pPr>
            <w:r w:rsidRPr="00BA61BA">
              <w:rPr>
                <w:rFonts w:ascii="Arial" w:hAnsi="Arial" w:cs="Arial"/>
                <w:b w:val="0"/>
                <w:sz w:val="22"/>
                <w:szCs w:val="22"/>
              </w:rPr>
              <w:t>ds DNA antibody</w:t>
            </w:r>
          </w:p>
        </w:tc>
        <w:tc>
          <w:tcPr>
            <w:tcW w:w="2126" w:type="dxa"/>
            <w:noWrap/>
          </w:tcPr>
          <w:p w:rsidR="006C4F83" w:rsidRPr="00451639" w:rsidDel="00B53B7E"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serum</w:t>
            </w:r>
          </w:p>
        </w:tc>
        <w:tc>
          <w:tcPr>
            <w:tcW w:w="2861" w:type="dxa"/>
            <w:noWrap/>
          </w:tcPr>
          <w:p w:rsidR="006C4F83" w:rsidRPr="00451639" w:rsidDel="00B53B7E"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10 IU/mL</w:t>
            </w:r>
          </w:p>
        </w:tc>
        <w:tc>
          <w:tcPr>
            <w:tcW w:w="3260" w:type="dxa"/>
          </w:tcPr>
          <w:p w:rsidR="006C4F83" w:rsidRPr="00451639" w:rsidDel="00B53B7E"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negative</w:t>
            </w:r>
          </w:p>
        </w:tc>
        <w:tc>
          <w:tcPr>
            <w:tcW w:w="1869" w:type="dxa"/>
            <w:noWrap/>
          </w:tcPr>
          <w:p w:rsidR="006C4F83" w:rsidRPr="00451639" w:rsidDel="00B53B7E"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week</w:t>
            </w:r>
          </w:p>
        </w:tc>
        <w:tc>
          <w:tcPr>
            <w:tcW w:w="2551" w:type="dxa"/>
            <w:noWrap/>
          </w:tcPr>
          <w:p w:rsidR="006C4F83" w:rsidRPr="00451639" w:rsidDel="00B53B7E"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Del="00B53B7E"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Del="00B53B7E" w:rsidRDefault="006C4F83" w:rsidP="00BA61BA">
            <w:pPr>
              <w:widowControl/>
              <w:rPr>
                <w:rFonts w:ascii="Arial" w:hAnsi="Arial" w:cs="Arial"/>
                <w:b w:val="0"/>
                <w:snapToGrid/>
                <w:sz w:val="22"/>
                <w:szCs w:val="22"/>
                <w:lang w:eastAsia="en-GB"/>
              </w:rPr>
            </w:pPr>
          </w:p>
        </w:tc>
        <w:tc>
          <w:tcPr>
            <w:tcW w:w="2126" w:type="dxa"/>
            <w:noWrap/>
          </w:tcPr>
          <w:p w:rsidR="006C4F83" w:rsidRPr="00451639" w:rsidDel="00B53B7E"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Del="00B53B7E"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10 – 15 IU/mL</w:t>
            </w:r>
          </w:p>
        </w:tc>
        <w:tc>
          <w:tcPr>
            <w:tcW w:w="3260" w:type="dxa"/>
          </w:tcPr>
          <w:p w:rsidR="006C4F83" w:rsidRPr="00451639" w:rsidDel="00B53B7E"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equivocal</w:t>
            </w:r>
          </w:p>
        </w:tc>
        <w:tc>
          <w:tcPr>
            <w:tcW w:w="1869" w:type="dxa"/>
            <w:noWrap/>
          </w:tcPr>
          <w:p w:rsidR="006C4F83" w:rsidRPr="00451639" w:rsidDel="00B53B7E"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Del="00B53B7E"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Del="00B53B7E"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Del="00B53B7E" w:rsidRDefault="006C4F83" w:rsidP="00BA61BA">
            <w:pPr>
              <w:widowControl/>
              <w:rPr>
                <w:rFonts w:ascii="Arial" w:hAnsi="Arial" w:cs="Arial"/>
                <w:b w:val="0"/>
                <w:snapToGrid/>
                <w:sz w:val="22"/>
                <w:szCs w:val="22"/>
                <w:lang w:eastAsia="en-GB"/>
              </w:rPr>
            </w:pPr>
          </w:p>
        </w:tc>
        <w:tc>
          <w:tcPr>
            <w:tcW w:w="2126" w:type="dxa"/>
            <w:noWrap/>
          </w:tcPr>
          <w:p w:rsidR="006C4F83" w:rsidRPr="00451639" w:rsidDel="00B53B7E"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Del="00B53B7E"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 15 IU/mL</w:t>
            </w:r>
          </w:p>
        </w:tc>
        <w:tc>
          <w:tcPr>
            <w:tcW w:w="3260" w:type="dxa"/>
          </w:tcPr>
          <w:p w:rsidR="006C4F83" w:rsidRPr="00451639" w:rsidDel="00B53B7E"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positive</w:t>
            </w:r>
          </w:p>
        </w:tc>
        <w:tc>
          <w:tcPr>
            <w:tcW w:w="1869" w:type="dxa"/>
            <w:noWrap/>
          </w:tcPr>
          <w:p w:rsidR="006C4F83" w:rsidRPr="00451639" w:rsidDel="00B53B7E"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Del="00B53B7E"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Diabetes autoantibodies</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4C701E"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4</w:t>
            </w:r>
            <w:r w:rsidR="006C4F83" w:rsidRPr="00451639">
              <w:rPr>
                <w:rFonts w:ascii="Arial" w:hAnsi="Arial" w:cs="Arial"/>
                <w:snapToGrid/>
                <w:sz w:val="22"/>
                <w:szCs w:val="22"/>
                <w:lang w:eastAsia="en-GB"/>
              </w:rPr>
              <w:t xml:space="preserve"> weeks</w:t>
            </w:r>
          </w:p>
        </w:tc>
        <w:tc>
          <w:tcPr>
            <w:tcW w:w="2551" w:type="dxa"/>
            <w:noWrap/>
            <w:hideMark/>
          </w:tcPr>
          <w:p w:rsidR="006C4F83" w:rsidRPr="00451639" w:rsidRDefault="00E148E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E148E8">
              <w:rPr>
                <w:rFonts w:ascii="Arial" w:hAnsi="Arial" w:cs="Arial"/>
                <w:snapToGrid/>
                <w:sz w:val="22"/>
                <w:szCs w:val="22"/>
                <w:lang w:eastAsia="en-GB"/>
              </w:rPr>
              <w:t>Royal Devon and Exeter</w:t>
            </w:r>
            <w:r>
              <w:rPr>
                <w:rFonts w:ascii="Arial" w:hAnsi="Arial" w:cs="Arial"/>
                <w:snapToGrid/>
                <w:sz w:val="22"/>
                <w:szCs w:val="22"/>
                <w:lang w:eastAsia="en-GB"/>
              </w:rPr>
              <w:t xml:space="preserve"> (8210)</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Digoxin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0.5 - 1.0 ug/L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&gt; 6 h post-dose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Down's screening</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week</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King George's Hospital</w:t>
            </w:r>
            <w:r w:rsidR="00094644">
              <w:rPr>
                <w:rFonts w:ascii="Arial" w:hAnsi="Arial" w:cs="Arial"/>
                <w:snapToGrid/>
                <w:sz w:val="22"/>
                <w:szCs w:val="22"/>
                <w:lang w:eastAsia="en-GB"/>
              </w:rPr>
              <w:t xml:space="preserve"> (</w:t>
            </w:r>
            <w:r w:rsidR="00094644" w:rsidRPr="00094644">
              <w:rPr>
                <w:rFonts w:ascii="Arial" w:hAnsi="Arial" w:cs="Arial"/>
                <w:snapToGrid/>
                <w:sz w:val="22"/>
                <w:szCs w:val="22"/>
                <w:lang w:eastAsia="en-GB"/>
              </w:rPr>
              <w:t>8127</w:t>
            </w:r>
            <w:r w:rsidR="00094644">
              <w:rPr>
                <w:rFonts w:ascii="Arial" w:hAnsi="Arial" w:cs="Arial"/>
                <w:snapToGrid/>
                <w:sz w:val="22"/>
                <w:szCs w:val="22"/>
                <w:lang w:eastAsia="en-GB"/>
              </w:rPr>
              <w:t xml:space="preserve">)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Drug screen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nothing detected</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D4689F"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hideMark/>
          </w:tcPr>
          <w:p w:rsidR="006C4F83" w:rsidRPr="00451639" w:rsidRDefault="0009464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094644">
              <w:rPr>
                <w:rFonts w:ascii="Arial" w:hAnsi="Arial" w:cs="Arial"/>
                <w:snapToGrid/>
                <w:sz w:val="22"/>
                <w:szCs w:val="22"/>
                <w:lang w:eastAsia="en-GB"/>
              </w:rPr>
              <w:t>City hospital, Birmingham</w:t>
            </w:r>
            <w:r>
              <w:rPr>
                <w:rFonts w:ascii="Arial" w:hAnsi="Arial" w:cs="Arial"/>
                <w:snapToGrid/>
                <w:sz w:val="22"/>
                <w:szCs w:val="22"/>
                <w:lang w:eastAsia="en-GB"/>
              </w:rPr>
              <w:t xml:space="preserve"> (8407)</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xml:space="preserve">Elastase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faeces</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 200 ug/g</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normal</w:t>
            </w:r>
          </w:p>
        </w:tc>
        <w:tc>
          <w:tcPr>
            <w:tcW w:w="1869" w:type="dxa"/>
            <w:noWrap/>
            <w:hideMark/>
          </w:tcPr>
          <w:p w:rsidR="006C4F83" w:rsidRPr="00451639" w:rsidRDefault="007E6AE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 xml:space="preserve">21 days </w:t>
            </w:r>
          </w:p>
        </w:tc>
        <w:tc>
          <w:tcPr>
            <w:tcW w:w="2551" w:type="dxa"/>
            <w:noWrap/>
            <w:hideMark/>
          </w:tcPr>
          <w:p w:rsidR="006C4F83" w:rsidRPr="00451639" w:rsidRDefault="0009464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094644">
              <w:rPr>
                <w:rFonts w:ascii="Arial" w:hAnsi="Arial" w:cs="Arial"/>
                <w:snapToGrid/>
                <w:sz w:val="22"/>
                <w:szCs w:val="22"/>
                <w:lang w:eastAsia="en-GB"/>
              </w:rPr>
              <w:t>City hospital, Birmingham</w:t>
            </w:r>
            <w:r>
              <w:rPr>
                <w:rFonts w:ascii="Arial" w:hAnsi="Arial" w:cs="Arial"/>
                <w:snapToGrid/>
                <w:sz w:val="22"/>
                <w:szCs w:val="22"/>
                <w:lang w:eastAsia="en-GB"/>
              </w:rPr>
              <w:t xml:space="preserve"> (8407)</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100 - 200 ug/g</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Mild pancreatic insufficiency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100 ug/g</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Severe pancreatic insufficiency</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Erythropoietin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5.0-25.0 IU/L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r w:rsidRPr="00451639">
              <w:rPr>
                <w:rFonts w:ascii="Arial" w:hAnsi="Arial" w:cs="Arial"/>
                <w:snapToGrid/>
                <w:sz w:val="22"/>
                <w:szCs w:val="22"/>
              </w:rPr>
              <w:t>with Hb within reference range</w:t>
            </w:r>
          </w:p>
        </w:tc>
        <w:tc>
          <w:tcPr>
            <w:tcW w:w="1869" w:type="dxa"/>
            <w:noWrap/>
            <w:hideMark/>
          </w:tcPr>
          <w:p w:rsidR="006C4F83" w:rsidRPr="00451639" w:rsidRDefault="007E6AE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 days</w:t>
            </w:r>
          </w:p>
        </w:tc>
        <w:tc>
          <w:tcPr>
            <w:tcW w:w="2551" w:type="dxa"/>
            <w:noWrap/>
            <w:hideMark/>
          </w:tcPr>
          <w:p w:rsidR="006C4F83" w:rsidRPr="00451639" w:rsidRDefault="0009464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094644">
              <w:rPr>
                <w:rFonts w:ascii="Arial" w:hAnsi="Arial" w:cs="Arial"/>
                <w:snapToGrid/>
                <w:sz w:val="22"/>
                <w:szCs w:val="22"/>
                <w:lang w:eastAsia="en-GB"/>
              </w:rPr>
              <w:t>Kings College Hospital- Synnovis (9067)</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Ethanol</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detected</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(fl.ox.)</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Extractable nuclear antigen Ab's (ENA)</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negative</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6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Faecal immunological test (FIT, primary care)</w:t>
            </w: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rPr>
              <w:t>faeces</w:t>
            </w: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10 ug Hb/g</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low risk for colorectal cancer; monitor and safety net as appropriate</w:t>
            </w:r>
          </w:p>
        </w:tc>
        <w:tc>
          <w:tcPr>
            <w:tcW w:w="1869" w:type="dxa"/>
            <w:noWrap/>
          </w:tcPr>
          <w:p w:rsidR="006C4F83" w:rsidRPr="00451639" w:rsidRDefault="007E6AE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7 days</w:t>
            </w: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6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 10 ug Hb/g</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refer under 2ww fast track pathway for suspected colorectal cancer</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3"/>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Ferritin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22 - 275 ug/L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5.0 - 204 ug/L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xml:space="preserve">female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Folate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09464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3.1 – 20.0</w:t>
            </w:r>
            <w:r w:rsidR="006C4F83" w:rsidRPr="00451639">
              <w:rPr>
                <w:rFonts w:ascii="Arial" w:hAnsi="Arial" w:cs="Arial"/>
                <w:snapToGrid/>
                <w:sz w:val="22"/>
                <w:szCs w:val="22"/>
                <w:lang w:eastAsia="en-GB"/>
              </w:rPr>
              <w:t xml:space="preserve"> ug/L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45"/>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Follicle stimulating hormone (FSH)</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&lt;1.6 IU/L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 pre-pubertal</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0.4 – 5.5 IU/L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female pre-pubertal</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43"/>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1.0 - 12.0 IU/L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 post-pubertal</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3.1 - 8.1 IU/L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follicular</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2.6 - 16.7 IU/L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mid-cycle peak</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lang w:val="pt-BR"/>
              </w:rPr>
              <w:t>1.0 - 5.5 IU/L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pt-BR"/>
              </w:rPr>
              <w:t>luteal</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lang w:val="pt-BR"/>
              </w:rPr>
              <w:t>&gt; 27 IU/L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pt-BR"/>
              </w:rPr>
              <w:t>post-menopausal</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z w:val="22"/>
                <w:szCs w:val="22"/>
                <w:lang w:val="pt-BR"/>
              </w:rPr>
              <w:t>Fructosamine</w:t>
            </w: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pt-BR"/>
              </w:rPr>
              <w:t>serum</w:t>
            </w: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pt-BR"/>
              </w:rPr>
            </w:pPr>
            <w:r w:rsidRPr="00451639">
              <w:rPr>
                <w:rFonts w:ascii="Arial" w:hAnsi="Arial" w:cs="Arial"/>
                <w:sz w:val="22"/>
                <w:szCs w:val="22"/>
                <w:lang w:val="pt-BR"/>
              </w:rPr>
              <w:t>205 - 286 umol/L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pt-BR"/>
              </w:rPr>
            </w:pP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tcPr>
          <w:p w:rsidR="006C4F83" w:rsidRPr="00451639" w:rsidRDefault="0009464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094644">
              <w:rPr>
                <w:rFonts w:ascii="Arial" w:hAnsi="Arial" w:cs="Arial"/>
                <w:sz w:val="22"/>
                <w:szCs w:val="22"/>
                <w:lang w:val="pt-BR"/>
              </w:rPr>
              <w:t>St Thomas's Hospital- Synnovis</w:t>
            </w:r>
            <w:r>
              <w:rPr>
                <w:rFonts w:ascii="Arial" w:hAnsi="Arial" w:cs="Arial"/>
                <w:sz w:val="22"/>
                <w:szCs w:val="22"/>
                <w:lang w:val="pt-BR"/>
              </w:rPr>
              <w:t xml:space="preserve"> (8710)</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Galactose-1-phosphate uridyl transferase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(heparin)</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6C4F83" w:rsidRPr="00451639" w:rsidRDefault="0009464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094644">
              <w:rPr>
                <w:rFonts w:ascii="Arial" w:hAnsi="Arial" w:cs="Arial"/>
                <w:snapToGrid/>
                <w:sz w:val="22"/>
                <w:szCs w:val="22"/>
                <w:lang w:eastAsia="en-GB"/>
              </w:rPr>
              <w:t>Birmingham children's hospital</w:t>
            </w:r>
            <w:r>
              <w:rPr>
                <w:rFonts w:ascii="Arial" w:hAnsi="Arial" w:cs="Arial"/>
                <w:snapToGrid/>
                <w:sz w:val="22"/>
                <w:szCs w:val="22"/>
                <w:lang w:eastAsia="en-GB"/>
              </w:rPr>
              <w:t xml:space="preserve"> (9948)</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Gamma glutamyl transferase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12 - 64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9 - 36 U/L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Gastrin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 (EDTA)</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&lt;40 pmol/L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1869" w:type="dxa"/>
            <w:noWrap/>
            <w:hideMark/>
          </w:tcPr>
          <w:p w:rsidR="006C4F83" w:rsidRPr="00451639" w:rsidRDefault="004C24B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hideMark/>
          </w:tcPr>
          <w:p w:rsidR="006C4F83" w:rsidRPr="00451639" w:rsidRDefault="0009464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094644">
              <w:rPr>
                <w:rFonts w:ascii="Arial" w:hAnsi="Arial" w:cs="Arial"/>
                <w:snapToGrid/>
                <w:sz w:val="22"/>
                <w:szCs w:val="22"/>
                <w:lang w:eastAsia="en-GB"/>
              </w:rPr>
              <w:t>Imperial (Charing Cross) (8673)</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z w:val="22"/>
                <w:szCs w:val="22"/>
                <w:lang w:val="en-US"/>
              </w:rPr>
              <w:t>Gentamicin</w:t>
            </w: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serum</w:t>
            </w: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&lt; 1 mg/L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 xml:space="preserve">Single daily dose, 18 h post </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2 mg/L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 xml:space="preserve">BD &amp; TDS regimes, pre dose     </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5 – 10 mg/L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 xml:space="preserve">BD &amp; TDS regimes, 1hr post dose    </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Globulin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20 - 35 g/L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z w:val="22"/>
                <w:szCs w:val="22"/>
                <w:lang w:val="en-US"/>
              </w:rPr>
              <w:t>Glomerular basement membrane antibodies</w:t>
            </w: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serum</w:t>
            </w: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&lt; 7 U/mL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negative</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days</w:t>
            </w: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7 – 10 U/mL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equivocal</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6C4F83" w:rsidRPr="00BA61BA" w:rsidRDefault="006C4F83" w:rsidP="00BA61BA">
            <w:pPr>
              <w:widowControl/>
              <w:rPr>
                <w:rFonts w:ascii="Arial" w:hAnsi="Arial" w:cs="Arial"/>
                <w:b w:val="0"/>
                <w:snapToGrid/>
                <w:sz w:val="22"/>
                <w:szCs w:val="22"/>
                <w:lang w:eastAsia="en-GB"/>
              </w:rPr>
            </w:pPr>
          </w:p>
        </w:tc>
        <w:tc>
          <w:tcPr>
            <w:tcW w:w="2126"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&gt; 10 U/mL</w:t>
            </w:r>
          </w:p>
        </w:tc>
        <w:tc>
          <w:tcPr>
            <w:tcW w:w="3260" w:type="dxa"/>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en-US"/>
              </w:rPr>
              <w:t>positive</w:t>
            </w:r>
          </w:p>
        </w:tc>
        <w:tc>
          <w:tcPr>
            <w:tcW w:w="1869"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6C4F83" w:rsidRPr="00451639" w:rsidTr="001C679A">
        <w:trPr>
          <w:trHeight w:val="6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Glucose (fasting)</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 (fl.ox.)</w:t>
            </w:r>
          </w:p>
        </w:tc>
        <w:tc>
          <w:tcPr>
            <w:tcW w:w="2861"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rPr>
              <w:t>3.3 – 5.4 mmol/L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normal fasting glucose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6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≥5.5 – 6.9 mmol/L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Non-diabetic hyperglycaemia (NDH). There is high risk of progression to type 2 diabetes. Consider referral to National Diabetes Prevention Programme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≥7.0 mmol/L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Indicative of diabetes. If patient symptomatic, diagnosis is confirmed.  If asymptomatic, repeat testing within 4 weeks is required for confirmation.</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Glucose</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CSF</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60 - 80% of plasma glu.</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fluoride oxalate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9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Glucagon</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 (EDTA)</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&lt;50 pmol/L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1869" w:type="dxa"/>
            <w:noWrap/>
            <w:hideMark/>
          </w:tcPr>
          <w:p w:rsidR="006C4F83" w:rsidRPr="00451639" w:rsidRDefault="004C24B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hideMark/>
          </w:tcPr>
          <w:p w:rsidR="006C4F83" w:rsidRPr="00451639" w:rsidRDefault="0009464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094644">
              <w:rPr>
                <w:rFonts w:ascii="Arial" w:hAnsi="Arial" w:cs="Arial"/>
                <w:snapToGrid/>
                <w:sz w:val="22"/>
                <w:szCs w:val="22"/>
                <w:lang w:eastAsia="en-GB"/>
              </w:rPr>
              <w:t>Imperial (Charing Cross) (8673)</w:t>
            </w:r>
          </w:p>
        </w:tc>
      </w:tr>
      <w:tr w:rsidR="006C4F83" w:rsidRPr="00451639" w:rsidTr="001C679A">
        <w:trPr>
          <w:trHeight w:val="515"/>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Glycated haemoglobin (HbA1c) (diagnosis/screening)</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(EDTA)</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 42 mmol/mol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normal</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12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42 - 47 mmol/mol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Non-diabetic hyperglycaemia (NDH). There is a high risk of progression to type 2 diabetes. Consider referral to National Diabetes Prevention Programme</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86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&gt; 48 mmol/mol</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Indicative of diabetes. If patient is symptomatic, diagnosis is confirmed.  If asymptomatic, repeat testing within 4 weeks is required for confirmation.</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6C4F83" w:rsidRPr="00451639" w:rsidTr="001C679A">
        <w:trPr>
          <w:trHeight w:val="1840"/>
        </w:trPr>
        <w:tc>
          <w:tcPr>
            <w:cnfStyle w:val="001000000000" w:firstRow="0" w:lastRow="0" w:firstColumn="1" w:lastColumn="0" w:oddVBand="0" w:evenVBand="0" w:oddHBand="0" w:evenHBand="0" w:firstRowFirstColumn="0" w:firstRowLastColumn="0" w:lastRowFirstColumn="0" w:lastRowLastColumn="0"/>
            <w:tcW w:w="2653" w:type="dxa"/>
            <w:hideMark/>
          </w:tcPr>
          <w:p w:rsidR="006C4F83" w:rsidRPr="00BA61BA" w:rsidRDefault="006C4F83"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Glycated haemoglobin (HbA1c) (monitoring)</w:t>
            </w:r>
          </w:p>
        </w:tc>
        <w:tc>
          <w:tcPr>
            <w:tcW w:w="2126"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(EDTA)</w:t>
            </w:r>
          </w:p>
        </w:tc>
        <w:tc>
          <w:tcPr>
            <w:tcW w:w="2861"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Individualised targets recommended. Please refer to NICE Guidance [NG28]: Type 2 Diabetes in adults: management / NICE Guidance [NG17]: Type 1 Diabetes in adults- diagnosis and management</w:t>
            </w:r>
          </w:p>
        </w:tc>
        <w:tc>
          <w:tcPr>
            <w:tcW w:w="3260" w:type="dxa"/>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6C4F83" w:rsidRPr="00451639" w:rsidRDefault="006C4F83"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184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Glycated haemoglobin (HbA1c) – Affinity</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(EDTA)</w:t>
            </w:r>
          </w:p>
        </w:tc>
        <w:tc>
          <w:tcPr>
            <w:tcW w:w="2861" w:type="dxa"/>
          </w:tcPr>
          <w:p w:rsidR="009C3AC7"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9C3AC7">
              <w:rPr>
                <w:rFonts w:ascii="Arial" w:hAnsi="Arial" w:cs="Arial"/>
                <w:snapToGrid/>
                <w:sz w:val="22"/>
                <w:szCs w:val="22"/>
                <w:lang w:eastAsia="en-GB"/>
              </w:rPr>
              <w:t>NICE guidance ranges for mmol/mo</w:t>
            </w:r>
            <w:r>
              <w:rPr>
                <w:rFonts w:ascii="Arial" w:hAnsi="Arial" w:cs="Arial"/>
                <w:snapToGrid/>
                <w:sz w:val="22"/>
                <w:szCs w:val="22"/>
                <w:lang w:eastAsia="en-GB"/>
              </w:rPr>
              <w:t>l HbA1c, should be individually-</w:t>
            </w:r>
            <w:r w:rsidRPr="009C3AC7">
              <w:rPr>
                <w:rFonts w:ascii="Arial" w:hAnsi="Arial" w:cs="Arial"/>
                <w:snapToGrid/>
                <w:sz w:val="22"/>
                <w:szCs w:val="22"/>
                <w:lang w:eastAsia="en-GB"/>
              </w:rPr>
              <w:t xml:space="preserve">based and if on medication are: </w:t>
            </w:r>
          </w:p>
          <w:p w:rsidR="009C3AC7"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9C3AC7">
              <w:rPr>
                <w:rFonts w:ascii="Arial" w:hAnsi="Arial" w:cs="Arial"/>
                <w:snapToGrid/>
                <w:sz w:val="22"/>
                <w:szCs w:val="22"/>
                <w:lang w:eastAsia="en-GB"/>
              </w:rPr>
              <w:t xml:space="preserve">Good control &lt;53. </w:t>
            </w:r>
          </w:p>
          <w:p w:rsidR="009C3AC7" w:rsidRPr="009C3AC7"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9C3AC7">
              <w:rPr>
                <w:rFonts w:ascii="Arial" w:hAnsi="Arial" w:cs="Arial"/>
                <w:snapToGrid/>
                <w:sz w:val="22"/>
                <w:szCs w:val="22"/>
                <w:lang w:eastAsia="en-GB"/>
              </w:rPr>
              <w:t>Poor contro</w:t>
            </w:r>
            <w:r>
              <w:rPr>
                <w:rFonts w:ascii="Arial" w:hAnsi="Arial" w:cs="Arial"/>
                <w:snapToGrid/>
                <w:sz w:val="22"/>
                <w:szCs w:val="22"/>
                <w:lang w:eastAsia="en-GB"/>
              </w:rPr>
              <w:t>l &gt;</w:t>
            </w:r>
            <w:r w:rsidRPr="009C3AC7">
              <w:rPr>
                <w:rFonts w:ascii="Arial" w:hAnsi="Arial" w:cs="Arial"/>
                <w:snapToGrid/>
                <w:sz w:val="22"/>
                <w:szCs w:val="22"/>
                <w:lang w:eastAsia="en-GB"/>
              </w:rPr>
              <w:t>58 consider intensification of treatment. Very poor control &gt; 75,</w:t>
            </w:r>
          </w:p>
          <w:p w:rsidR="009C3AC7" w:rsidRPr="009C3AC7"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 xml:space="preserve"> </w:t>
            </w:r>
            <w:r w:rsidRPr="009C3AC7">
              <w:rPr>
                <w:rFonts w:ascii="Arial" w:hAnsi="Arial" w:cs="Arial"/>
                <w:snapToGrid/>
                <w:sz w:val="22"/>
                <w:szCs w:val="22"/>
                <w:lang w:eastAsia="en-GB"/>
              </w:rPr>
              <w:t>Refer for specialist diabetic care if appropriate.</w:t>
            </w:r>
          </w:p>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9C3AC7">
              <w:rPr>
                <w:rFonts w:ascii="Arial" w:hAnsi="Arial" w:cs="Arial"/>
                <w:snapToGrid/>
                <w:sz w:val="22"/>
                <w:szCs w:val="22"/>
                <w:lang w:eastAsia="en-GB"/>
              </w:rPr>
              <w:t>*** HbA1c Units = mmol/mol HbA0</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9C3AC7" w:rsidRPr="00451639" w:rsidRDefault="004C24B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 xml:space="preserve">14 </w:t>
            </w:r>
            <w:r w:rsidR="009C3AC7">
              <w:rPr>
                <w:rFonts w:ascii="Arial" w:hAnsi="Arial" w:cs="Arial"/>
                <w:snapToGrid/>
                <w:sz w:val="22"/>
                <w:szCs w:val="22"/>
                <w:lang w:eastAsia="en-GB"/>
              </w:rPr>
              <w:t>days</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MTW (8342)</w:t>
            </w:r>
          </w:p>
        </w:tc>
      </w:tr>
      <w:tr w:rsidR="009C3AC7" w:rsidRPr="00451639" w:rsidTr="001C679A">
        <w:trPr>
          <w:trHeight w:val="321"/>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Glycine</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CSF</w:t>
            </w:r>
          </w:p>
        </w:tc>
        <w:tc>
          <w:tcPr>
            <w:tcW w:w="2861"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 – 15 umol/L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F6FCE">
              <w:rPr>
                <w:rFonts w:ascii="Arial" w:hAnsi="Arial" w:cs="Arial"/>
                <w:sz w:val="22"/>
                <w:szCs w:val="22"/>
              </w:rPr>
              <w:t>St Thomas's Hospital- Synnovis (8710)</w:t>
            </w:r>
          </w:p>
        </w:tc>
      </w:tr>
      <w:tr w:rsidR="009C3AC7" w:rsidRPr="00451639" w:rsidTr="001C679A">
        <w:trPr>
          <w:trHeight w:val="91"/>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6-GTN</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blood (EDTA)</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235 - 450 pmol/8x10</w:t>
            </w:r>
            <w:r w:rsidRPr="00451639">
              <w:rPr>
                <w:rFonts w:ascii="Arial" w:hAnsi="Arial" w:cs="Arial"/>
                <w:sz w:val="22"/>
                <w:szCs w:val="22"/>
                <w:vertAlign w:val="superscript"/>
              </w:rPr>
              <w:t xml:space="preserve">8 </w:t>
            </w:r>
            <w:r w:rsidRPr="00451639">
              <w:rPr>
                <w:rFonts w:ascii="Arial" w:hAnsi="Arial" w:cs="Arial"/>
                <w:sz w:val="22"/>
                <w:szCs w:val="22"/>
              </w:rPr>
              <w:t>cells</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Maximum drug efficacy in inflammatory bowel disease</w:t>
            </w:r>
          </w:p>
        </w:tc>
        <w:tc>
          <w:tcPr>
            <w:tcW w:w="1869" w:type="dxa"/>
            <w:noWrap/>
            <w:hideMark/>
          </w:tcPr>
          <w:p w:rsidR="009C3AC7" w:rsidRPr="00451639" w:rsidRDefault="004C24B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F6FCE">
              <w:rPr>
                <w:rFonts w:ascii="Arial" w:hAnsi="Arial" w:cs="Arial"/>
                <w:sz w:val="22"/>
                <w:szCs w:val="22"/>
              </w:rPr>
              <w:t>City hospital, Birmingham</w:t>
            </w:r>
            <w:r>
              <w:rPr>
                <w:rFonts w:ascii="Arial" w:hAnsi="Arial" w:cs="Arial"/>
                <w:sz w:val="22"/>
                <w:szCs w:val="22"/>
              </w:rPr>
              <w:t xml:space="preserve"> (8407)</w:t>
            </w:r>
          </w:p>
        </w:tc>
      </w:tr>
      <w:tr w:rsidR="009C3AC7" w:rsidRPr="00451639" w:rsidTr="001C679A">
        <w:trPr>
          <w:trHeight w:val="289"/>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Growth hormone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9C3AC7"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 xml:space="preserve">Should only be requested if patient is hypoglycaemic or part of dynamic function test. </w:t>
            </w:r>
          </w:p>
          <w:p w:rsidR="009C3AC7"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 xml:space="preserve">IGF-1 is a better marker of growth hormone secretion. </w:t>
            </w:r>
          </w:p>
        </w:tc>
        <w:tc>
          <w:tcPr>
            <w:tcW w:w="1869" w:type="dxa"/>
            <w:noWrap/>
            <w:hideMark/>
          </w:tcPr>
          <w:p w:rsidR="009C3AC7" w:rsidRPr="00451639" w:rsidRDefault="004C24B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 xml:space="preserve">6 </w:t>
            </w:r>
            <w:r w:rsidR="009C3AC7" w:rsidRPr="00451639">
              <w:rPr>
                <w:rFonts w:ascii="Arial" w:hAnsi="Arial" w:cs="Arial"/>
                <w:snapToGrid/>
                <w:sz w:val="22"/>
                <w:szCs w:val="22"/>
                <w:lang w:eastAsia="en-GB"/>
              </w:rPr>
              <w:t>weeks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265"/>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Gut hormone screen</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 (EDTA)</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F6FCE">
              <w:rPr>
                <w:rFonts w:ascii="Arial" w:hAnsi="Arial" w:cs="Arial"/>
                <w:snapToGrid/>
                <w:sz w:val="22"/>
                <w:szCs w:val="22"/>
                <w:lang w:eastAsia="en-GB"/>
              </w:rPr>
              <w:t>Imperial (Charing Cross) (8673)</w:t>
            </w:r>
          </w:p>
        </w:tc>
      </w:tr>
      <w:tr w:rsidR="009C3AC7" w:rsidRPr="00451639" w:rsidTr="001C679A">
        <w:trPr>
          <w:trHeight w:val="411"/>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Haemochromatosis mutations</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(EDTA)</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applicable</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C282T &amp; H63D tested</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F6FCE">
              <w:rPr>
                <w:rFonts w:ascii="Arial" w:hAnsi="Arial" w:cs="Arial"/>
                <w:snapToGrid/>
                <w:sz w:val="22"/>
                <w:szCs w:val="22"/>
                <w:lang w:eastAsia="en-GB"/>
              </w:rPr>
              <w:t>Kings College Hospital- Synnovis (9067)</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Haptoglobin</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0.5 - 2.0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0.4 - 1.6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HbA1c - see 'Glycated haemoglobin'</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Homovanillic acid (HVA)</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Great Ormond Street</w:t>
            </w:r>
            <w:r>
              <w:rPr>
                <w:rFonts w:ascii="Arial" w:hAnsi="Arial" w:cs="Arial"/>
                <w:snapToGrid/>
                <w:sz w:val="22"/>
                <w:szCs w:val="22"/>
                <w:lang w:eastAsia="en-GB"/>
              </w:rPr>
              <w:t xml:space="preserve"> (8692)</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 xml:space="preserve">HMG CoA reductase antibody </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serum</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z w:val="22"/>
                <w:szCs w:val="22"/>
              </w:rPr>
              <w:t xml:space="preserve">0 - </w:t>
            </w:r>
            <w:r w:rsidRPr="00F80A11">
              <w:rPr>
                <w:rFonts w:ascii="Arial" w:hAnsi="Arial" w:cs="Arial"/>
                <w:sz w:val="22"/>
                <w:szCs w:val="22"/>
              </w:rPr>
              <w:t>14.9 CU</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6 weeks</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500452">
              <w:rPr>
                <w:rFonts w:ascii="Arial" w:hAnsi="Arial" w:cs="Arial"/>
                <w:snapToGrid/>
                <w:sz w:val="22"/>
                <w:szCs w:val="22"/>
                <w:lang w:eastAsia="en-GB"/>
              </w:rPr>
              <w:t>Churchill</w:t>
            </w:r>
            <w:r>
              <w:rPr>
                <w:rFonts w:ascii="Arial" w:hAnsi="Arial" w:cs="Arial"/>
                <w:snapToGrid/>
                <w:sz w:val="22"/>
                <w:szCs w:val="22"/>
                <w:lang w:eastAsia="en-GB"/>
              </w:rPr>
              <w:t>,</w:t>
            </w:r>
            <w:r w:rsidRPr="00500452">
              <w:rPr>
                <w:rFonts w:ascii="Arial" w:hAnsi="Arial" w:cs="Arial"/>
                <w:snapToGrid/>
                <w:sz w:val="22"/>
                <w:szCs w:val="22"/>
                <w:lang w:eastAsia="en-GB"/>
              </w:rPr>
              <w:t xml:space="preserve"> Oxford</w:t>
            </w:r>
            <w:r>
              <w:rPr>
                <w:rFonts w:ascii="Arial" w:hAnsi="Arial" w:cs="Arial"/>
                <w:snapToGrid/>
                <w:sz w:val="22"/>
                <w:szCs w:val="22"/>
                <w:lang w:eastAsia="en-GB"/>
              </w:rPr>
              <w:t xml:space="preserve"> (8782)</w:t>
            </w:r>
          </w:p>
        </w:tc>
      </w:tr>
      <w:tr w:rsidR="009C3AC7" w:rsidRPr="00451639" w:rsidTr="001C679A">
        <w:trPr>
          <w:trHeight w:val="373"/>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Human chorionic gonadotrophin (HCG)</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&lt;5 IU/L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 non-pregnant range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5 - 25 IU/L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equivocal, may indicate early pregnancy, suggest repeat</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63"/>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w:t>
            </w:r>
            <w:r>
              <w:rPr>
                <w:rFonts w:ascii="Arial" w:hAnsi="Arial" w:cs="Arial"/>
                <w:snapToGrid/>
                <w:sz w:val="22"/>
                <w:szCs w:val="22"/>
                <w:lang w:eastAsia="en-GB"/>
              </w:rPr>
              <w:t>3</w:t>
            </w:r>
            <w:r w:rsidRPr="00451639">
              <w:rPr>
                <w:rFonts w:ascii="Arial" w:hAnsi="Arial" w:cs="Arial"/>
                <w:snapToGrid/>
                <w:sz w:val="22"/>
                <w:szCs w:val="22"/>
                <w:lang w:eastAsia="en-GB"/>
              </w:rPr>
              <w:t xml:space="preserve"> IU/L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Human chorionic gonadotrophin (HCG, molar)</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Tumour marker for molar preg.</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F6FCE">
              <w:rPr>
                <w:rFonts w:ascii="Arial" w:hAnsi="Arial" w:cs="Arial"/>
                <w:snapToGrid/>
                <w:sz w:val="22"/>
                <w:szCs w:val="22"/>
                <w:lang w:eastAsia="en-GB"/>
              </w:rPr>
              <w:t>Imperial (Charing Cross) (8673)</w:t>
            </w:r>
          </w:p>
        </w:tc>
      </w:tr>
      <w:tr w:rsidR="009C3AC7" w:rsidRPr="00451639" w:rsidTr="001C679A">
        <w:trPr>
          <w:trHeight w:val="6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Human chorionic gonadotrophin (HCG)</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qualitative</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pregnancy test</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xml:space="preserve">Hydrogen ion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arterial</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36 - 44 nmol/L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5' hydroxyindoleacetic acid (5 HIAA)</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(24 h)</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&lt;42 umol/24 h</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3 weeks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17-hydroxyprogesterone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1869" w:type="dxa"/>
            <w:noWrap/>
            <w:hideMark/>
          </w:tcPr>
          <w:p w:rsidR="009C3AC7" w:rsidRPr="00451639" w:rsidRDefault="004C24B8"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F6FCE">
              <w:rPr>
                <w:rFonts w:ascii="Arial" w:hAnsi="Arial" w:cs="Arial"/>
                <w:snapToGrid/>
                <w:sz w:val="22"/>
                <w:szCs w:val="22"/>
                <w:lang w:eastAsia="en-GB"/>
              </w:rPr>
              <w:t>South Manchester Pathology Services (9063)</w:t>
            </w:r>
          </w:p>
        </w:tc>
      </w:tr>
      <w:tr w:rsidR="009C3AC7" w:rsidRPr="00451639" w:rsidTr="001C679A">
        <w:trPr>
          <w:trHeight w:val="311"/>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25-hydroxyvitamin D (see vitamin D, below)</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12"/>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Immunoglobulin A (IgA)</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0.01 - 0.08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2 w</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106"/>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0.02 - 0.15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2 - 6 w</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0.05 - 0.4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7 w - 12 w</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177"/>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0.10 - 0.5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13 w - 6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0.15 - 0.7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7 - 9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0.2 - 0.7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10 - 12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0.3 - 1.2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12 - 24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0.3 - 1.3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2 - 3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0.4 - 2.0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4 - 6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0.5 - 2.4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7 - 9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0.7 - 2.5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10 - 12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0.8 - 2.8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13 - 15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0.8 - 2.8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16 - 45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0.8 - 4.0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&gt; 45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Immunoglobulin E (IgE)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&lt; 11 kU/L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&lt; 3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&lt; 29 kU/L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3 m-12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&lt; 52 kU/L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1 - 5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&lt; 63 kU/L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6 - 10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75 kU/L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11 - 15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81 kU/L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 15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Immunoglobulin G (IgG)</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5.0 - 17.0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2 w</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3.9 - 13.0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2 - 6 w</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2.1 - 7.7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7 - 12 w</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2.4 - 8.8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13 w - 6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3.0 - 9.0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7 - 9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3.0 - 10.9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10 - 12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3.1 - 13.8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12 - 24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3.7 - 15.8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2 - 3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4.9 - 16.1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4 - 6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5.4 - 16.1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7 - 15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6.0 - 16.0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 15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Immunoglobulin G subclasses (IgG1-4)</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F6FCE">
              <w:rPr>
                <w:rFonts w:ascii="Arial" w:hAnsi="Arial" w:cs="Arial"/>
                <w:snapToGrid/>
                <w:sz w:val="22"/>
                <w:szCs w:val="22"/>
                <w:lang w:eastAsia="en-GB"/>
              </w:rPr>
              <w:t>St. George's Hospital (9745)</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Immunoglobulin M (IgM)</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tabs>
                <w:tab w:val="left" w:pos="1719"/>
              </w:tabs>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0.05 - 0.2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2 w</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0.08 - 0.4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2 - 6 w</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0.15 - 0.7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7 - 12 w</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14"/>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0.2 - 1.0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13 w - 6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0.4 - 1.6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6 - 9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0.6 - 2.1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10 - 12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0.5 - 2.2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1 - 3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0.5 - 2.0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4 - 6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0.5 - 1.8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7 - 12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0.5 - 1.9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13 - 15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0.5 - 1.9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15 - 45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0.5 - 2.0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 45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Infliximab</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serum</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1.2 µg/mL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sub therapeutic</w:t>
            </w:r>
          </w:p>
        </w:tc>
        <w:tc>
          <w:tcPr>
            <w:tcW w:w="1869" w:type="dxa"/>
            <w:noWrap/>
          </w:tcPr>
          <w:p w:rsidR="009C3AC7" w:rsidRPr="00451639" w:rsidRDefault="00F200EB"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28 days</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F6FCE">
              <w:rPr>
                <w:rFonts w:ascii="Arial" w:hAnsi="Arial" w:cs="Arial"/>
                <w:snapToGrid/>
                <w:sz w:val="22"/>
                <w:szCs w:val="22"/>
                <w:lang w:eastAsia="en-GB"/>
              </w:rPr>
              <w:t>St Thomas's Hospital- Synnovis (9093)</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1.2 – 2.4 µg/mL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intermediate</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 2.4 µg/mL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therapeutic</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Infliximab antibodies</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serum</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10 ng/mL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9C3AC7" w:rsidRPr="00451639" w:rsidRDefault="00F200EB"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28 days</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F6FCE">
              <w:rPr>
                <w:rFonts w:ascii="Arial" w:hAnsi="Arial" w:cs="Arial"/>
                <w:snapToGrid/>
                <w:sz w:val="22"/>
                <w:szCs w:val="22"/>
                <w:lang w:eastAsia="en-GB"/>
              </w:rPr>
              <w:t>St Thomas's Hospital- Synnovis (9093)</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Insulin</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4.4 – 26.0 mIU/L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Fasting</w:t>
            </w:r>
          </w:p>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Send concurrent glucose</w:t>
            </w:r>
          </w:p>
        </w:tc>
        <w:tc>
          <w:tcPr>
            <w:tcW w:w="1869" w:type="dxa"/>
            <w:noWrap/>
            <w:hideMark/>
          </w:tcPr>
          <w:p w:rsidR="009C3AC7" w:rsidRPr="00451639" w:rsidRDefault="00F200EB"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 days</w:t>
            </w:r>
          </w:p>
        </w:tc>
        <w:tc>
          <w:tcPr>
            <w:tcW w:w="2551" w:type="dxa"/>
            <w:noWrap/>
            <w:hideMark/>
          </w:tcPr>
          <w:p w:rsidR="009C3AC7" w:rsidRPr="00451639" w:rsidRDefault="00940B8E"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940B8E">
              <w:rPr>
                <w:rFonts w:ascii="Arial" w:hAnsi="Arial" w:cs="Arial"/>
                <w:snapToGrid/>
                <w:sz w:val="22"/>
                <w:szCs w:val="22"/>
                <w:lang w:eastAsia="en-GB"/>
              </w:rPr>
              <w:t>Kings College Hospital- Synnovis</w:t>
            </w:r>
            <w:r>
              <w:rPr>
                <w:rFonts w:ascii="Arial" w:hAnsi="Arial" w:cs="Arial"/>
                <w:snapToGrid/>
                <w:sz w:val="22"/>
                <w:szCs w:val="22"/>
                <w:lang w:eastAsia="en-GB"/>
              </w:rPr>
              <w:t xml:space="preserve"> (9067)</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Insulin-like growth factor (IGF)-1</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weeks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Intrinsic factor Ab</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negative</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Iron</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11 - 28 umol/L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males</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7 - 26 umol/L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females</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Kappa free light chains</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serum</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3.3 - 19.4 mg/L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9C3AC7" w:rsidRPr="00451639" w:rsidRDefault="00F200EB"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Royal Free Hospital</w:t>
            </w:r>
            <w:r w:rsidR="00940B8E">
              <w:rPr>
                <w:rFonts w:ascii="Arial" w:hAnsi="Arial" w:cs="Arial"/>
                <w:sz w:val="22"/>
                <w:szCs w:val="22"/>
              </w:rPr>
              <w:t xml:space="preserve"> (8169)</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Kappa: Lambda ratio</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serum</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0.26 - 1.65</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9C3AC7" w:rsidRPr="00451639" w:rsidRDefault="00F200EB"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Royal Free Hospital</w:t>
            </w:r>
            <w:r w:rsidR="00940B8E">
              <w:rPr>
                <w:rFonts w:ascii="Arial" w:hAnsi="Arial" w:cs="Arial"/>
                <w:sz w:val="22"/>
                <w:szCs w:val="22"/>
              </w:rPr>
              <w:t xml:space="preserve"> (8169)</w:t>
            </w:r>
          </w:p>
        </w:tc>
      </w:tr>
      <w:tr w:rsidR="009C3AC7" w:rsidRPr="00451639" w:rsidTr="001C679A">
        <w:trPr>
          <w:trHeight w:val="373"/>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Lactate</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 (fl.ox.)</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0.50 - 2.20 mmol/L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435"/>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Lactate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CSF (fl.ox.)</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1.1 – 2.4 mmol/L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Lactate dehydrogenase (LDH)</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125 - 220 U/L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Lambda free light chains</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serum</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5.7 - 16.3 mg/L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9C3AC7" w:rsidRPr="00451639" w:rsidRDefault="00F200EB"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Royal Free Hospital</w:t>
            </w:r>
            <w:r w:rsidR="00940B8E">
              <w:rPr>
                <w:rFonts w:ascii="Arial" w:hAnsi="Arial" w:cs="Arial"/>
                <w:sz w:val="22"/>
                <w:szCs w:val="22"/>
              </w:rPr>
              <w:t xml:space="preserve"> (8169)</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Lamotrigine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 (no gel)</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3 - 15 mg/L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preferably pre-dose</w:t>
            </w:r>
          </w:p>
        </w:tc>
        <w:tc>
          <w:tcPr>
            <w:tcW w:w="1869" w:type="dxa"/>
            <w:noWrap/>
            <w:hideMark/>
          </w:tcPr>
          <w:p w:rsidR="009C3AC7" w:rsidRPr="00451639" w:rsidRDefault="00F200EB"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xml:space="preserve">Epilepsy Society </w:t>
            </w:r>
            <w:r w:rsidR="00940B8E">
              <w:rPr>
                <w:rFonts w:ascii="Arial" w:hAnsi="Arial" w:cs="Arial"/>
                <w:snapToGrid/>
                <w:sz w:val="22"/>
                <w:szCs w:val="22"/>
                <w:lang w:eastAsia="en-GB"/>
              </w:rPr>
              <w:t>(8353)</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Lead</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(EDTA)</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0.24 umol/L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 5 y</w:t>
            </w:r>
          </w:p>
        </w:tc>
        <w:tc>
          <w:tcPr>
            <w:tcW w:w="1869" w:type="dxa"/>
            <w:noWrap/>
            <w:hideMark/>
          </w:tcPr>
          <w:p w:rsidR="009C3AC7" w:rsidRPr="00451639" w:rsidRDefault="00F200EB"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Univ Hospital Wales</w:t>
            </w:r>
            <w:r w:rsidR="00940B8E">
              <w:rPr>
                <w:rFonts w:ascii="Arial" w:hAnsi="Arial" w:cs="Arial"/>
                <w:snapToGrid/>
                <w:sz w:val="22"/>
                <w:szCs w:val="22"/>
                <w:lang w:eastAsia="en-GB"/>
              </w:rPr>
              <w:t xml:space="preserve"> (8989)</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0.5 umol/L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 6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Lipase</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serum</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5 – 65 IU/L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9C3AC7" w:rsidRPr="00451639" w:rsidRDefault="00F9016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w:t>
            </w:r>
            <w:r w:rsidR="009C3AC7" w:rsidRPr="00451639">
              <w:rPr>
                <w:rFonts w:ascii="Arial" w:hAnsi="Arial" w:cs="Arial"/>
                <w:snapToGrid/>
                <w:sz w:val="22"/>
                <w:szCs w:val="22"/>
                <w:lang w:eastAsia="en-GB"/>
              </w:rPr>
              <w:t xml:space="preserve"> days</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Lithium</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0.4 - 1.0 mmol/L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12 h post-dose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Luteinising hormone (LH)</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0.3 IU/L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 &amp; female pre-pubertal</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18"/>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u w:val="single"/>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1.1 - 8.8 IU/L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2.4 - 6.6 IU/L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follicular</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9.1 - 74 IU/L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mid-cycle peak</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0.9 - 9.3 IU/L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luteal</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Magnesium</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0.60 - 1.00 mmol/L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&lt;1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0.70 - 1.00 mmol/L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&gt;1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Magnesium</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(24 h)</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2.4 - 6.5 mmol/24 h</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40B8E"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Metanephrines</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 (EDTA)</w:t>
            </w:r>
          </w:p>
        </w:tc>
        <w:tc>
          <w:tcPr>
            <w:tcW w:w="2861" w:type="dxa"/>
            <w:noWrap/>
          </w:tcPr>
          <w:p w:rsidR="009C3AC7" w:rsidRPr="00BA002B"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BA002B">
              <w:rPr>
                <w:rFonts w:ascii="Arial" w:hAnsi="Arial" w:cs="Arial"/>
                <w:color w:val="000000"/>
                <w:sz w:val="22"/>
                <w:szCs w:val="22"/>
              </w:rPr>
              <w:t>&lt;510 pmol/L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Seated</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 days</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 (EDTA)</w:t>
            </w:r>
          </w:p>
        </w:tc>
        <w:tc>
          <w:tcPr>
            <w:tcW w:w="2861" w:type="dxa"/>
            <w:noWrap/>
          </w:tcPr>
          <w:p w:rsidR="009C3AC7" w:rsidRPr="00BA002B"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BA002B">
              <w:rPr>
                <w:rFonts w:ascii="Arial" w:hAnsi="Arial" w:cs="Arial"/>
                <w:color w:val="000000"/>
                <w:sz w:val="22"/>
                <w:szCs w:val="22"/>
              </w:rPr>
              <w:t>&lt;450 pmol/L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Supine</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Methotrexate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 (EDTA)</w:t>
            </w:r>
          </w:p>
        </w:tc>
        <w:tc>
          <w:tcPr>
            <w:tcW w:w="2861" w:type="dxa"/>
            <w:noWrap/>
            <w:hideMark/>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u w:val="single"/>
              </w:rPr>
              <w:t>&lt; 0.1 umol/L</w:t>
            </w:r>
          </w:p>
        </w:tc>
        <w:tc>
          <w:tcPr>
            <w:tcW w:w="3260" w:type="dxa"/>
            <w:hideMark/>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high-dose</w:t>
            </w:r>
            <w:r w:rsidRPr="00451639">
              <w:rPr>
                <w:rFonts w:ascii="Arial" w:hAnsi="Arial" w:cs="Arial"/>
                <w:snapToGrid/>
                <w:sz w:val="22"/>
                <w:szCs w:val="22"/>
                <w:lang w:eastAsia="en-GB"/>
              </w:rPr>
              <w:t xml:space="preserve"> Rx only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Great Ormond St.</w:t>
            </w:r>
            <w:r w:rsidR="00940B8E">
              <w:rPr>
                <w:rFonts w:ascii="Arial" w:hAnsi="Arial" w:cs="Arial"/>
                <w:snapToGrid/>
                <w:sz w:val="22"/>
                <w:szCs w:val="22"/>
                <w:lang w:eastAsia="en-GB"/>
              </w:rPr>
              <w:t>(8623)</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3-methoxytyramine</w:t>
            </w:r>
          </w:p>
        </w:tc>
        <w:tc>
          <w:tcPr>
            <w:tcW w:w="2126" w:type="dxa"/>
            <w:noWrap/>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plasma (EDTA)</w:t>
            </w:r>
          </w:p>
        </w:tc>
        <w:tc>
          <w:tcPr>
            <w:tcW w:w="2861" w:type="dxa"/>
            <w:noWrap/>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u w:val="single"/>
              </w:rPr>
            </w:pPr>
            <w:r w:rsidRPr="00451639">
              <w:rPr>
                <w:rFonts w:ascii="Arial" w:hAnsi="Arial" w:cs="Arial"/>
                <w:sz w:val="22"/>
                <w:szCs w:val="22"/>
              </w:rPr>
              <w:t>&lt; 180 pmol/L</w:t>
            </w:r>
          </w:p>
        </w:tc>
        <w:tc>
          <w:tcPr>
            <w:tcW w:w="3260" w:type="dxa"/>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seated</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 days</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u w:val="single"/>
              </w:rPr>
            </w:pPr>
            <w:r w:rsidRPr="00451639">
              <w:rPr>
                <w:rFonts w:ascii="Arial" w:hAnsi="Arial" w:cs="Arial"/>
                <w:sz w:val="22"/>
                <w:szCs w:val="22"/>
              </w:rPr>
              <w:t>&lt; 180 pmol/L</w:t>
            </w:r>
          </w:p>
        </w:tc>
        <w:tc>
          <w:tcPr>
            <w:tcW w:w="3260" w:type="dxa"/>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supine</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Mucopolysaccharides</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w:t>
            </w:r>
          </w:p>
        </w:tc>
        <w:tc>
          <w:tcPr>
            <w:tcW w:w="2861" w:type="dxa"/>
            <w:noWrap/>
            <w:hideMark/>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Contact lab.</w:t>
            </w:r>
          </w:p>
        </w:tc>
        <w:tc>
          <w:tcPr>
            <w:tcW w:w="3260" w:type="dxa"/>
            <w:hideMark/>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8 weeks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FA1624">
              <w:rPr>
                <w:rFonts w:ascii="Arial" w:hAnsi="Arial" w:cs="Arial"/>
                <w:snapToGrid/>
                <w:sz w:val="22"/>
                <w:szCs w:val="22"/>
                <w:lang w:eastAsia="en-GB"/>
              </w:rPr>
              <w:t>Guys Hospital- Synnovis</w:t>
            </w:r>
            <w:r w:rsidRPr="00542A2D">
              <w:rPr>
                <w:rFonts w:ascii="Arial" w:hAnsi="Arial" w:cs="Arial"/>
                <w:snapToGrid/>
                <w:sz w:val="22"/>
                <w:szCs w:val="22"/>
                <w:lang w:eastAsia="en-GB"/>
              </w:rPr>
              <w:t xml:space="preserve"> (</w:t>
            </w:r>
            <w:r>
              <w:rPr>
                <w:rFonts w:ascii="Arial" w:hAnsi="Arial" w:cs="Arial"/>
                <w:snapToGrid/>
                <w:sz w:val="22"/>
                <w:szCs w:val="22"/>
                <w:lang w:eastAsia="en-GB"/>
              </w:rPr>
              <w:t>8688</w:t>
            </w:r>
            <w:r w:rsidRPr="00542A2D">
              <w:rPr>
                <w:rFonts w:ascii="Arial" w:hAnsi="Arial" w:cs="Arial"/>
                <w:snapToGrid/>
                <w:sz w:val="22"/>
                <w:szCs w:val="22"/>
                <w:lang w:eastAsia="en-GB"/>
              </w:rPr>
              <w:t>)</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Myeloperoxidase antibody</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0-2 U/mL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 </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days</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6-MMPN</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blood (EDTA)</w:t>
            </w:r>
          </w:p>
        </w:tc>
        <w:tc>
          <w:tcPr>
            <w:tcW w:w="2861" w:type="dxa"/>
            <w:noWrap/>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u w:val="single"/>
              </w:rPr>
            </w:pPr>
            <w:r w:rsidRPr="00451639">
              <w:rPr>
                <w:rFonts w:ascii="Arial" w:hAnsi="Arial" w:cs="Arial"/>
                <w:sz w:val="22"/>
                <w:szCs w:val="22"/>
              </w:rPr>
              <w:t>&gt; 5700 pmol/8x10</w:t>
            </w:r>
            <w:r w:rsidRPr="00451639">
              <w:rPr>
                <w:rFonts w:ascii="Arial" w:hAnsi="Arial" w:cs="Arial"/>
                <w:sz w:val="22"/>
                <w:szCs w:val="22"/>
                <w:vertAlign w:val="superscript"/>
              </w:rPr>
              <w:t>8</w:t>
            </w:r>
            <w:r w:rsidRPr="00451639">
              <w:rPr>
                <w:rFonts w:ascii="Arial" w:hAnsi="Arial" w:cs="Arial"/>
                <w:sz w:val="22"/>
                <w:szCs w:val="22"/>
              </w:rPr>
              <w:t xml:space="preserve"> cells</w:t>
            </w:r>
          </w:p>
        </w:tc>
        <w:tc>
          <w:tcPr>
            <w:tcW w:w="3260" w:type="dxa"/>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Associated with increased risk of hepatotoxicity</w:t>
            </w:r>
          </w:p>
        </w:tc>
        <w:tc>
          <w:tcPr>
            <w:tcW w:w="1869" w:type="dxa"/>
            <w:noWrap/>
          </w:tcPr>
          <w:p w:rsidR="009C3AC7" w:rsidRPr="00451639" w:rsidRDefault="00F200EB"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 days</w:t>
            </w:r>
          </w:p>
        </w:tc>
        <w:tc>
          <w:tcPr>
            <w:tcW w:w="2551" w:type="dxa"/>
            <w:noWrap/>
          </w:tcPr>
          <w:p w:rsidR="009C3AC7" w:rsidRPr="00451639" w:rsidRDefault="00940B8E"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Birmingham City Hospital</w:t>
            </w:r>
            <w:r>
              <w:rPr>
                <w:rFonts w:ascii="Arial" w:hAnsi="Arial" w:cs="Arial"/>
                <w:sz w:val="22"/>
                <w:szCs w:val="22"/>
              </w:rPr>
              <w:t xml:space="preserve"> (8407)</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N-acetyl-β-D-glucosaminidase (NAG)</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w:t>
            </w:r>
          </w:p>
        </w:tc>
        <w:tc>
          <w:tcPr>
            <w:tcW w:w="2861" w:type="dxa"/>
            <w:noWrap/>
            <w:hideMark/>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u w:val="single"/>
              </w:rPr>
              <w:t>&lt;</w:t>
            </w:r>
            <w:r w:rsidRPr="00451639">
              <w:rPr>
                <w:rFonts w:ascii="Arial" w:hAnsi="Arial" w:cs="Arial"/>
                <w:snapToGrid/>
                <w:sz w:val="22"/>
                <w:szCs w:val="22"/>
                <w:lang w:eastAsia="en-GB"/>
              </w:rPr>
              <w:t>26 U/mmol creatinine</w:t>
            </w:r>
          </w:p>
        </w:tc>
        <w:tc>
          <w:tcPr>
            <w:tcW w:w="3260" w:type="dxa"/>
            <w:hideMark/>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Contact</w:t>
            </w:r>
            <w:r w:rsidRPr="00451639">
              <w:rPr>
                <w:rFonts w:ascii="Arial" w:hAnsi="Arial" w:cs="Arial"/>
                <w:snapToGrid/>
                <w:sz w:val="22"/>
                <w:szCs w:val="22"/>
                <w:lang w:eastAsia="en-GB"/>
              </w:rPr>
              <w:t xml:space="preserve"> lab.</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Neurone-specific enolase</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serum</w:t>
            </w:r>
          </w:p>
        </w:tc>
        <w:tc>
          <w:tcPr>
            <w:tcW w:w="2861" w:type="dxa"/>
            <w:noWrap/>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 16.3 µg/L</w:t>
            </w:r>
          </w:p>
        </w:tc>
        <w:tc>
          <w:tcPr>
            <w:tcW w:w="3260" w:type="dxa"/>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r>
              <w:rPr>
                <w:rFonts w:ascii="Arial" w:hAnsi="Arial" w:cs="Arial"/>
                <w:snapToGrid/>
                <w:sz w:val="22"/>
                <w:szCs w:val="22"/>
                <w:lang w:eastAsia="en-GB"/>
              </w:rPr>
              <w:t xml:space="preserve"> (only if sample received by 11 am Mon – Fri).</w:t>
            </w:r>
          </w:p>
        </w:tc>
        <w:tc>
          <w:tcPr>
            <w:tcW w:w="2551" w:type="dxa"/>
            <w:noWrap/>
          </w:tcPr>
          <w:p w:rsidR="00940B8E" w:rsidRPr="00451639" w:rsidRDefault="00940B8E"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940B8E">
              <w:rPr>
                <w:rFonts w:ascii="Arial" w:hAnsi="Arial" w:cs="Arial"/>
                <w:snapToGrid/>
                <w:sz w:val="22"/>
                <w:szCs w:val="22"/>
                <w:lang w:eastAsia="en-GB"/>
              </w:rPr>
              <w:t>St Thomas's Hospital- Synnovis</w:t>
            </w:r>
            <w:r>
              <w:rPr>
                <w:rFonts w:ascii="Arial" w:hAnsi="Arial" w:cs="Arial"/>
                <w:snapToGrid/>
                <w:sz w:val="22"/>
                <w:szCs w:val="22"/>
                <w:lang w:eastAsia="en-GB"/>
              </w:rPr>
              <w:t xml:space="preserve"> (8710)</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Normetanephrine</w:t>
            </w:r>
          </w:p>
        </w:tc>
        <w:tc>
          <w:tcPr>
            <w:tcW w:w="2126" w:type="dxa"/>
            <w:noWrap/>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plasma</w:t>
            </w:r>
          </w:p>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(EDTA)</w:t>
            </w:r>
          </w:p>
        </w:tc>
        <w:tc>
          <w:tcPr>
            <w:tcW w:w="2861" w:type="dxa"/>
            <w:noWrap/>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&lt; 1180 pmol/L</w:t>
            </w:r>
          </w:p>
        </w:tc>
        <w:tc>
          <w:tcPr>
            <w:tcW w:w="3260" w:type="dxa"/>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seated</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w:t>
            </w:r>
            <w:r w:rsidRPr="00451639">
              <w:rPr>
                <w:rFonts w:ascii="Arial" w:hAnsi="Arial" w:cs="Arial"/>
                <w:snapToGrid/>
                <w:sz w:val="22"/>
                <w:szCs w:val="22"/>
                <w:lang w:eastAsia="en-GB"/>
              </w:rPr>
              <w:t xml:space="preserve"> days</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&lt; 730 pmol/L</w:t>
            </w:r>
          </w:p>
        </w:tc>
        <w:tc>
          <w:tcPr>
            <w:tcW w:w="3260" w:type="dxa"/>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supine</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NT pro-BNP</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 (EDTA)</w:t>
            </w:r>
          </w:p>
        </w:tc>
        <w:tc>
          <w:tcPr>
            <w:tcW w:w="2861" w:type="dxa"/>
            <w:noWrap/>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u w:val="single"/>
              </w:rPr>
            </w:pPr>
            <w:r w:rsidRPr="00451639">
              <w:rPr>
                <w:rFonts w:ascii="Arial" w:hAnsi="Arial" w:cs="Arial"/>
                <w:sz w:val="22"/>
                <w:szCs w:val="22"/>
              </w:rPr>
              <w:t>&lt; 400 ng/L</w:t>
            </w:r>
          </w:p>
        </w:tc>
        <w:tc>
          <w:tcPr>
            <w:tcW w:w="3260" w:type="dxa"/>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Heart failure unlikely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u w:val="single"/>
              </w:rPr>
            </w:pPr>
            <w:r w:rsidRPr="00451639">
              <w:rPr>
                <w:rFonts w:ascii="Arial" w:hAnsi="Arial" w:cs="Arial"/>
                <w:sz w:val="22"/>
                <w:szCs w:val="22"/>
              </w:rPr>
              <w:t>400 - 2000 ng/L</w:t>
            </w:r>
          </w:p>
        </w:tc>
        <w:tc>
          <w:tcPr>
            <w:tcW w:w="3260" w:type="dxa"/>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Recommend 6 week referral</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u w:val="single"/>
              </w:rPr>
            </w:pPr>
            <w:r w:rsidRPr="00451639">
              <w:rPr>
                <w:rFonts w:ascii="Arial" w:hAnsi="Arial" w:cs="Arial"/>
                <w:sz w:val="22"/>
                <w:szCs w:val="22"/>
              </w:rPr>
              <w:t>&gt; 2000 ng/L</w:t>
            </w:r>
          </w:p>
        </w:tc>
        <w:tc>
          <w:tcPr>
            <w:tcW w:w="3260" w:type="dxa"/>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Recommend 2 week referral</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Oestradiol</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&lt;160 pmol/L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100 - 920 pmol/L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follicular</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 xml:space="preserve">110 - 2400 </w:t>
            </w:r>
            <w:r w:rsidRPr="00451639">
              <w:rPr>
                <w:rFonts w:ascii="Arial" w:hAnsi="Arial" w:cs="Arial"/>
                <w:snapToGrid/>
                <w:sz w:val="22"/>
                <w:szCs w:val="22"/>
                <w:lang w:eastAsia="en-GB"/>
              </w:rPr>
              <w:t>pmol/L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mid-cycle peak</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100 - 1150 pmol/L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luteal</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Oligoclonal bands</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CSF &amp; 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not detected</w:t>
            </w:r>
          </w:p>
        </w:tc>
        <w:tc>
          <w:tcPr>
            <w:tcW w:w="3260" w:type="dxa"/>
            <w:hideMark/>
          </w:tcPr>
          <w:p w:rsidR="009C3AC7" w:rsidRPr="00451639" w:rsidRDefault="009C3AC7" w:rsidP="00BA61B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 </w:t>
            </w:r>
          </w:p>
        </w:tc>
        <w:tc>
          <w:tcPr>
            <w:tcW w:w="1869" w:type="dxa"/>
            <w:noWrap/>
            <w:hideMark/>
          </w:tcPr>
          <w:p w:rsidR="009C3AC7" w:rsidRPr="00451639" w:rsidRDefault="00C87771"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 xml:space="preserve">14 days </w:t>
            </w:r>
          </w:p>
        </w:tc>
        <w:tc>
          <w:tcPr>
            <w:tcW w:w="2551" w:type="dxa"/>
            <w:noWrap/>
            <w:hideMark/>
          </w:tcPr>
          <w:p w:rsidR="009C3AC7" w:rsidRPr="00451639" w:rsidRDefault="00940B8E"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940B8E">
              <w:rPr>
                <w:rFonts w:ascii="Arial" w:hAnsi="Arial" w:cs="Arial"/>
                <w:snapToGrid/>
                <w:sz w:val="22"/>
                <w:szCs w:val="22"/>
                <w:lang w:eastAsia="en-GB"/>
              </w:rPr>
              <w:t>St Georges hospital-PRU</w:t>
            </w:r>
            <w:r>
              <w:rPr>
                <w:rFonts w:ascii="Arial" w:hAnsi="Arial" w:cs="Arial"/>
                <w:snapToGrid/>
                <w:sz w:val="22"/>
                <w:szCs w:val="22"/>
                <w:lang w:eastAsia="en-GB"/>
              </w:rPr>
              <w:t xml:space="preserve"> (9745)</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Organic acids</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Contact lab.</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9C3AC7" w:rsidRPr="00451639" w:rsidRDefault="00940B8E"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940B8E">
              <w:rPr>
                <w:rFonts w:ascii="Arial" w:hAnsi="Arial" w:cs="Arial"/>
                <w:snapToGrid/>
                <w:sz w:val="22"/>
                <w:szCs w:val="22"/>
                <w:lang w:eastAsia="en-GB"/>
              </w:rPr>
              <w:t>St Thomas's Hospital- Synnovis</w:t>
            </w:r>
            <w:r>
              <w:rPr>
                <w:rFonts w:ascii="Arial" w:hAnsi="Arial" w:cs="Arial"/>
                <w:snapToGrid/>
                <w:sz w:val="22"/>
                <w:szCs w:val="22"/>
                <w:lang w:eastAsia="en-GB"/>
              </w:rPr>
              <w:t xml:space="preserve"> (9093)</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Osmolality</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275-295 mmol/</w:t>
            </w:r>
            <w:r w:rsidRPr="00451639">
              <w:rPr>
                <w:rFonts w:ascii="Arial" w:hAnsi="Arial" w:cs="Arial"/>
                <w:snapToGrid/>
                <w:sz w:val="22"/>
                <w:szCs w:val="22"/>
                <w:lang w:eastAsia="en-GB"/>
              </w:rPr>
              <w:t>kg</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Osmolality</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Contact lab.</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Oxalate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(24 h)</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0.08 - 0.49 mmol/24</w:t>
            </w:r>
            <w:r w:rsidRPr="00451639">
              <w:rPr>
                <w:rFonts w:ascii="Arial" w:hAnsi="Arial" w:cs="Arial"/>
                <w:snapToGrid/>
                <w:sz w:val="22"/>
                <w:szCs w:val="22"/>
                <w:lang w:eastAsia="en-GB"/>
              </w:rPr>
              <w:t xml:space="preserve"> h</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males</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 weeks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0.04 - 0.32 mmol/24 h</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females</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Oxygen (pO2)</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(heparin)</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11.0 - 14.4 kPa</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lower in elderly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Oxygen (% saturation)</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(heparin)</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94 - 98%</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Pancreatic polypeptide</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plasma (EDTA)</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300 pmol/L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9C3AC7" w:rsidRPr="00451639" w:rsidRDefault="00C87771"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tcPr>
          <w:p w:rsidR="009C3AC7" w:rsidRPr="00451639" w:rsidRDefault="00232E6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232E67">
              <w:rPr>
                <w:rFonts w:ascii="Arial" w:hAnsi="Arial" w:cs="Arial"/>
                <w:snapToGrid/>
                <w:sz w:val="22"/>
                <w:szCs w:val="22"/>
              </w:rPr>
              <w:t>Imperial (Charing Cross) (8673)</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Paracetamol</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detected</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Paraquat</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detected</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40B8E"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940B8E">
              <w:rPr>
                <w:rFonts w:ascii="Arial" w:hAnsi="Arial" w:cs="Arial"/>
                <w:sz w:val="22"/>
                <w:szCs w:val="22"/>
              </w:rPr>
              <w:t>Birmingham City Hospital (8407)</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Parathyroid hormone (PTH)</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 (EDTA)</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1.6 - 7.2 pmol/L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r>
              <w:rPr>
                <w:rFonts w:ascii="Arial" w:hAnsi="Arial" w:cs="Arial"/>
                <w:snapToGrid/>
                <w:sz w:val="22"/>
                <w:szCs w:val="22"/>
                <w:lang w:eastAsia="en-GB"/>
              </w:rPr>
              <w:t>&lt;18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week</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2.3 - 11.5 pmol/L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 18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Pemphigus/oid Ab</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applicable</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weeks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9"/>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pH</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7.36 - 7.44</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413"/>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pH</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rPr>
              <w:t>4.5 - 6.0</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Phenobarbitone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 (no gel)</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10 - 40 mg/L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preferably pre-dose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Phenytoin</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 (no gel)</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5 - 20 mg/L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preferably pre-dose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Phosphate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1.30 - 2.60 mmol/L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1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1.30 - 2.40 mmol/L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 m - 1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0.90 - 1.80 mmol/L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 y - 16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0.80 - 1.50 mmol/L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 16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Phosphate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(24 h)</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15 - 50 mmol/24 h</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Phospholipase A2 receptor antibody</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0 – 13 RU/mL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w:t>
            </w:r>
            <w:r w:rsidRPr="00451639">
              <w:rPr>
                <w:rFonts w:ascii="Arial" w:hAnsi="Arial" w:cs="Arial"/>
                <w:snapToGrid/>
                <w:sz w:val="22"/>
                <w:szCs w:val="22"/>
                <w:lang w:eastAsia="en-GB"/>
              </w:rPr>
              <w:t xml:space="preserve"> weeks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104D76">
              <w:rPr>
                <w:rFonts w:ascii="Arial" w:hAnsi="Arial" w:cs="Arial"/>
                <w:snapToGrid/>
                <w:sz w:val="22"/>
                <w:szCs w:val="22"/>
                <w:lang w:eastAsia="en-GB"/>
              </w:rPr>
              <w:t>St Georges hospital-PRU</w:t>
            </w:r>
            <w:r>
              <w:rPr>
                <w:rFonts w:ascii="Arial" w:hAnsi="Arial" w:cs="Arial"/>
                <w:snapToGrid/>
                <w:sz w:val="22"/>
                <w:szCs w:val="22"/>
                <w:lang w:eastAsia="en-GB"/>
              </w:rPr>
              <w:t xml:space="preserve"> (9745)</w:t>
            </w:r>
            <w:r w:rsidRPr="00451639">
              <w:rPr>
                <w:rFonts w:ascii="Arial" w:hAnsi="Arial" w:cs="Arial"/>
                <w:snapToGrid/>
                <w:sz w:val="22"/>
                <w:szCs w:val="22"/>
                <w:lang w:eastAsia="en-GB"/>
              </w:rPr>
              <w:t xml:space="preserve">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Porphobilinogen</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&lt;1.5 umol/mmol creatinine</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keep in dark</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Porphyria screen</w:t>
            </w:r>
          </w:p>
        </w:tc>
        <w:tc>
          <w:tcPr>
            <w:tcW w:w="2126"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blood/urine/faeces</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9C3AC7" w:rsidRPr="00451639" w:rsidRDefault="00232E6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232E67">
              <w:rPr>
                <w:rFonts w:ascii="Arial" w:hAnsi="Arial" w:cs="Arial"/>
                <w:snapToGrid/>
                <w:sz w:val="22"/>
                <w:szCs w:val="22"/>
                <w:lang w:eastAsia="en-GB"/>
              </w:rPr>
              <w:t>Kings College Hospital- Synnovis</w:t>
            </w:r>
            <w:r>
              <w:rPr>
                <w:rFonts w:ascii="Arial" w:hAnsi="Arial" w:cs="Arial"/>
                <w:snapToGrid/>
                <w:sz w:val="22"/>
                <w:szCs w:val="22"/>
                <w:lang w:eastAsia="en-GB"/>
              </w:rPr>
              <w:t xml:space="preserve"> (9067)</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Potassium</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val="pt-BR"/>
              </w:rPr>
              <w:t>3.5 - 5.3 mmol/L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Potassium</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(24 h)</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rPr>
              <w:t>25 - 125 mmol/24 h</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Procalcitonin</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Procollagen III</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10 - 50 ug/L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2 y</w:t>
            </w:r>
          </w:p>
        </w:tc>
        <w:tc>
          <w:tcPr>
            <w:tcW w:w="1869" w:type="dxa"/>
            <w:noWrap/>
            <w:hideMark/>
          </w:tcPr>
          <w:p w:rsidR="009C3AC7" w:rsidRPr="00451639" w:rsidRDefault="00C87771"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PRU Sheffield</w:t>
            </w:r>
            <w:r w:rsidR="00232E67">
              <w:rPr>
                <w:rFonts w:ascii="Arial" w:hAnsi="Arial" w:cs="Arial"/>
                <w:snapToGrid/>
                <w:sz w:val="22"/>
                <w:szCs w:val="22"/>
                <w:lang w:eastAsia="en-GB"/>
              </w:rPr>
              <w:t xml:space="preserve"> (8494)</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5 – 15 ug/L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2 - 4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5 – 10 ug/L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 5 – 14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5 – 10 ug/L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female, 5 – 10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8 – 15 ug/L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female, 11 – 14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8 – 20 ug/L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 15 – 19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 – 8 ug/L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female 15 – 19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1.7 – 4.2 ug/L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 20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Progesterone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&gt;30 nmol/L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suggests ovulation</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Prolactin</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&lt;700 mU/L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w:t>
            </w:r>
            <w:r>
              <w:rPr>
                <w:rFonts w:ascii="Arial" w:hAnsi="Arial" w:cs="Arial"/>
                <w:snapToGrid/>
                <w:sz w:val="22"/>
                <w:szCs w:val="22"/>
                <w:lang w:eastAsia="en-GB"/>
              </w:rPr>
              <w:t xml:space="preserve"> and female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53"/>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Prostate specific antigen (PSA)</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2.5 ug/L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40 – 49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3.0 ug/L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50 - 69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5.0 ug/L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 70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10.0 ug/L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 80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Proteinase-3 antibody (PR3)</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0 - 6 U/mL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Protein electrophoresis</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 significant abnormality detected</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week</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Protein electrophoresis</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w:t>
            </w:r>
          </w:p>
        </w:tc>
        <w:tc>
          <w:tcPr>
            <w:tcW w:w="2861"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bCs/>
                <w:sz w:val="22"/>
                <w:szCs w:val="22"/>
              </w:rPr>
              <w:t xml:space="preserve">no </w:t>
            </w:r>
            <w:r w:rsidRPr="00451639">
              <w:rPr>
                <w:rFonts w:ascii="Arial" w:hAnsi="Arial" w:cs="Arial"/>
                <w:snapToGrid/>
                <w:sz w:val="22"/>
                <w:szCs w:val="22"/>
                <w:lang w:eastAsia="en-GB"/>
              </w:rPr>
              <w:t>significant abnormality detected</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week</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Protein (total)</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44 - 76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&lt;1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56 - 75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1 - 2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60 - 80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3 - 18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60 - 80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&gt;18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Protein (total)</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(24 h)</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0.03 - 0.14 g/24 h</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Protein (total)</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(random)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&lt;15 mg/mmol creatinine</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Protein (total)</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CSF</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0.65 – 1.50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28 d</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5"/>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0.50 – 0.90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29 – 56 d</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0.05 – 0.35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 m – 18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0.15 - 0.45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18 -60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0.15 – 0.60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 60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DC1C3E">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592F93" w:rsidRDefault="009C3AC7" w:rsidP="00592F93">
            <w:pPr>
              <w:widowControl/>
              <w:jc w:val="both"/>
              <w:rPr>
                <w:rFonts w:ascii="Arial" w:hAnsi="Arial" w:cs="Arial"/>
                <w:b w:val="0"/>
                <w:snapToGrid/>
                <w:sz w:val="22"/>
                <w:szCs w:val="22"/>
                <w:highlight w:val="yellow"/>
                <w:lang w:eastAsia="en-GB"/>
              </w:rPr>
            </w:pPr>
            <w:r w:rsidRPr="00592F93">
              <w:rPr>
                <w:rFonts w:ascii="Arial" w:hAnsi="Arial" w:cs="Arial"/>
                <w:b w:val="0"/>
                <w:snapToGrid/>
                <w:sz w:val="22"/>
                <w:szCs w:val="22"/>
                <w:highlight w:val="yellow"/>
                <w:lang w:eastAsia="en-GB"/>
              </w:rPr>
              <w:t>Renin</w:t>
            </w:r>
          </w:p>
        </w:tc>
        <w:tc>
          <w:tcPr>
            <w:tcW w:w="2126" w:type="dxa"/>
            <w:noWrap/>
            <w:hideMark/>
          </w:tcPr>
          <w:p w:rsidR="009C3AC7" w:rsidRPr="00592F93" w:rsidRDefault="00DC1C3E" w:rsidP="00592F93">
            <w:pPr>
              <w:widowControl/>
              <w:jc w:val="both"/>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highlight w:val="yellow"/>
                <w:lang w:eastAsia="en-GB"/>
              </w:rPr>
            </w:pPr>
            <w:r>
              <w:rPr>
                <w:rFonts w:ascii="Arial" w:hAnsi="Arial" w:cs="Arial"/>
                <w:snapToGrid/>
                <w:sz w:val="22"/>
                <w:szCs w:val="22"/>
                <w:highlight w:val="yellow"/>
                <w:lang w:eastAsia="en-GB"/>
              </w:rPr>
              <w:t>p</w:t>
            </w:r>
            <w:r w:rsidR="009C3AC7" w:rsidRPr="00592F93">
              <w:rPr>
                <w:rFonts w:ascii="Arial" w:hAnsi="Arial" w:cs="Arial"/>
                <w:snapToGrid/>
                <w:sz w:val="22"/>
                <w:szCs w:val="22"/>
                <w:highlight w:val="yellow"/>
                <w:lang w:eastAsia="en-GB"/>
              </w:rPr>
              <w:t>lasma</w:t>
            </w:r>
            <w:r>
              <w:rPr>
                <w:rFonts w:ascii="Arial" w:hAnsi="Arial" w:cs="Arial"/>
                <w:snapToGrid/>
                <w:sz w:val="22"/>
                <w:szCs w:val="22"/>
                <w:highlight w:val="yellow"/>
                <w:lang w:eastAsia="en-GB"/>
              </w:rPr>
              <w:t xml:space="preserve"> </w:t>
            </w:r>
            <w:r w:rsidR="009C3AC7" w:rsidRPr="00592F93">
              <w:rPr>
                <w:rFonts w:ascii="Arial" w:hAnsi="Arial" w:cs="Arial"/>
                <w:snapToGrid/>
                <w:sz w:val="22"/>
                <w:szCs w:val="22"/>
                <w:highlight w:val="yellow"/>
                <w:lang w:eastAsia="en-GB"/>
              </w:rPr>
              <w:t>(EDTA)</w:t>
            </w:r>
          </w:p>
        </w:tc>
        <w:tc>
          <w:tcPr>
            <w:tcW w:w="2861" w:type="dxa"/>
            <w:noWrap/>
            <w:hideMark/>
          </w:tcPr>
          <w:p w:rsidR="009C3AC7" w:rsidRPr="00592F93" w:rsidRDefault="00592F93" w:rsidP="00592F93">
            <w:pPr>
              <w:widowControl/>
              <w:jc w:val="both"/>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highlight w:val="yellow"/>
                <w:lang w:eastAsia="en-GB"/>
              </w:rPr>
            </w:pPr>
            <w:r w:rsidRPr="00592F93">
              <w:rPr>
                <w:rFonts w:ascii="Arial" w:hAnsi="Arial" w:cs="Arial"/>
                <w:bCs/>
                <w:sz w:val="22"/>
                <w:szCs w:val="22"/>
                <w:highlight w:val="yellow"/>
                <w:lang w:eastAsia="en-GB"/>
              </w:rPr>
              <w:t>11 - 32 mIU/L</w:t>
            </w:r>
          </w:p>
        </w:tc>
        <w:tc>
          <w:tcPr>
            <w:tcW w:w="3260" w:type="dxa"/>
            <w:hideMark/>
          </w:tcPr>
          <w:p w:rsidR="009C3AC7" w:rsidRPr="00592F93" w:rsidRDefault="00592F93" w:rsidP="00592F93">
            <w:pPr>
              <w:widowControl/>
              <w:jc w:val="both"/>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highlight w:val="yellow"/>
                <w:lang w:eastAsia="en-GB"/>
              </w:rPr>
            </w:pPr>
            <w:r w:rsidRPr="00592F93">
              <w:rPr>
                <w:rFonts w:ascii="Arial" w:hAnsi="Arial" w:cs="Arial"/>
                <w:snapToGrid/>
                <w:sz w:val="22"/>
                <w:szCs w:val="22"/>
                <w:highlight w:val="yellow"/>
                <w:lang w:eastAsia="en-GB"/>
              </w:rPr>
              <w:t>Please note the reference ranges only applies to hypertensive non-pregnant adults.</w:t>
            </w:r>
          </w:p>
        </w:tc>
        <w:tc>
          <w:tcPr>
            <w:tcW w:w="1869" w:type="dxa"/>
            <w:noWrap/>
            <w:hideMark/>
          </w:tcPr>
          <w:p w:rsidR="009C3AC7" w:rsidRPr="00592F93" w:rsidRDefault="00592F93" w:rsidP="00592F93">
            <w:pPr>
              <w:widowControl/>
              <w:jc w:val="both"/>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highlight w:val="yellow"/>
                <w:lang w:eastAsia="en-GB"/>
              </w:rPr>
            </w:pPr>
            <w:r w:rsidRPr="00592F93">
              <w:rPr>
                <w:rFonts w:ascii="Arial" w:hAnsi="Arial" w:cs="Arial"/>
                <w:snapToGrid/>
                <w:sz w:val="22"/>
                <w:szCs w:val="22"/>
                <w:highlight w:val="yellow"/>
                <w:lang w:eastAsia="en-GB"/>
              </w:rPr>
              <w:t>21</w:t>
            </w:r>
            <w:r w:rsidR="00C87771" w:rsidRPr="00592F93">
              <w:rPr>
                <w:rFonts w:ascii="Arial" w:hAnsi="Arial" w:cs="Arial"/>
                <w:snapToGrid/>
                <w:sz w:val="22"/>
                <w:szCs w:val="22"/>
                <w:highlight w:val="yellow"/>
                <w:lang w:eastAsia="en-GB"/>
              </w:rPr>
              <w:t xml:space="preserve"> days</w:t>
            </w:r>
          </w:p>
        </w:tc>
        <w:tc>
          <w:tcPr>
            <w:tcW w:w="2551" w:type="dxa"/>
            <w:noWrap/>
            <w:vAlign w:val="center"/>
          </w:tcPr>
          <w:p w:rsidR="009C3AC7" w:rsidRPr="00451639" w:rsidRDefault="00DC1C3E" w:rsidP="00DC1C3E">
            <w:pPr>
              <w:widowControl/>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9102E6">
              <w:rPr>
                <w:rFonts w:ascii="Arial" w:hAnsi="Arial" w:cs="Arial"/>
                <w:b/>
                <w:snapToGrid/>
                <w:sz w:val="22"/>
                <w:szCs w:val="22"/>
                <w:lang w:eastAsia="en-GB"/>
              </w:rPr>
              <w:t>(Not accredited)</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Rheumatoid factor</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&lt;30 IU/mL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Salicylate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detected</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Scleroderma autoantibody immunoblot</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serum</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947255">
              <w:rPr>
                <w:rFonts w:ascii="Arial" w:hAnsi="Arial" w:cs="Arial"/>
                <w:snapToGrid/>
                <w:sz w:val="22"/>
                <w:szCs w:val="22"/>
                <w:lang w:eastAsia="en-GB"/>
              </w:rPr>
              <w:t>Contact lab</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869" w:type="dxa"/>
            <w:noWrap/>
          </w:tcPr>
          <w:p w:rsidR="009C3AC7" w:rsidRPr="00451639" w:rsidRDefault="005D25FE"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28 days</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EE0311">
              <w:rPr>
                <w:rFonts w:ascii="Arial" w:hAnsi="Arial" w:cs="Arial"/>
                <w:snapToGrid/>
                <w:sz w:val="22"/>
                <w:szCs w:val="22"/>
                <w:lang w:eastAsia="en-GB"/>
              </w:rPr>
              <w:t>Royal Free Hospital</w:t>
            </w:r>
            <w:r>
              <w:rPr>
                <w:rFonts w:ascii="Arial" w:hAnsi="Arial" w:cs="Arial"/>
                <w:snapToGrid/>
                <w:sz w:val="22"/>
                <w:szCs w:val="22"/>
                <w:lang w:eastAsia="en-GB"/>
              </w:rPr>
              <w:t xml:space="preserve"> (8169)</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Sex hormone binding globulin (SHBG)</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16.5 - 55.9 nmol/L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 xml:space="preserve">male 20 - 50 y </w:t>
            </w:r>
          </w:p>
        </w:tc>
        <w:tc>
          <w:tcPr>
            <w:tcW w:w="1869" w:type="dxa"/>
            <w:noWrap/>
            <w:hideMark/>
          </w:tcPr>
          <w:p w:rsidR="009C3AC7" w:rsidRPr="00451639" w:rsidRDefault="005D25FE"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MTW</w:t>
            </w:r>
            <w:r w:rsidR="00232E67">
              <w:rPr>
                <w:rFonts w:ascii="Arial" w:hAnsi="Arial" w:cs="Arial"/>
                <w:snapToGrid/>
                <w:sz w:val="22"/>
                <w:szCs w:val="22"/>
                <w:lang w:eastAsia="en-GB"/>
              </w:rPr>
              <w:t xml:space="preserve"> (8342)</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19.3 - 76.4 nmol/L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 &gt; 50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24.6 - 122.0 nmol/L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female 20 - 50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177"/>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17.3 - 125.0 nmol/L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female &gt; 50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Sirolimus</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(EDTA)</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3 - 8 ug/L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trough (pre-dose)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sFlt-1/PlGF ratio</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serum</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947255">
              <w:rPr>
                <w:rFonts w:ascii="Arial" w:hAnsi="Arial" w:cs="Arial"/>
                <w:snapToGrid/>
                <w:sz w:val="22"/>
                <w:szCs w:val="22"/>
                <w:lang w:eastAsia="en-GB"/>
              </w:rPr>
              <w:t>Contact lab.</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O</w:t>
            </w:r>
            <w:r w:rsidRPr="00947255">
              <w:rPr>
                <w:rFonts w:ascii="Arial" w:hAnsi="Arial" w:cs="Arial"/>
                <w:snapToGrid/>
                <w:sz w:val="22"/>
                <w:szCs w:val="22"/>
                <w:lang w:eastAsia="en-GB"/>
              </w:rPr>
              <w:t>nly for 20 to 34+6 weeks gestation with a singleton pregnancy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Sodium</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133 - 146 mmol/L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95"/>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Sodium</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(24 h)</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40 - 220 mmol/24 h</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random may be useful</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Sodium valproate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see valproate</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Somatostatin</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plasma (EDTA)</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150 pmol/L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9C3AC7" w:rsidRPr="00451639" w:rsidRDefault="005D25FE"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tcPr>
          <w:p w:rsidR="009C3AC7" w:rsidRPr="00451639" w:rsidRDefault="00232E6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232E67">
              <w:rPr>
                <w:rFonts w:ascii="Arial" w:hAnsi="Arial" w:cs="Arial"/>
                <w:snapToGrid/>
                <w:sz w:val="22"/>
                <w:szCs w:val="22"/>
              </w:rPr>
              <w:t>Imperial (Charing Cross) (8673)</w:t>
            </w:r>
          </w:p>
        </w:tc>
      </w:tr>
      <w:tr w:rsidR="009C3AC7" w:rsidRPr="00451639" w:rsidTr="001C679A">
        <w:trPr>
          <w:trHeight w:val="373"/>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Steroid profile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9C3AC7" w:rsidRPr="00451639" w:rsidRDefault="00232E6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232E67">
              <w:rPr>
                <w:rFonts w:ascii="Arial" w:hAnsi="Arial" w:cs="Arial"/>
                <w:snapToGrid/>
                <w:sz w:val="22"/>
                <w:szCs w:val="22"/>
                <w:lang w:eastAsia="en-GB"/>
              </w:rPr>
              <w:t>Kings College Hospital- Synnovis</w:t>
            </w:r>
            <w:r>
              <w:rPr>
                <w:rFonts w:ascii="Arial" w:hAnsi="Arial" w:cs="Arial"/>
                <w:snapToGrid/>
                <w:sz w:val="22"/>
                <w:szCs w:val="22"/>
                <w:lang w:eastAsia="en-GB"/>
              </w:rPr>
              <w:t xml:space="preserve"> (9067)</w:t>
            </w:r>
          </w:p>
        </w:tc>
      </w:tr>
      <w:tr w:rsidR="009C3AC7" w:rsidRPr="00451639" w:rsidTr="001C679A">
        <w:trPr>
          <w:trHeight w:val="265"/>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Stone analysis (renal)</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calculus</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applicable</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9C3AC7" w:rsidRPr="00451639" w:rsidRDefault="00232E6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City Assays</w:t>
            </w:r>
            <w:r>
              <w:rPr>
                <w:rFonts w:ascii="Arial" w:hAnsi="Arial" w:cs="Arial"/>
                <w:snapToGrid/>
                <w:sz w:val="22"/>
                <w:szCs w:val="22"/>
                <w:lang w:eastAsia="en-GB"/>
              </w:rPr>
              <w:t xml:space="preserve"> (8407)</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Tacrolimus (FK506)</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(EDTA)</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3 - 14 ug/L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trough (pre-dose)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Testosterone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 12 nmol/L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males</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0.0 - 2.0 nmol/L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 xml:space="preserve">females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0.5 nmol/L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pre-pubertal</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Theophylline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10 - 20 mg/L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4-6 h post-dose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 xml:space="preserve">Thiopurine </w:t>
            </w:r>
            <w:r w:rsidRPr="00BA61BA">
              <w:rPr>
                <w:rFonts w:ascii="Arial" w:hAnsi="Arial" w:cs="Arial"/>
                <w:b w:val="0"/>
                <w:snapToGrid/>
                <w:sz w:val="22"/>
                <w:szCs w:val="22"/>
                <w:lang w:eastAsia="en-GB"/>
              </w:rPr>
              <w:t>methyltransferase (TPMT)</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(EDTA)</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10 mU/L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 xml:space="preserve">Deficient </w:t>
            </w:r>
          </w:p>
        </w:tc>
        <w:tc>
          <w:tcPr>
            <w:tcW w:w="1869" w:type="dxa"/>
            <w:noWrap/>
            <w:hideMark/>
          </w:tcPr>
          <w:p w:rsidR="009C3AC7" w:rsidRPr="00451639" w:rsidRDefault="005D25FE"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 days</w:t>
            </w:r>
          </w:p>
        </w:tc>
        <w:tc>
          <w:tcPr>
            <w:tcW w:w="2551" w:type="dxa"/>
            <w:noWrap/>
            <w:hideMark/>
          </w:tcPr>
          <w:p w:rsidR="009C3AC7" w:rsidRPr="00451639" w:rsidRDefault="00232E6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232E67">
              <w:rPr>
                <w:rFonts w:ascii="Arial" w:hAnsi="Arial" w:cs="Arial"/>
                <w:snapToGrid/>
                <w:sz w:val="22"/>
                <w:szCs w:val="22"/>
                <w:lang w:eastAsia="en-GB"/>
              </w:rPr>
              <w:t>City Assays (8407)</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z w:val="22"/>
                <w:szCs w:val="22"/>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20 - 67 mU/L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Low</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z w:val="22"/>
                <w:szCs w:val="22"/>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68 - 150 mU/L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Normal</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z w:val="22"/>
                <w:szCs w:val="22"/>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 150 mU/L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 xml:space="preserve">High    </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Thyroglobulin antibody (Tg Ab)</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xml:space="preserve">&lt; </w:t>
            </w:r>
            <w:r>
              <w:rPr>
                <w:rFonts w:ascii="Arial" w:hAnsi="Arial" w:cs="Arial"/>
                <w:snapToGrid/>
                <w:sz w:val="22"/>
                <w:szCs w:val="22"/>
                <w:lang w:eastAsia="en-GB"/>
              </w:rPr>
              <w:t>5</w:t>
            </w:r>
            <w:r w:rsidRPr="00451639">
              <w:rPr>
                <w:rFonts w:ascii="Arial" w:hAnsi="Arial" w:cs="Arial"/>
                <w:snapToGrid/>
                <w:sz w:val="22"/>
                <w:szCs w:val="22"/>
                <w:lang w:eastAsia="en-GB"/>
              </w:rPr>
              <w:t xml:space="preserve"> kU/L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Thyroglobulin (Tg)</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rPr>
              <w:t>&lt; 0.14 ug/L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not ref</w:t>
            </w:r>
            <w:r w:rsidR="007F0DC2">
              <w:rPr>
                <w:rFonts w:ascii="Arial" w:hAnsi="Arial" w:cs="Arial"/>
                <w:snapToGrid/>
                <w:sz w:val="22"/>
                <w:szCs w:val="22"/>
                <w:lang w:eastAsia="en-GB"/>
              </w:rPr>
              <w:t xml:space="preserve"> range, but expected value in a</w:t>
            </w:r>
            <w:r>
              <w:rPr>
                <w:rFonts w:ascii="Arial" w:hAnsi="Arial" w:cs="Arial"/>
                <w:snapToGrid/>
                <w:sz w:val="22"/>
                <w:szCs w:val="22"/>
                <w:lang w:eastAsia="en-GB"/>
              </w:rPr>
              <w:t xml:space="preserve">thyroid individuals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Thyroid stimulating hormone (TSH)</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0.40 - 5.0 mU/L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adult ref range.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Thyroxine (T4, free)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9 - 19 pmol/L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adult ref range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Tissue transglutaminase Ab (IgA/IgG)</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&lt;10 U/mL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Tobramycin</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serum</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2 mg/L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 xml:space="preserve">Single daily dose,18 h post </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2 mg/L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BD &amp;TDS regimes, pre dose</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Toxicology screen</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napToGrid/>
                <w:sz w:val="22"/>
                <w:szCs w:val="22"/>
                <w:lang w:eastAsia="en-GB"/>
              </w:rPr>
              <w:t>not applicable</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869" w:type="dxa"/>
            <w:noWrap/>
          </w:tcPr>
          <w:p w:rsidR="009C3AC7" w:rsidRPr="00451639" w:rsidRDefault="005D25FE"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tcPr>
          <w:p w:rsidR="009C3AC7" w:rsidRPr="00451639" w:rsidRDefault="00232E6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232E67">
              <w:rPr>
                <w:rFonts w:ascii="Arial" w:hAnsi="Arial" w:cs="Arial"/>
                <w:snapToGrid/>
                <w:sz w:val="22"/>
                <w:szCs w:val="22"/>
                <w:lang w:eastAsia="en-GB"/>
              </w:rPr>
              <w:t>City Assays (8407)</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Transferrin</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2.00 - 3.60 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xml:space="preserve">Transferrin saturation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20 - 50%</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6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Triglyceride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see www.nice.org.uk/cg181 for interpretation</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Triiodothyronine (T3, free)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2.4 – 6.0 pmol/L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adult ref range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Troponin I</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plasma</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&lt;34 ng/L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&lt;16 ng/L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Tryptase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2.0 – 14.0 ug/L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1869" w:type="dxa"/>
            <w:noWrap/>
            <w:hideMark/>
          </w:tcPr>
          <w:p w:rsidR="009C3AC7" w:rsidRPr="00451639" w:rsidRDefault="005D25FE"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F6FCE">
              <w:rPr>
                <w:rFonts w:ascii="Arial" w:hAnsi="Arial" w:cs="Arial"/>
                <w:snapToGrid/>
                <w:sz w:val="22"/>
                <w:szCs w:val="22"/>
                <w:lang w:eastAsia="en-GB"/>
              </w:rPr>
              <w:t>St. George's Hospital (9745)</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Urea</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0.8 - 5.5 mmol/L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1 m</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1.0 - 5.5 mmol/L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 m - 1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2.5 - 6.5 mmol/L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lang w:val="fr-FR"/>
              </w:rPr>
              <w:t>1 y - 16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2.5 - 7.8 mmol/L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&gt; 16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Urea</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(24 h)</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330 - 580 mmol/24 h</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Uric acid</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120 - 320 umol/L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&lt;16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200 - 430 umol/L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male &gt;16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120 - 320 umol/L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 &lt;16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 </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140 - 360 umol/L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female &gt;16 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Uric acid</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urine (24 h)</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1.5 - 4.5 mmol/24 h</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 </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Valproate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 (no gel)</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 range</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not for routine monitoring</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15"/>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Vancomycin</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serum</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15 - 20 mg/L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pre dose</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6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Very long chain fatty acids (VLCFA)</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plasma (EDTA)</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9C3AC7" w:rsidRPr="00451639" w:rsidRDefault="00232E6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232E67">
              <w:rPr>
                <w:rFonts w:ascii="Arial" w:hAnsi="Arial" w:cs="Arial"/>
                <w:snapToGrid/>
                <w:sz w:val="22"/>
                <w:szCs w:val="22"/>
                <w:lang w:eastAsia="en-GB"/>
              </w:rPr>
              <w:t>St Thomas's Hospital- Synnovis</w:t>
            </w:r>
            <w:r>
              <w:rPr>
                <w:rFonts w:ascii="Arial" w:hAnsi="Arial" w:cs="Arial"/>
                <w:snapToGrid/>
                <w:sz w:val="22"/>
                <w:szCs w:val="22"/>
                <w:lang w:eastAsia="en-GB"/>
              </w:rPr>
              <w:t xml:space="preserve"> (9093)</w:t>
            </w:r>
          </w:p>
        </w:tc>
      </w:tr>
      <w:tr w:rsidR="009C3AC7" w:rsidRPr="00451639" w:rsidTr="001C679A">
        <w:trPr>
          <w:trHeight w:val="6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VIP</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plasma (EDTA)</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30 pmol/L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1869" w:type="dxa"/>
            <w:noWrap/>
          </w:tcPr>
          <w:p w:rsidR="009C3AC7" w:rsidRPr="00451639" w:rsidRDefault="00193D2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tcPr>
          <w:p w:rsidR="009C3AC7" w:rsidRPr="00451639" w:rsidRDefault="00232E6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232E67">
              <w:rPr>
                <w:rFonts w:ascii="Arial" w:hAnsi="Arial" w:cs="Arial"/>
                <w:snapToGrid/>
                <w:sz w:val="22"/>
                <w:szCs w:val="22"/>
              </w:rPr>
              <w:t>Imperial (Charing Cross) (8673)</w:t>
            </w:r>
          </w:p>
        </w:tc>
      </w:tr>
      <w:tr w:rsidR="009C3AC7" w:rsidRPr="00451639" w:rsidTr="001C679A">
        <w:trPr>
          <w:trHeight w:val="351"/>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Vitamin A</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0.70 - 1.50 umol/L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up to 7 y</w:t>
            </w:r>
          </w:p>
        </w:tc>
        <w:tc>
          <w:tcPr>
            <w:tcW w:w="1869" w:type="dxa"/>
            <w:noWrap/>
            <w:hideMark/>
          </w:tcPr>
          <w:p w:rsidR="009C3AC7" w:rsidRPr="00451639" w:rsidRDefault="00193D2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hideMark/>
          </w:tcPr>
          <w:p w:rsidR="009C3AC7" w:rsidRPr="00451639" w:rsidRDefault="002B59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232E67">
              <w:rPr>
                <w:rFonts w:ascii="Arial" w:hAnsi="Arial" w:cs="Arial"/>
                <w:snapToGrid/>
                <w:sz w:val="22"/>
                <w:szCs w:val="22"/>
                <w:lang w:eastAsia="en-GB"/>
              </w:rPr>
              <w:t>City Assays (8407)</w:t>
            </w:r>
          </w:p>
        </w:tc>
      </w:tr>
      <w:tr w:rsidR="009C3AC7" w:rsidRPr="00451639" w:rsidTr="001C679A">
        <w:trPr>
          <w:trHeight w:val="317"/>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0.90 - 1.70 umol/L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from 7 y up to 13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269"/>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0.90 - 2.50 umol/L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from 13 y up to 20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221"/>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0.99 - 3.35 umol/L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adult female (≥ 20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173"/>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0.77 - 3.95 umol/L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adult male (≥ 20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Vitamin B12</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189 - 883 ng/L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213"/>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z w:val="22"/>
                <w:szCs w:val="22"/>
              </w:rPr>
              <w:t>Vitamin B6 (pyridoxine)</w:t>
            </w: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blood (EDTA)</w:t>
            </w: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250 – 680 pmol/g Hb</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Glasgow Royal Infirmary</w:t>
            </w:r>
          </w:p>
        </w:tc>
      </w:tr>
      <w:tr w:rsidR="009C3AC7" w:rsidRPr="00451639" w:rsidTr="001C679A">
        <w:trPr>
          <w:trHeight w:val="287"/>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Vitamin B1 (thiamine)</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(li.hep)</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275 - 675 ng/g Hb</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6 weeks</w:t>
            </w:r>
          </w:p>
        </w:tc>
        <w:tc>
          <w:tcPr>
            <w:tcW w:w="2551" w:type="dxa"/>
            <w:noWrap/>
            <w:hideMark/>
          </w:tcPr>
          <w:p w:rsidR="009C3AC7" w:rsidRPr="00451639" w:rsidRDefault="002B59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2B59C7">
              <w:rPr>
                <w:rFonts w:ascii="Arial" w:hAnsi="Arial" w:cs="Arial"/>
                <w:snapToGrid/>
                <w:sz w:val="22"/>
                <w:szCs w:val="22"/>
                <w:lang w:eastAsia="en-GB"/>
              </w:rPr>
              <w:t>Glasgow Royal infirmary</w:t>
            </w:r>
            <w:r>
              <w:rPr>
                <w:rFonts w:ascii="Arial" w:hAnsi="Arial" w:cs="Arial"/>
                <w:snapToGrid/>
                <w:sz w:val="22"/>
                <w:szCs w:val="22"/>
                <w:lang w:eastAsia="en-GB"/>
              </w:rPr>
              <w:t xml:space="preserve"> (9572)</w:t>
            </w:r>
          </w:p>
        </w:tc>
      </w:tr>
      <w:tr w:rsidR="009C3AC7" w:rsidRPr="00451639" w:rsidTr="001C679A">
        <w:trPr>
          <w:trHeight w:val="293"/>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15 0 - 275 ng/g Hb</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subclinical deficiency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242"/>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&lt; 150 ng/g Hb</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clinically deficient</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Vitamin D (25-hydroxy)</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&lt;25 nmol/L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deficient</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7 days</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43"/>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25 - 50 nmol/L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insufficient</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&gt;50 nmol/L</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sufficient</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2B59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2B59C7" w:rsidRPr="00BA61BA" w:rsidRDefault="002B59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Vitamin E</w:t>
            </w:r>
          </w:p>
        </w:tc>
        <w:tc>
          <w:tcPr>
            <w:tcW w:w="2126" w:type="dxa"/>
            <w:noWrap/>
            <w:hideMark/>
          </w:tcPr>
          <w:p w:rsidR="002B59C7" w:rsidRPr="00451639" w:rsidRDefault="002B59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2B59C7" w:rsidRPr="00451639" w:rsidRDefault="002B59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11.5 - 24.4 umol/L</w:t>
            </w:r>
          </w:p>
        </w:tc>
        <w:tc>
          <w:tcPr>
            <w:tcW w:w="3260" w:type="dxa"/>
            <w:hideMark/>
          </w:tcPr>
          <w:p w:rsidR="002B59C7" w:rsidRPr="00451639" w:rsidRDefault="002B59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z w:val="22"/>
                <w:szCs w:val="22"/>
              </w:rPr>
              <w:t>up to 1 y</w:t>
            </w:r>
          </w:p>
        </w:tc>
        <w:tc>
          <w:tcPr>
            <w:tcW w:w="1869" w:type="dxa"/>
            <w:noWrap/>
            <w:hideMark/>
          </w:tcPr>
          <w:p w:rsidR="002B59C7" w:rsidRPr="00451639" w:rsidRDefault="00193D2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14 days</w:t>
            </w:r>
          </w:p>
        </w:tc>
        <w:tc>
          <w:tcPr>
            <w:tcW w:w="2551" w:type="dxa"/>
            <w:noWrap/>
            <w:hideMark/>
          </w:tcPr>
          <w:p w:rsidR="002B59C7" w:rsidRPr="00451639" w:rsidRDefault="002B59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232E67">
              <w:rPr>
                <w:rFonts w:ascii="Arial" w:hAnsi="Arial" w:cs="Arial"/>
                <w:snapToGrid/>
                <w:sz w:val="22"/>
                <w:szCs w:val="22"/>
                <w:lang w:eastAsia="en-GB"/>
              </w:rPr>
              <w:t>City Assays (8407)</w:t>
            </w: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7.0 - 21.0 umol/L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from 1 y up to 7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10.0 - 21.0 umol/L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from 7 y up to 13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13.0 - 24.0 umol/L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from 13 y up to 20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tcPr>
          <w:p w:rsidR="009C3AC7" w:rsidRPr="00BA61BA" w:rsidRDefault="009C3AC7" w:rsidP="00BA61BA">
            <w:pPr>
              <w:widowControl/>
              <w:rPr>
                <w:rFonts w:ascii="Arial" w:hAnsi="Arial" w:cs="Arial"/>
                <w:b w:val="0"/>
                <w:snapToGrid/>
                <w:sz w:val="22"/>
                <w:szCs w:val="22"/>
                <w:lang w:eastAsia="en-GB"/>
              </w:rPr>
            </w:pPr>
          </w:p>
        </w:tc>
        <w:tc>
          <w:tcPr>
            <w:tcW w:w="2126"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86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9.5 - 41.5 umol/L</w:t>
            </w:r>
          </w:p>
        </w:tc>
        <w:tc>
          <w:tcPr>
            <w:tcW w:w="3260" w:type="dxa"/>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51639">
              <w:rPr>
                <w:rFonts w:ascii="Arial" w:hAnsi="Arial" w:cs="Arial"/>
                <w:sz w:val="22"/>
                <w:szCs w:val="22"/>
              </w:rPr>
              <w:t>adults (≥ 20 y)</w:t>
            </w:r>
          </w:p>
        </w:tc>
        <w:tc>
          <w:tcPr>
            <w:tcW w:w="1869"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2551" w:type="dxa"/>
            <w:noWrap/>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9C3A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White cell enzymes</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blood (li.hep)</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8 weeks</w:t>
            </w:r>
          </w:p>
        </w:tc>
        <w:tc>
          <w:tcPr>
            <w:tcW w:w="2551" w:type="dxa"/>
            <w:noWrap/>
            <w:hideMark/>
          </w:tcPr>
          <w:p w:rsidR="009C3AC7" w:rsidRPr="00451639" w:rsidRDefault="00506C31"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506C31">
              <w:rPr>
                <w:rFonts w:ascii="Arial" w:hAnsi="Arial" w:cs="Arial"/>
                <w:snapToGrid/>
                <w:sz w:val="22"/>
                <w:szCs w:val="22"/>
                <w:lang w:eastAsia="en-GB"/>
              </w:rPr>
              <w:t>Guys Hospital- Synnovis</w:t>
            </w:r>
            <w:r>
              <w:rPr>
                <w:rFonts w:ascii="Arial" w:hAnsi="Arial" w:cs="Arial"/>
                <w:snapToGrid/>
                <w:sz w:val="22"/>
                <w:szCs w:val="22"/>
                <w:lang w:eastAsia="en-GB"/>
              </w:rPr>
              <w:t xml:space="preserve"> (8688)</w:t>
            </w:r>
          </w:p>
        </w:tc>
      </w:tr>
      <w:tr w:rsidR="009C3AC7" w:rsidRPr="00451639" w:rsidTr="001C679A">
        <w:trPr>
          <w:trHeight w:val="453"/>
        </w:trPr>
        <w:tc>
          <w:tcPr>
            <w:cnfStyle w:val="001000000000" w:firstRow="0" w:lastRow="0" w:firstColumn="1" w:lastColumn="0" w:oddVBand="0" w:evenVBand="0" w:oddHBand="0" w:evenHBand="0" w:firstRowFirstColumn="0" w:firstRowLastColumn="0" w:lastRowFirstColumn="0" w:lastRowLastColumn="0"/>
            <w:tcW w:w="2653" w:type="dxa"/>
            <w:hideMark/>
          </w:tcPr>
          <w:p w:rsidR="009C3AC7" w:rsidRPr="00BA61BA" w:rsidRDefault="009C3A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Xanthochromia</w:t>
            </w:r>
          </w:p>
        </w:tc>
        <w:tc>
          <w:tcPr>
            <w:tcW w:w="2126"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CSF</w:t>
            </w:r>
          </w:p>
        </w:tc>
        <w:tc>
          <w:tcPr>
            <w:tcW w:w="286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Contact lab.</w:t>
            </w:r>
          </w:p>
        </w:tc>
        <w:tc>
          <w:tcPr>
            <w:tcW w:w="3260" w:type="dxa"/>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see TrustNet policy</w:t>
            </w:r>
          </w:p>
        </w:tc>
        <w:tc>
          <w:tcPr>
            <w:tcW w:w="1869"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 day*</w:t>
            </w:r>
          </w:p>
        </w:tc>
        <w:tc>
          <w:tcPr>
            <w:tcW w:w="2551" w:type="dxa"/>
            <w:noWrap/>
            <w:hideMark/>
          </w:tcPr>
          <w:p w:rsidR="009C3AC7" w:rsidRPr="00451639" w:rsidRDefault="009C3A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r>
      <w:tr w:rsidR="002B59C7" w:rsidRPr="00451639" w:rsidTr="001C679A">
        <w:trPr>
          <w:trHeight w:val="300"/>
        </w:trPr>
        <w:tc>
          <w:tcPr>
            <w:cnfStyle w:val="001000000000" w:firstRow="0" w:lastRow="0" w:firstColumn="1" w:lastColumn="0" w:oddVBand="0" w:evenVBand="0" w:oddHBand="0" w:evenHBand="0" w:firstRowFirstColumn="0" w:firstRowLastColumn="0" w:lastRowFirstColumn="0" w:lastRowLastColumn="0"/>
            <w:tcW w:w="2653" w:type="dxa"/>
            <w:hideMark/>
          </w:tcPr>
          <w:p w:rsidR="002B59C7" w:rsidRPr="00BA61BA" w:rsidRDefault="002B59C7" w:rsidP="00BA61BA">
            <w:pPr>
              <w:widowControl/>
              <w:rPr>
                <w:rFonts w:ascii="Arial" w:hAnsi="Arial" w:cs="Arial"/>
                <w:b w:val="0"/>
                <w:snapToGrid/>
                <w:sz w:val="22"/>
                <w:szCs w:val="22"/>
                <w:lang w:eastAsia="en-GB"/>
              </w:rPr>
            </w:pPr>
            <w:r w:rsidRPr="00BA61BA">
              <w:rPr>
                <w:rFonts w:ascii="Arial" w:hAnsi="Arial" w:cs="Arial"/>
                <w:b w:val="0"/>
                <w:snapToGrid/>
                <w:sz w:val="22"/>
                <w:szCs w:val="22"/>
                <w:lang w:eastAsia="en-GB"/>
              </w:rPr>
              <w:t>Zinc</w:t>
            </w:r>
          </w:p>
        </w:tc>
        <w:tc>
          <w:tcPr>
            <w:tcW w:w="2126" w:type="dxa"/>
            <w:noWrap/>
            <w:hideMark/>
          </w:tcPr>
          <w:p w:rsidR="002B59C7" w:rsidRPr="00451639" w:rsidRDefault="002B59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serum</w:t>
            </w:r>
          </w:p>
        </w:tc>
        <w:tc>
          <w:tcPr>
            <w:tcW w:w="2861" w:type="dxa"/>
            <w:noWrap/>
            <w:hideMark/>
          </w:tcPr>
          <w:p w:rsidR="002B59C7" w:rsidRPr="00451639" w:rsidRDefault="002B59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451639">
              <w:rPr>
                <w:rFonts w:ascii="Arial" w:hAnsi="Arial" w:cs="Arial"/>
                <w:snapToGrid/>
                <w:sz w:val="22"/>
                <w:szCs w:val="22"/>
                <w:lang w:eastAsia="en-GB"/>
              </w:rPr>
              <w:t>11-24 umol/L</w:t>
            </w:r>
          </w:p>
        </w:tc>
        <w:tc>
          <w:tcPr>
            <w:tcW w:w="3260" w:type="dxa"/>
            <w:hideMark/>
          </w:tcPr>
          <w:p w:rsidR="002B59C7" w:rsidRPr="00451639" w:rsidRDefault="002B59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p>
        </w:tc>
        <w:tc>
          <w:tcPr>
            <w:tcW w:w="1869" w:type="dxa"/>
            <w:noWrap/>
            <w:hideMark/>
          </w:tcPr>
          <w:p w:rsidR="002B59C7" w:rsidRPr="00451639" w:rsidRDefault="00193D24"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Pr>
                <w:rFonts w:ascii="Arial" w:hAnsi="Arial" w:cs="Arial"/>
                <w:snapToGrid/>
                <w:sz w:val="22"/>
                <w:szCs w:val="22"/>
                <w:lang w:eastAsia="en-GB"/>
              </w:rPr>
              <w:t>21 days</w:t>
            </w:r>
          </w:p>
        </w:tc>
        <w:tc>
          <w:tcPr>
            <w:tcW w:w="2551" w:type="dxa"/>
            <w:noWrap/>
            <w:hideMark/>
          </w:tcPr>
          <w:p w:rsidR="002B59C7" w:rsidRPr="00451639" w:rsidRDefault="002B59C7" w:rsidP="00BA61BA">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sz w:val="22"/>
                <w:szCs w:val="22"/>
                <w:lang w:eastAsia="en-GB"/>
              </w:rPr>
            </w:pPr>
            <w:r w:rsidRPr="00232E67">
              <w:rPr>
                <w:rFonts w:ascii="Arial" w:hAnsi="Arial" w:cs="Arial"/>
                <w:snapToGrid/>
                <w:sz w:val="22"/>
                <w:szCs w:val="22"/>
                <w:lang w:eastAsia="en-GB"/>
              </w:rPr>
              <w:t>City Assays (8407)</w:t>
            </w:r>
          </w:p>
        </w:tc>
      </w:tr>
    </w:tbl>
    <w:p w:rsidR="0069769D" w:rsidRDefault="0069769D" w:rsidP="0069769D">
      <w:pPr>
        <w:rPr>
          <w:rFonts w:ascii="Arial" w:hAnsi="Arial" w:cs="Arial"/>
          <w:b/>
          <w:snapToGrid/>
          <w:sz w:val="22"/>
          <w:szCs w:val="22"/>
          <w:lang w:eastAsia="en-GB"/>
        </w:rPr>
      </w:pPr>
    </w:p>
    <w:p w:rsidR="0069769D" w:rsidRDefault="0069769D" w:rsidP="0069769D">
      <w:r w:rsidRPr="00B00F99">
        <w:rPr>
          <w:rFonts w:ascii="Arial" w:hAnsi="Arial" w:cs="Arial"/>
          <w:b/>
          <w:snapToGrid/>
          <w:sz w:val="22"/>
          <w:szCs w:val="22"/>
          <w:lang w:eastAsia="en-GB"/>
        </w:rPr>
        <w:t>TESTS HIGHLIGH</w:t>
      </w:r>
      <w:r>
        <w:rPr>
          <w:rFonts w:ascii="Arial" w:hAnsi="Arial" w:cs="Arial"/>
          <w:b/>
          <w:snapToGrid/>
          <w:sz w:val="22"/>
          <w:szCs w:val="22"/>
          <w:lang w:eastAsia="en-GB"/>
        </w:rPr>
        <w:t>T</w:t>
      </w:r>
      <w:r w:rsidRPr="00B00F99">
        <w:rPr>
          <w:rFonts w:ascii="Arial" w:hAnsi="Arial" w:cs="Arial"/>
          <w:b/>
          <w:snapToGrid/>
          <w:sz w:val="22"/>
          <w:szCs w:val="22"/>
          <w:lang w:eastAsia="en-GB"/>
        </w:rPr>
        <w:t>ED</w:t>
      </w:r>
      <w:r w:rsidRPr="00451639">
        <w:rPr>
          <w:rFonts w:ascii="Arial" w:hAnsi="Arial" w:cs="Arial"/>
          <w:b/>
          <w:bCs/>
          <w:snapToGrid/>
          <w:sz w:val="22"/>
          <w:szCs w:val="22"/>
          <w:lang w:eastAsia="en-GB"/>
        </w:rPr>
        <w:t xml:space="preserve"> ARE NOT CURRENTLY UKAS ACCREDITED</w:t>
      </w:r>
    </w:p>
    <w:p w:rsidR="00506C31" w:rsidRDefault="00506C31" w:rsidP="00506C31">
      <w:pPr>
        <w:widowControl/>
        <w:spacing w:after="200" w:line="276" w:lineRule="auto"/>
        <w:rPr>
          <w:rFonts w:ascii="Calibri" w:eastAsia="Calibri" w:hAnsi="Calibri"/>
          <w:b/>
          <w:snapToGrid/>
          <w:kern w:val="28"/>
          <w:sz w:val="22"/>
          <w:szCs w:val="22"/>
        </w:rPr>
        <w:sectPr w:rsidR="00506C31" w:rsidSect="004C701E">
          <w:pgSz w:w="16840" w:h="11907" w:orient="landscape" w:code="9"/>
          <w:pgMar w:top="794" w:right="720" w:bottom="737" w:left="720" w:header="709" w:footer="709" w:gutter="0"/>
          <w:cols w:space="708"/>
          <w:docGrid w:linePitch="360"/>
        </w:sectPr>
      </w:pPr>
    </w:p>
    <w:p w:rsidR="008B2EA7" w:rsidRDefault="00C56402" w:rsidP="00C56402">
      <w:pPr>
        <w:pStyle w:val="Heading1"/>
      </w:pPr>
      <w:r>
        <w:t xml:space="preserve">22. </w:t>
      </w:r>
      <w:r w:rsidR="00CD3A1F">
        <w:t>REFERRAL LABORATORIE</w:t>
      </w:r>
      <w:r w:rsidR="005214A0">
        <w:t>S</w:t>
      </w:r>
    </w:p>
    <w:p w:rsidR="0069769D" w:rsidRPr="0069769D" w:rsidRDefault="0069769D" w:rsidP="0069769D"/>
    <w:p w:rsidR="00674CB2" w:rsidRDefault="008B2EA7" w:rsidP="005214A0">
      <w:pPr>
        <w:tabs>
          <w:tab w:val="left" w:pos="426"/>
        </w:tabs>
        <w:ind w:left="4395" w:hanging="4111"/>
        <w:rPr>
          <w:snapToGrid/>
          <w:sz w:val="20"/>
          <w:lang w:eastAsia="en-GB"/>
        </w:rPr>
      </w:pPr>
      <w:r>
        <w:fldChar w:fldCharType="begin"/>
      </w:r>
      <w:r>
        <w:instrText xml:space="preserve"> LINK </w:instrText>
      </w:r>
      <w:r w:rsidR="00E61534">
        <w:instrText xml:space="preserve">Excel.OpenDocumentSpreadsheet.12 "\\\\share.ad.ekhuft.nhs.uk\\share\\Path\\Staff\\Clinical Biochemistry\\QualityMgmt\\UKAS\\visit June 2019\\test repertoire.ods 1.7.19hh.ods" referral_labs!R1C1:R11C3 </w:instrText>
      </w:r>
      <w:r>
        <w:instrText xml:space="preserve">\a \f 4 \h </w:instrText>
      </w:r>
      <w:r w:rsidR="00E472A8">
        <w:instrText xml:space="preserve"> \* MERGEFORMAT </w:instrText>
      </w:r>
      <w:r w:rsidR="00674CB2">
        <w:fldChar w:fldCharType="separate"/>
      </w:r>
    </w:p>
    <w:tbl>
      <w:tblPr>
        <w:tblStyle w:val="GridTable1Light-Accent1"/>
        <w:tblW w:w="10120" w:type="dxa"/>
        <w:tblLook w:val="04A0" w:firstRow="1" w:lastRow="0" w:firstColumn="1" w:lastColumn="0" w:noHBand="0" w:noVBand="1"/>
      </w:tblPr>
      <w:tblGrid>
        <w:gridCol w:w="2900"/>
        <w:gridCol w:w="3580"/>
        <w:gridCol w:w="3640"/>
      </w:tblGrid>
      <w:tr w:rsidR="00674CB2" w:rsidRPr="00674CB2" w:rsidTr="00674CB2">
        <w:trPr>
          <w:cnfStyle w:val="100000000000" w:firstRow="1" w:lastRow="0" w:firstColumn="0" w:lastColumn="0" w:oddVBand="0" w:evenVBand="0" w:oddHBand="0" w:evenHBand="0" w:firstRowFirstColumn="0" w:firstRowLastColumn="0" w:lastRowFirstColumn="0" w:lastRowLastColumn="0"/>
          <w:divId w:val="40444025"/>
          <w:trHeight w:val="454"/>
        </w:trPr>
        <w:tc>
          <w:tcPr>
            <w:cnfStyle w:val="001000000000" w:firstRow="0" w:lastRow="0" w:firstColumn="1" w:lastColumn="0" w:oddVBand="0" w:evenVBand="0" w:oddHBand="0" w:evenHBand="0" w:firstRowFirstColumn="0" w:firstRowLastColumn="0" w:lastRowFirstColumn="0" w:lastRowLastColumn="0"/>
            <w:tcW w:w="2900" w:type="dxa"/>
            <w:shd w:val="clear" w:color="auto" w:fill="auto"/>
            <w:noWrap/>
            <w:hideMark/>
          </w:tcPr>
          <w:p w:rsidR="00674CB2" w:rsidRPr="00674CB2" w:rsidRDefault="00674CB2" w:rsidP="00674CB2">
            <w:pPr>
              <w:widowControl/>
              <w:rPr>
                <w:rFonts w:ascii="Arial" w:hAnsi="Arial" w:cs="Arial"/>
                <w:snapToGrid/>
                <w:color w:val="000000"/>
                <w:sz w:val="22"/>
                <w:szCs w:val="22"/>
                <w:lang w:eastAsia="en-GB"/>
              </w:rPr>
            </w:pPr>
            <w:r w:rsidRPr="00674CB2">
              <w:rPr>
                <w:rFonts w:ascii="Arial" w:hAnsi="Arial" w:cs="Arial"/>
                <w:snapToGrid/>
                <w:color w:val="000000"/>
                <w:sz w:val="22"/>
                <w:szCs w:val="22"/>
                <w:lang w:eastAsia="en-GB"/>
              </w:rPr>
              <w:t>REFERRAL LABORATORY</w:t>
            </w:r>
          </w:p>
        </w:tc>
        <w:tc>
          <w:tcPr>
            <w:tcW w:w="3580" w:type="dxa"/>
            <w:shd w:val="clear" w:color="auto" w:fill="auto"/>
            <w:noWrap/>
            <w:hideMark/>
          </w:tcPr>
          <w:p w:rsidR="00674CB2" w:rsidRPr="00674CB2" w:rsidRDefault="00674CB2" w:rsidP="00674CB2">
            <w:pPr>
              <w:widowControl/>
              <w:cnfStyle w:val="100000000000" w:firstRow="1" w:lastRow="0" w:firstColumn="0" w:lastColumn="0" w:oddVBand="0" w:evenVBand="0" w:oddHBand="0" w:evenHBand="0" w:firstRowFirstColumn="0" w:firstRowLastColumn="0" w:lastRowFirstColumn="0" w:lastRowLastColumn="0"/>
            </w:pPr>
            <w:r w:rsidRPr="00674CB2">
              <w:rPr>
                <w:rFonts w:ascii="Arial" w:hAnsi="Arial" w:cs="Arial"/>
                <w:b w:val="0"/>
                <w:snapToGrid/>
                <w:color w:val="000000"/>
                <w:sz w:val="22"/>
                <w:szCs w:val="22"/>
                <w:lang w:eastAsia="en-GB"/>
              </w:rPr>
              <w:t> </w:t>
            </w:r>
          </w:p>
        </w:tc>
        <w:tc>
          <w:tcPr>
            <w:tcW w:w="3640" w:type="dxa"/>
            <w:shd w:val="clear" w:color="auto" w:fill="auto"/>
            <w:noWrap/>
            <w:hideMark/>
          </w:tcPr>
          <w:p w:rsidR="00674CB2" w:rsidRPr="00674CB2" w:rsidRDefault="00674CB2" w:rsidP="00674CB2">
            <w:pPr>
              <w:widowControl/>
              <w:cnfStyle w:val="100000000000" w:firstRow="1" w:lastRow="0" w:firstColumn="0" w:lastColumn="0" w:oddVBand="0" w:evenVBand="0" w:oddHBand="0" w:evenHBand="0" w:firstRowFirstColumn="0" w:firstRowLastColumn="0" w:lastRowFirstColumn="0" w:lastRowLastColumn="0"/>
            </w:pPr>
            <w:r w:rsidRPr="00674CB2">
              <w:rPr>
                <w:rFonts w:ascii="Arial" w:hAnsi="Arial" w:cs="Arial"/>
                <w:b w:val="0"/>
                <w:snapToGrid/>
                <w:color w:val="000000"/>
                <w:sz w:val="22"/>
                <w:szCs w:val="22"/>
                <w:lang w:eastAsia="en-GB"/>
              </w:rPr>
              <w:t> </w:t>
            </w:r>
          </w:p>
        </w:tc>
      </w:tr>
      <w:tr w:rsidR="00674CB2" w:rsidRPr="00674CB2" w:rsidTr="00674CB2">
        <w:trPr>
          <w:divId w:val="40444025"/>
          <w:trHeight w:val="1800"/>
        </w:trPr>
        <w:tc>
          <w:tcPr>
            <w:cnfStyle w:val="001000000000" w:firstRow="0" w:lastRow="0" w:firstColumn="1" w:lastColumn="0" w:oddVBand="0" w:evenVBand="0" w:oddHBand="0" w:evenHBand="0" w:firstRowFirstColumn="0" w:firstRowLastColumn="0" w:lastRowFirstColumn="0" w:lastRowLastColumn="0"/>
            <w:tcW w:w="2900" w:type="dxa"/>
            <w:shd w:val="clear" w:color="auto" w:fill="auto"/>
            <w:hideMark/>
          </w:tcPr>
          <w:p w:rsidR="00674CB2" w:rsidRPr="00674CB2" w:rsidRDefault="00674CB2" w:rsidP="00674CB2">
            <w:pPr>
              <w:widowControl/>
              <w:rPr>
                <w:rFonts w:ascii="Arial" w:hAnsi="Arial" w:cs="Arial"/>
                <w:b w:val="0"/>
                <w:snapToGrid/>
                <w:color w:val="000000"/>
                <w:sz w:val="22"/>
                <w:szCs w:val="22"/>
                <w:lang w:eastAsia="en-GB"/>
              </w:rPr>
            </w:pPr>
            <w:r w:rsidRPr="00674CB2">
              <w:rPr>
                <w:rFonts w:ascii="Arial" w:hAnsi="Arial" w:cs="Arial"/>
                <w:b w:val="0"/>
                <w:snapToGrid/>
                <w:color w:val="000000"/>
                <w:sz w:val="22"/>
                <w:szCs w:val="22"/>
                <w:lang w:eastAsia="en-GB"/>
              </w:rPr>
              <w:t>Black Country Pathology Services (City assays)</w:t>
            </w:r>
            <w:r w:rsidRPr="00674CB2">
              <w:rPr>
                <w:rFonts w:ascii="Arial" w:hAnsi="Arial" w:cs="Arial"/>
                <w:b w:val="0"/>
                <w:snapToGrid/>
                <w:color w:val="000000"/>
                <w:sz w:val="22"/>
                <w:szCs w:val="22"/>
                <w:lang w:eastAsia="en-GB"/>
              </w:rPr>
              <w:br/>
              <w:t>Birmingham City Hospital,</w:t>
            </w:r>
            <w:r w:rsidRPr="00674CB2">
              <w:rPr>
                <w:rFonts w:ascii="Arial" w:hAnsi="Arial" w:cs="Arial"/>
                <w:b w:val="0"/>
                <w:snapToGrid/>
                <w:color w:val="000000"/>
                <w:sz w:val="22"/>
                <w:szCs w:val="22"/>
                <w:lang w:eastAsia="en-GB"/>
              </w:rPr>
              <w:br/>
              <w:t>Dudley Road,</w:t>
            </w:r>
            <w:r w:rsidRPr="00674CB2">
              <w:rPr>
                <w:rFonts w:ascii="Arial" w:hAnsi="Arial" w:cs="Arial"/>
                <w:b w:val="0"/>
                <w:snapToGrid/>
                <w:color w:val="000000"/>
                <w:sz w:val="22"/>
                <w:szCs w:val="22"/>
                <w:lang w:eastAsia="en-GB"/>
              </w:rPr>
              <w:br/>
              <w:t>Birmingham B18 7QH</w:t>
            </w:r>
          </w:p>
        </w:tc>
        <w:tc>
          <w:tcPr>
            <w:tcW w:w="3580" w:type="dxa"/>
            <w:shd w:val="clear" w:color="auto" w:fill="auto"/>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 xml:space="preserve">Cardiff toxicology Laboratory </w:t>
            </w:r>
            <w:r w:rsidRPr="00674CB2">
              <w:rPr>
                <w:rFonts w:ascii="Arial" w:hAnsi="Arial" w:cs="Arial"/>
                <w:snapToGrid/>
                <w:color w:val="000000"/>
                <w:sz w:val="22"/>
                <w:szCs w:val="22"/>
                <w:lang w:eastAsia="en-GB"/>
              </w:rPr>
              <w:br/>
              <w:t xml:space="preserve">The Academic Centre </w:t>
            </w:r>
            <w:r w:rsidRPr="00674CB2">
              <w:rPr>
                <w:rFonts w:ascii="Arial" w:hAnsi="Arial" w:cs="Arial"/>
                <w:snapToGrid/>
                <w:color w:val="000000"/>
                <w:sz w:val="22"/>
                <w:szCs w:val="22"/>
                <w:lang w:eastAsia="en-GB"/>
              </w:rPr>
              <w:br/>
              <w:t xml:space="preserve">Llandough Hospital </w:t>
            </w:r>
            <w:r w:rsidRPr="00674CB2">
              <w:rPr>
                <w:rFonts w:ascii="Arial" w:hAnsi="Arial" w:cs="Arial"/>
                <w:snapToGrid/>
                <w:color w:val="000000"/>
                <w:sz w:val="22"/>
                <w:szCs w:val="22"/>
                <w:lang w:eastAsia="en-GB"/>
              </w:rPr>
              <w:br/>
              <w:t xml:space="preserve">Penarth </w:t>
            </w:r>
            <w:r w:rsidRPr="00674CB2">
              <w:rPr>
                <w:rFonts w:ascii="Arial" w:hAnsi="Arial" w:cs="Arial"/>
                <w:snapToGrid/>
                <w:color w:val="000000"/>
                <w:sz w:val="22"/>
                <w:szCs w:val="22"/>
                <w:lang w:eastAsia="en-GB"/>
              </w:rPr>
              <w:br/>
              <w:t>CF64 2XX</w:t>
            </w:r>
          </w:p>
        </w:tc>
        <w:tc>
          <w:tcPr>
            <w:tcW w:w="3640" w:type="dxa"/>
            <w:shd w:val="clear" w:color="auto" w:fill="auto"/>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Charing Cross Hospital,</w:t>
            </w:r>
            <w:r w:rsidRPr="00674CB2">
              <w:rPr>
                <w:rFonts w:ascii="Arial" w:hAnsi="Arial" w:cs="Arial"/>
                <w:snapToGrid/>
                <w:color w:val="000000"/>
                <w:sz w:val="22"/>
                <w:szCs w:val="22"/>
                <w:lang w:eastAsia="en-GB"/>
              </w:rPr>
              <w:br/>
              <w:t>(Imperial College Healthcare),</w:t>
            </w:r>
            <w:r w:rsidRPr="00674CB2">
              <w:rPr>
                <w:rFonts w:ascii="Arial" w:hAnsi="Arial" w:cs="Arial"/>
                <w:snapToGrid/>
                <w:color w:val="000000"/>
                <w:sz w:val="22"/>
                <w:szCs w:val="22"/>
                <w:lang w:eastAsia="en-GB"/>
              </w:rPr>
              <w:br/>
              <w:t>The SAS Laboratory,</w:t>
            </w:r>
            <w:r w:rsidRPr="00674CB2">
              <w:rPr>
                <w:rFonts w:ascii="Arial" w:hAnsi="Arial" w:cs="Arial"/>
                <w:snapToGrid/>
                <w:color w:val="000000"/>
                <w:sz w:val="22"/>
                <w:szCs w:val="22"/>
                <w:lang w:eastAsia="en-GB"/>
              </w:rPr>
              <w:br/>
              <w:t>Fulham Palace Road,</w:t>
            </w:r>
            <w:r w:rsidRPr="00674CB2">
              <w:rPr>
                <w:rFonts w:ascii="Arial" w:hAnsi="Arial" w:cs="Arial"/>
                <w:snapToGrid/>
                <w:color w:val="000000"/>
                <w:sz w:val="22"/>
                <w:szCs w:val="22"/>
                <w:lang w:eastAsia="en-GB"/>
              </w:rPr>
              <w:br/>
              <w:t>London W6 8RF</w:t>
            </w:r>
          </w:p>
        </w:tc>
      </w:tr>
      <w:tr w:rsidR="00674CB2" w:rsidRPr="00674CB2" w:rsidTr="00674CB2">
        <w:trPr>
          <w:divId w:val="40444025"/>
          <w:trHeight w:val="2100"/>
        </w:trPr>
        <w:tc>
          <w:tcPr>
            <w:cnfStyle w:val="001000000000" w:firstRow="0" w:lastRow="0" w:firstColumn="1" w:lastColumn="0" w:oddVBand="0" w:evenVBand="0" w:oddHBand="0" w:evenHBand="0" w:firstRowFirstColumn="0" w:firstRowLastColumn="0" w:lastRowFirstColumn="0" w:lastRowLastColumn="0"/>
            <w:tcW w:w="2900" w:type="dxa"/>
            <w:hideMark/>
          </w:tcPr>
          <w:p w:rsidR="00674CB2" w:rsidRPr="00674CB2" w:rsidRDefault="00674CB2" w:rsidP="00674CB2">
            <w:pPr>
              <w:widowControl/>
              <w:rPr>
                <w:rFonts w:ascii="Arial" w:hAnsi="Arial" w:cs="Arial"/>
                <w:b w:val="0"/>
                <w:snapToGrid/>
                <w:color w:val="000000"/>
                <w:sz w:val="22"/>
                <w:szCs w:val="22"/>
                <w:lang w:eastAsia="en-GB"/>
              </w:rPr>
            </w:pPr>
            <w:r w:rsidRPr="00674CB2">
              <w:rPr>
                <w:rFonts w:ascii="Arial" w:hAnsi="Arial" w:cs="Arial"/>
                <w:b w:val="0"/>
                <w:snapToGrid/>
                <w:color w:val="000000"/>
                <w:sz w:val="22"/>
                <w:szCs w:val="22"/>
                <w:lang w:eastAsia="en-GB"/>
              </w:rPr>
              <w:t>Glasgow Royal Infirmary,</w:t>
            </w:r>
            <w:r w:rsidRPr="00674CB2">
              <w:rPr>
                <w:rFonts w:ascii="Arial" w:hAnsi="Arial" w:cs="Arial"/>
                <w:b w:val="0"/>
                <w:snapToGrid/>
                <w:color w:val="000000"/>
                <w:sz w:val="22"/>
                <w:szCs w:val="22"/>
                <w:lang w:eastAsia="en-GB"/>
              </w:rPr>
              <w:br/>
              <w:t>Department of Clinical Biochemistry,</w:t>
            </w:r>
            <w:r w:rsidRPr="00674CB2">
              <w:rPr>
                <w:rFonts w:ascii="Arial" w:hAnsi="Arial" w:cs="Arial"/>
                <w:b w:val="0"/>
                <w:snapToGrid/>
                <w:color w:val="000000"/>
                <w:sz w:val="22"/>
                <w:szCs w:val="22"/>
                <w:lang w:eastAsia="en-GB"/>
              </w:rPr>
              <w:br/>
              <w:t xml:space="preserve">Macewan Building, </w:t>
            </w:r>
            <w:r w:rsidRPr="00674CB2">
              <w:rPr>
                <w:rFonts w:ascii="Arial" w:hAnsi="Arial" w:cs="Arial"/>
                <w:b w:val="0"/>
                <w:snapToGrid/>
                <w:color w:val="000000"/>
                <w:sz w:val="22"/>
                <w:szCs w:val="22"/>
                <w:lang w:eastAsia="en-GB"/>
              </w:rPr>
              <w:br/>
              <w:t>Glasgow G4 0SF</w:t>
            </w:r>
          </w:p>
        </w:tc>
        <w:tc>
          <w:tcPr>
            <w:tcW w:w="3580" w:type="dxa"/>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Great Ormond Street Hospital for Children,</w:t>
            </w:r>
            <w:r w:rsidRPr="00674CB2">
              <w:rPr>
                <w:rFonts w:ascii="Arial" w:hAnsi="Arial" w:cs="Arial"/>
                <w:snapToGrid/>
                <w:color w:val="000000"/>
                <w:sz w:val="22"/>
                <w:szCs w:val="22"/>
                <w:lang w:eastAsia="en-GB"/>
              </w:rPr>
              <w:br/>
              <w:t>Chemical Pathology, Camilia Botnar Laboratories,</w:t>
            </w:r>
            <w:r w:rsidRPr="00674CB2">
              <w:rPr>
                <w:rFonts w:ascii="Arial" w:hAnsi="Arial" w:cs="Arial"/>
                <w:snapToGrid/>
                <w:color w:val="000000"/>
                <w:sz w:val="22"/>
                <w:szCs w:val="22"/>
                <w:lang w:eastAsia="en-GB"/>
              </w:rPr>
              <w:br/>
              <w:t>Great Ormond Street,</w:t>
            </w:r>
            <w:r w:rsidRPr="00674CB2">
              <w:rPr>
                <w:rFonts w:ascii="Arial" w:hAnsi="Arial" w:cs="Arial"/>
                <w:snapToGrid/>
                <w:color w:val="000000"/>
                <w:sz w:val="22"/>
                <w:szCs w:val="22"/>
                <w:lang w:eastAsia="en-GB"/>
              </w:rPr>
              <w:br/>
              <w:t xml:space="preserve">London WC1N 3JH </w:t>
            </w:r>
          </w:p>
        </w:tc>
        <w:tc>
          <w:tcPr>
            <w:tcW w:w="3640" w:type="dxa"/>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Viapath</w:t>
            </w:r>
            <w:r w:rsidRPr="00674CB2">
              <w:rPr>
                <w:rFonts w:ascii="Arial" w:hAnsi="Arial" w:cs="Arial"/>
                <w:snapToGrid/>
                <w:color w:val="000000"/>
                <w:sz w:val="22"/>
                <w:szCs w:val="22"/>
                <w:lang w:eastAsia="en-GB"/>
              </w:rPr>
              <w:br/>
              <w:t>Guy’s and St. Thomas’ Hospital NHS Trust,</w:t>
            </w:r>
            <w:r w:rsidRPr="00674CB2">
              <w:rPr>
                <w:rFonts w:ascii="Arial" w:hAnsi="Arial" w:cs="Arial"/>
                <w:snapToGrid/>
                <w:color w:val="000000"/>
                <w:sz w:val="22"/>
                <w:szCs w:val="22"/>
                <w:lang w:eastAsia="en-GB"/>
              </w:rPr>
              <w:br/>
              <w:t>Central Pathology Reception,</w:t>
            </w:r>
            <w:r w:rsidRPr="00674CB2">
              <w:rPr>
                <w:rFonts w:ascii="Arial" w:hAnsi="Arial" w:cs="Arial"/>
                <w:snapToGrid/>
                <w:color w:val="000000"/>
                <w:sz w:val="22"/>
                <w:szCs w:val="22"/>
                <w:lang w:eastAsia="en-GB"/>
              </w:rPr>
              <w:br/>
              <w:t>5th Floor, North Wing, London SE1 7EH</w:t>
            </w:r>
          </w:p>
        </w:tc>
      </w:tr>
      <w:tr w:rsidR="00674CB2" w:rsidRPr="00674CB2" w:rsidTr="00674CB2">
        <w:trPr>
          <w:divId w:val="40444025"/>
          <w:trHeight w:val="1800"/>
        </w:trPr>
        <w:tc>
          <w:tcPr>
            <w:cnfStyle w:val="001000000000" w:firstRow="0" w:lastRow="0" w:firstColumn="1" w:lastColumn="0" w:oddVBand="0" w:evenVBand="0" w:oddHBand="0" w:evenHBand="0" w:firstRowFirstColumn="0" w:firstRowLastColumn="0" w:lastRowFirstColumn="0" w:lastRowLastColumn="0"/>
            <w:tcW w:w="2900" w:type="dxa"/>
            <w:hideMark/>
          </w:tcPr>
          <w:p w:rsidR="00674CB2" w:rsidRPr="00674CB2" w:rsidRDefault="00674CB2" w:rsidP="00674CB2">
            <w:pPr>
              <w:widowControl/>
              <w:rPr>
                <w:rFonts w:ascii="Arial" w:hAnsi="Arial" w:cs="Arial"/>
                <w:b w:val="0"/>
                <w:snapToGrid/>
                <w:color w:val="000000"/>
                <w:sz w:val="22"/>
                <w:szCs w:val="22"/>
                <w:lang w:eastAsia="en-GB"/>
              </w:rPr>
            </w:pPr>
            <w:r w:rsidRPr="00674CB2">
              <w:rPr>
                <w:rFonts w:ascii="Arial" w:hAnsi="Arial" w:cs="Arial"/>
                <w:b w:val="0"/>
                <w:snapToGrid/>
                <w:color w:val="000000"/>
                <w:sz w:val="22"/>
                <w:szCs w:val="22"/>
                <w:lang w:eastAsia="en-GB"/>
              </w:rPr>
              <w:t>Viapath</w:t>
            </w:r>
            <w:r w:rsidRPr="00674CB2">
              <w:rPr>
                <w:rFonts w:ascii="Arial" w:hAnsi="Arial" w:cs="Arial"/>
                <w:b w:val="0"/>
                <w:snapToGrid/>
                <w:color w:val="000000"/>
                <w:sz w:val="22"/>
                <w:szCs w:val="22"/>
                <w:lang w:eastAsia="en-GB"/>
              </w:rPr>
              <w:br/>
              <w:t>Kings College Hospital,</w:t>
            </w:r>
            <w:r w:rsidRPr="00674CB2">
              <w:rPr>
                <w:rFonts w:ascii="Arial" w:hAnsi="Arial" w:cs="Arial"/>
                <w:b w:val="0"/>
                <w:snapToGrid/>
                <w:color w:val="000000"/>
                <w:sz w:val="22"/>
                <w:szCs w:val="22"/>
                <w:lang w:eastAsia="en-GB"/>
              </w:rPr>
              <w:br/>
              <w:t>Denmark Hill,</w:t>
            </w:r>
            <w:r w:rsidRPr="00674CB2">
              <w:rPr>
                <w:rFonts w:ascii="Arial" w:hAnsi="Arial" w:cs="Arial"/>
                <w:b w:val="0"/>
                <w:snapToGrid/>
                <w:color w:val="000000"/>
                <w:sz w:val="22"/>
                <w:szCs w:val="22"/>
                <w:lang w:eastAsia="en-GB"/>
              </w:rPr>
              <w:br/>
              <w:t>London SE5 9RS</w:t>
            </w:r>
          </w:p>
        </w:tc>
        <w:tc>
          <w:tcPr>
            <w:tcW w:w="3580" w:type="dxa"/>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King George’s Hospital,</w:t>
            </w:r>
            <w:r w:rsidRPr="00674CB2">
              <w:rPr>
                <w:rFonts w:ascii="Arial" w:hAnsi="Arial" w:cs="Arial"/>
                <w:snapToGrid/>
                <w:color w:val="000000"/>
                <w:sz w:val="22"/>
                <w:szCs w:val="22"/>
                <w:lang w:eastAsia="en-GB"/>
              </w:rPr>
              <w:br/>
              <w:t>Prenatal Screening Laboratory,</w:t>
            </w:r>
            <w:r w:rsidRPr="00674CB2">
              <w:rPr>
                <w:rFonts w:ascii="Arial" w:hAnsi="Arial" w:cs="Arial"/>
                <w:snapToGrid/>
                <w:color w:val="000000"/>
                <w:sz w:val="22"/>
                <w:szCs w:val="22"/>
                <w:lang w:eastAsia="en-GB"/>
              </w:rPr>
              <w:br/>
              <w:t>Barley Lane, Goodmayes,</w:t>
            </w:r>
            <w:r w:rsidRPr="00674CB2">
              <w:rPr>
                <w:rFonts w:ascii="Arial" w:hAnsi="Arial" w:cs="Arial"/>
                <w:snapToGrid/>
                <w:color w:val="000000"/>
                <w:sz w:val="22"/>
                <w:szCs w:val="22"/>
                <w:lang w:eastAsia="en-GB"/>
              </w:rPr>
              <w:br/>
              <w:t>Essex IG3 8YB</w:t>
            </w:r>
          </w:p>
        </w:tc>
        <w:tc>
          <w:tcPr>
            <w:tcW w:w="3640" w:type="dxa"/>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Maidstone &amp; Tunbridge Wells (MTW) NHS Trust,</w:t>
            </w:r>
            <w:r w:rsidRPr="00674CB2">
              <w:rPr>
                <w:rFonts w:ascii="Arial" w:hAnsi="Arial" w:cs="Arial"/>
                <w:snapToGrid/>
                <w:color w:val="000000"/>
                <w:sz w:val="22"/>
                <w:szCs w:val="22"/>
                <w:lang w:eastAsia="en-GB"/>
              </w:rPr>
              <w:br/>
              <w:t>Hermitage Lane,</w:t>
            </w:r>
            <w:r w:rsidRPr="00674CB2">
              <w:rPr>
                <w:rFonts w:ascii="Arial" w:hAnsi="Arial" w:cs="Arial"/>
                <w:snapToGrid/>
                <w:color w:val="000000"/>
                <w:sz w:val="22"/>
                <w:szCs w:val="22"/>
                <w:lang w:eastAsia="en-GB"/>
              </w:rPr>
              <w:br/>
              <w:t>Maidstone,</w:t>
            </w:r>
            <w:r w:rsidRPr="00674CB2">
              <w:rPr>
                <w:rFonts w:ascii="Arial" w:hAnsi="Arial" w:cs="Arial"/>
                <w:snapToGrid/>
                <w:color w:val="000000"/>
                <w:sz w:val="22"/>
                <w:szCs w:val="22"/>
                <w:lang w:eastAsia="en-GB"/>
              </w:rPr>
              <w:br/>
              <w:t>Kent</w:t>
            </w:r>
          </w:p>
        </w:tc>
      </w:tr>
      <w:tr w:rsidR="00674CB2" w:rsidRPr="00674CB2" w:rsidTr="00674CB2">
        <w:trPr>
          <w:divId w:val="40444025"/>
          <w:trHeight w:val="3000"/>
        </w:trPr>
        <w:tc>
          <w:tcPr>
            <w:cnfStyle w:val="001000000000" w:firstRow="0" w:lastRow="0" w:firstColumn="1" w:lastColumn="0" w:oddVBand="0" w:evenVBand="0" w:oddHBand="0" w:evenHBand="0" w:firstRowFirstColumn="0" w:firstRowLastColumn="0" w:lastRowFirstColumn="0" w:lastRowLastColumn="0"/>
            <w:tcW w:w="2900" w:type="dxa"/>
            <w:hideMark/>
          </w:tcPr>
          <w:p w:rsidR="00674CB2" w:rsidRPr="00674CB2" w:rsidRDefault="00674CB2" w:rsidP="00674CB2">
            <w:pPr>
              <w:widowControl/>
              <w:rPr>
                <w:rFonts w:ascii="Arial" w:hAnsi="Arial" w:cs="Arial"/>
                <w:b w:val="0"/>
                <w:snapToGrid/>
                <w:color w:val="000000"/>
                <w:sz w:val="22"/>
                <w:szCs w:val="22"/>
                <w:lang w:eastAsia="en-GB"/>
              </w:rPr>
            </w:pPr>
            <w:r w:rsidRPr="00674CB2">
              <w:rPr>
                <w:rFonts w:ascii="Arial" w:hAnsi="Arial" w:cs="Arial"/>
                <w:b w:val="0"/>
                <w:snapToGrid/>
                <w:color w:val="000000"/>
                <w:sz w:val="22"/>
                <w:szCs w:val="22"/>
                <w:lang w:eastAsia="en-GB"/>
              </w:rPr>
              <w:t>Medway Maritime Hospital,</w:t>
            </w:r>
            <w:r w:rsidRPr="00674CB2">
              <w:rPr>
                <w:rFonts w:ascii="Arial" w:hAnsi="Arial" w:cs="Arial"/>
                <w:b w:val="0"/>
                <w:snapToGrid/>
                <w:color w:val="000000"/>
                <w:sz w:val="22"/>
                <w:szCs w:val="22"/>
                <w:lang w:eastAsia="en-GB"/>
              </w:rPr>
              <w:br/>
              <w:t>Windmill Road,</w:t>
            </w:r>
            <w:r w:rsidRPr="00674CB2">
              <w:rPr>
                <w:rFonts w:ascii="Arial" w:hAnsi="Arial" w:cs="Arial"/>
                <w:b w:val="0"/>
                <w:snapToGrid/>
                <w:color w:val="000000"/>
                <w:sz w:val="22"/>
                <w:szCs w:val="22"/>
                <w:lang w:eastAsia="en-GB"/>
              </w:rPr>
              <w:br/>
              <w:t>Gillingham ME7 5NY</w:t>
            </w:r>
          </w:p>
        </w:tc>
        <w:tc>
          <w:tcPr>
            <w:tcW w:w="3580" w:type="dxa"/>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Immunology Department,</w:t>
            </w:r>
            <w:r w:rsidRPr="00674CB2">
              <w:rPr>
                <w:rFonts w:ascii="Arial" w:hAnsi="Arial" w:cs="Arial"/>
                <w:snapToGrid/>
                <w:color w:val="000000"/>
                <w:sz w:val="22"/>
                <w:szCs w:val="22"/>
                <w:lang w:eastAsia="en-GB"/>
              </w:rPr>
              <w:br/>
              <w:t>Churchill Hospital</w:t>
            </w:r>
            <w:r w:rsidRPr="00674CB2">
              <w:rPr>
                <w:rFonts w:ascii="Arial" w:hAnsi="Arial" w:cs="Arial"/>
                <w:snapToGrid/>
                <w:color w:val="000000"/>
                <w:sz w:val="22"/>
                <w:szCs w:val="22"/>
                <w:lang w:eastAsia="en-GB"/>
              </w:rPr>
              <w:br/>
              <w:t>Headington, Oxford</w:t>
            </w:r>
            <w:r w:rsidRPr="00674CB2">
              <w:rPr>
                <w:rFonts w:ascii="Arial" w:hAnsi="Arial" w:cs="Arial"/>
                <w:snapToGrid/>
                <w:color w:val="000000"/>
                <w:sz w:val="22"/>
                <w:szCs w:val="22"/>
                <w:lang w:eastAsia="en-GB"/>
              </w:rPr>
              <w:br/>
              <w:t>OX3 7LE</w:t>
            </w:r>
          </w:p>
        </w:tc>
        <w:tc>
          <w:tcPr>
            <w:tcW w:w="3640" w:type="dxa"/>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Regional Endocrine Laboratory</w:t>
            </w:r>
            <w:r w:rsidRPr="00674CB2">
              <w:rPr>
                <w:rFonts w:ascii="Arial" w:hAnsi="Arial" w:cs="Arial"/>
                <w:snapToGrid/>
                <w:color w:val="000000"/>
                <w:sz w:val="22"/>
                <w:szCs w:val="22"/>
                <w:lang w:eastAsia="en-GB"/>
              </w:rPr>
              <w:br/>
              <w:t>Clinical Laboratory Services</w:t>
            </w:r>
            <w:r w:rsidRPr="00674CB2">
              <w:rPr>
                <w:rFonts w:ascii="Arial" w:hAnsi="Arial" w:cs="Arial"/>
                <w:snapToGrid/>
                <w:color w:val="000000"/>
                <w:sz w:val="22"/>
                <w:szCs w:val="22"/>
                <w:lang w:eastAsia="en-GB"/>
              </w:rPr>
              <w:br/>
              <w:t>Level Minus 1</w:t>
            </w:r>
            <w:r w:rsidRPr="00674CB2">
              <w:rPr>
                <w:rFonts w:ascii="Arial" w:hAnsi="Arial" w:cs="Arial"/>
                <w:snapToGrid/>
                <w:color w:val="000000"/>
                <w:sz w:val="22"/>
                <w:szCs w:val="22"/>
                <w:lang w:eastAsia="en-GB"/>
              </w:rPr>
              <w:br/>
              <w:t xml:space="preserve">Queen Elizabeth Hospital Birmingham </w:t>
            </w:r>
            <w:r w:rsidRPr="00674CB2">
              <w:rPr>
                <w:rFonts w:ascii="Arial" w:hAnsi="Arial" w:cs="Arial"/>
                <w:snapToGrid/>
                <w:color w:val="000000"/>
                <w:sz w:val="22"/>
                <w:szCs w:val="22"/>
                <w:lang w:eastAsia="en-GB"/>
              </w:rPr>
              <w:br/>
              <w:t>Mindelsohn Way</w:t>
            </w:r>
            <w:r w:rsidRPr="00674CB2">
              <w:rPr>
                <w:rFonts w:ascii="Arial" w:hAnsi="Arial" w:cs="Arial"/>
                <w:snapToGrid/>
                <w:color w:val="000000"/>
                <w:sz w:val="22"/>
                <w:szCs w:val="22"/>
                <w:lang w:eastAsia="en-GB"/>
              </w:rPr>
              <w:br/>
              <w:t>Edgbaston</w:t>
            </w:r>
            <w:r w:rsidRPr="00674CB2">
              <w:rPr>
                <w:rFonts w:ascii="Arial" w:hAnsi="Arial" w:cs="Arial"/>
                <w:snapToGrid/>
                <w:color w:val="000000"/>
                <w:sz w:val="22"/>
                <w:szCs w:val="22"/>
                <w:lang w:eastAsia="en-GB"/>
              </w:rPr>
              <w:br/>
              <w:t>Birmingham</w:t>
            </w:r>
            <w:r w:rsidRPr="00674CB2">
              <w:rPr>
                <w:rFonts w:ascii="Arial" w:hAnsi="Arial" w:cs="Arial"/>
                <w:snapToGrid/>
                <w:color w:val="000000"/>
                <w:sz w:val="22"/>
                <w:szCs w:val="22"/>
                <w:lang w:eastAsia="en-GB"/>
              </w:rPr>
              <w:br/>
              <w:t>B15 2WB</w:t>
            </w:r>
          </w:p>
        </w:tc>
      </w:tr>
      <w:tr w:rsidR="00674CB2" w:rsidRPr="00674CB2" w:rsidTr="00674CB2">
        <w:trPr>
          <w:divId w:val="40444025"/>
          <w:trHeight w:val="1500"/>
        </w:trPr>
        <w:tc>
          <w:tcPr>
            <w:cnfStyle w:val="001000000000" w:firstRow="0" w:lastRow="0" w:firstColumn="1" w:lastColumn="0" w:oddVBand="0" w:evenVBand="0" w:oddHBand="0" w:evenHBand="0" w:firstRowFirstColumn="0" w:firstRowLastColumn="0" w:lastRowFirstColumn="0" w:lastRowLastColumn="0"/>
            <w:tcW w:w="2900" w:type="dxa"/>
            <w:hideMark/>
          </w:tcPr>
          <w:p w:rsidR="00674CB2" w:rsidRPr="00674CB2" w:rsidRDefault="00674CB2" w:rsidP="00674CB2">
            <w:pPr>
              <w:widowControl/>
              <w:rPr>
                <w:rFonts w:ascii="Arial" w:hAnsi="Arial" w:cs="Arial"/>
                <w:b w:val="0"/>
                <w:snapToGrid/>
                <w:color w:val="000000"/>
                <w:sz w:val="22"/>
                <w:szCs w:val="22"/>
                <w:lang w:eastAsia="en-GB"/>
              </w:rPr>
            </w:pPr>
            <w:r w:rsidRPr="00674CB2">
              <w:rPr>
                <w:rFonts w:ascii="Arial" w:hAnsi="Arial" w:cs="Arial"/>
                <w:b w:val="0"/>
                <w:snapToGrid/>
                <w:color w:val="000000"/>
                <w:sz w:val="22"/>
                <w:szCs w:val="22"/>
                <w:lang w:eastAsia="en-GB"/>
              </w:rPr>
              <w:t>Protein Reference Unit, St Georges Hospital</w:t>
            </w:r>
            <w:r w:rsidRPr="00674CB2">
              <w:rPr>
                <w:rFonts w:ascii="Arial" w:hAnsi="Arial" w:cs="Arial"/>
                <w:b w:val="0"/>
                <w:snapToGrid/>
                <w:color w:val="000000"/>
                <w:sz w:val="22"/>
                <w:szCs w:val="22"/>
                <w:lang w:eastAsia="en-GB"/>
              </w:rPr>
              <w:br/>
              <w:t>Cranmer Terrace,</w:t>
            </w:r>
            <w:r w:rsidRPr="00674CB2">
              <w:rPr>
                <w:rFonts w:ascii="Arial" w:hAnsi="Arial" w:cs="Arial"/>
                <w:b w:val="0"/>
                <w:snapToGrid/>
                <w:color w:val="000000"/>
                <w:sz w:val="22"/>
                <w:szCs w:val="22"/>
                <w:lang w:eastAsia="en-GB"/>
              </w:rPr>
              <w:br/>
              <w:t>London SW17 0RE</w:t>
            </w:r>
          </w:p>
        </w:tc>
        <w:tc>
          <w:tcPr>
            <w:tcW w:w="3580" w:type="dxa"/>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University College Hospital,</w:t>
            </w:r>
            <w:r w:rsidRPr="00674CB2">
              <w:rPr>
                <w:rFonts w:ascii="Arial" w:hAnsi="Arial" w:cs="Arial"/>
                <w:snapToGrid/>
                <w:color w:val="000000"/>
                <w:sz w:val="22"/>
                <w:szCs w:val="22"/>
                <w:lang w:eastAsia="en-GB"/>
              </w:rPr>
              <w:br/>
              <w:t>3rd Floor,</w:t>
            </w:r>
            <w:r w:rsidRPr="00674CB2">
              <w:rPr>
                <w:rFonts w:ascii="Arial" w:hAnsi="Arial" w:cs="Arial"/>
                <w:snapToGrid/>
                <w:color w:val="000000"/>
                <w:sz w:val="22"/>
                <w:szCs w:val="22"/>
                <w:lang w:eastAsia="en-GB"/>
              </w:rPr>
              <w:br/>
              <w:t>60 Whitfield Street,</w:t>
            </w:r>
            <w:r w:rsidRPr="00674CB2">
              <w:rPr>
                <w:rFonts w:ascii="Arial" w:hAnsi="Arial" w:cs="Arial"/>
                <w:snapToGrid/>
                <w:color w:val="000000"/>
                <w:sz w:val="22"/>
                <w:szCs w:val="22"/>
                <w:lang w:eastAsia="en-GB"/>
              </w:rPr>
              <w:br/>
              <w:t>London W1T 4EU</w:t>
            </w:r>
          </w:p>
        </w:tc>
        <w:tc>
          <w:tcPr>
            <w:tcW w:w="3640" w:type="dxa"/>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University of Surrey,</w:t>
            </w:r>
            <w:r w:rsidRPr="00674CB2">
              <w:rPr>
                <w:rFonts w:ascii="Arial" w:hAnsi="Arial" w:cs="Arial"/>
                <w:snapToGrid/>
                <w:color w:val="000000"/>
                <w:sz w:val="22"/>
                <w:szCs w:val="22"/>
                <w:lang w:eastAsia="en-GB"/>
              </w:rPr>
              <w:br/>
              <w:t>Trace Elements Centre,</w:t>
            </w:r>
            <w:r w:rsidRPr="00674CB2">
              <w:rPr>
                <w:rFonts w:ascii="Arial" w:hAnsi="Arial" w:cs="Arial"/>
                <w:snapToGrid/>
                <w:color w:val="000000"/>
                <w:sz w:val="22"/>
                <w:szCs w:val="22"/>
                <w:lang w:eastAsia="en-GB"/>
              </w:rPr>
              <w:br/>
              <w:t>Guildford GU2 7HX</w:t>
            </w:r>
          </w:p>
        </w:tc>
      </w:tr>
      <w:tr w:rsidR="00674CB2" w:rsidRPr="00674CB2" w:rsidTr="00674CB2">
        <w:trPr>
          <w:divId w:val="40444025"/>
          <w:trHeight w:val="2400"/>
        </w:trPr>
        <w:tc>
          <w:tcPr>
            <w:cnfStyle w:val="001000000000" w:firstRow="0" w:lastRow="0" w:firstColumn="1" w:lastColumn="0" w:oddVBand="0" w:evenVBand="0" w:oddHBand="0" w:evenHBand="0" w:firstRowFirstColumn="0" w:firstRowLastColumn="0" w:lastRowFirstColumn="0" w:lastRowLastColumn="0"/>
            <w:tcW w:w="2900" w:type="dxa"/>
            <w:hideMark/>
          </w:tcPr>
          <w:p w:rsidR="00674CB2" w:rsidRPr="00674CB2" w:rsidRDefault="00674CB2" w:rsidP="00674CB2">
            <w:pPr>
              <w:widowControl/>
              <w:rPr>
                <w:rFonts w:ascii="Arial" w:hAnsi="Arial" w:cs="Arial"/>
                <w:b w:val="0"/>
                <w:snapToGrid/>
                <w:color w:val="000000"/>
                <w:sz w:val="22"/>
                <w:szCs w:val="22"/>
                <w:lang w:eastAsia="en-GB"/>
              </w:rPr>
            </w:pPr>
            <w:r w:rsidRPr="00674CB2">
              <w:rPr>
                <w:rFonts w:ascii="Arial" w:hAnsi="Arial" w:cs="Arial"/>
                <w:b w:val="0"/>
                <w:snapToGrid/>
                <w:color w:val="000000"/>
                <w:sz w:val="22"/>
                <w:szCs w:val="22"/>
                <w:lang w:eastAsia="en-GB"/>
              </w:rPr>
              <w:t>Royal Surrey County Hospital,</w:t>
            </w:r>
            <w:r w:rsidRPr="00674CB2">
              <w:rPr>
                <w:rFonts w:ascii="Arial" w:hAnsi="Arial" w:cs="Arial"/>
                <w:b w:val="0"/>
                <w:snapToGrid/>
                <w:color w:val="000000"/>
                <w:sz w:val="22"/>
                <w:szCs w:val="22"/>
                <w:lang w:eastAsia="en-GB"/>
              </w:rPr>
              <w:br/>
              <w:t>Egerton Road Guildford, GU7 7XX</w:t>
            </w:r>
          </w:p>
        </w:tc>
        <w:tc>
          <w:tcPr>
            <w:tcW w:w="3580" w:type="dxa"/>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Department of Biochemistry</w:t>
            </w:r>
            <w:r w:rsidRPr="00674CB2">
              <w:rPr>
                <w:rFonts w:ascii="Arial" w:hAnsi="Arial" w:cs="Arial"/>
                <w:snapToGrid/>
                <w:color w:val="000000"/>
                <w:sz w:val="22"/>
                <w:szCs w:val="22"/>
                <w:lang w:eastAsia="en-GB"/>
              </w:rPr>
              <w:br/>
              <w:t>University Hospital of Wales</w:t>
            </w:r>
            <w:r w:rsidRPr="00674CB2">
              <w:rPr>
                <w:rFonts w:ascii="Arial" w:hAnsi="Arial" w:cs="Arial"/>
                <w:snapToGrid/>
                <w:color w:val="000000"/>
                <w:sz w:val="22"/>
                <w:szCs w:val="22"/>
                <w:lang w:eastAsia="en-GB"/>
              </w:rPr>
              <w:br/>
              <w:t>Cardiff</w:t>
            </w:r>
            <w:r w:rsidRPr="00674CB2">
              <w:rPr>
                <w:rFonts w:ascii="Arial" w:hAnsi="Arial" w:cs="Arial"/>
                <w:snapToGrid/>
                <w:color w:val="000000"/>
                <w:sz w:val="22"/>
                <w:szCs w:val="22"/>
                <w:lang w:eastAsia="en-GB"/>
              </w:rPr>
              <w:br/>
              <w:t>CF14 4XW</w:t>
            </w:r>
          </w:p>
        </w:tc>
        <w:tc>
          <w:tcPr>
            <w:tcW w:w="3640" w:type="dxa"/>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Well child Laboratory</w:t>
            </w:r>
            <w:r w:rsidRPr="00674CB2">
              <w:rPr>
                <w:rFonts w:ascii="Arial" w:hAnsi="Arial" w:cs="Arial"/>
                <w:snapToGrid/>
                <w:color w:val="000000"/>
                <w:sz w:val="22"/>
                <w:szCs w:val="22"/>
                <w:lang w:eastAsia="en-GB"/>
              </w:rPr>
              <w:br/>
              <w:t>Arctic (1St Floor)</w:t>
            </w:r>
            <w:r w:rsidRPr="00674CB2">
              <w:rPr>
                <w:rFonts w:ascii="Arial" w:hAnsi="Arial" w:cs="Arial"/>
                <w:snapToGrid/>
                <w:color w:val="000000"/>
                <w:sz w:val="22"/>
                <w:szCs w:val="22"/>
                <w:lang w:eastAsia="en-GB"/>
              </w:rPr>
              <w:br/>
              <w:t>Evelina Children’s Hospital</w:t>
            </w:r>
            <w:r w:rsidRPr="00674CB2">
              <w:rPr>
                <w:rFonts w:ascii="Arial" w:hAnsi="Arial" w:cs="Arial"/>
                <w:snapToGrid/>
                <w:color w:val="000000"/>
                <w:sz w:val="22"/>
                <w:szCs w:val="22"/>
                <w:lang w:eastAsia="en-GB"/>
              </w:rPr>
              <w:br/>
              <w:t>St Thomas’ Hospital</w:t>
            </w:r>
            <w:r w:rsidRPr="00674CB2">
              <w:rPr>
                <w:rFonts w:ascii="Arial" w:hAnsi="Arial" w:cs="Arial"/>
                <w:snapToGrid/>
                <w:color w:val="000000"/>
                <w:sz w:val="22"/>
                <w:szCs w:val="22"/>
                <w:lang w:eastAsia="en-GB"/>
              </w:rPr>
              <w:br/>
              <w:t>Lambeth Palace Road</w:t>
            </w:r>
            <w:r w:rsidRPr="00674CB2">
              <w:rPr>
                <w:rFonts w:ascii="Arial" w:hAnsi="Arial" w:cs="Arial"/>
                <w:snapToGrid/>
                <w:color w:val="000000"/>
                <w:sz w:val="22"/>
                <w:szCs w:val="22"/>
                <w:lang w:eastAsia="en-GB"/>
              </w:rPr>
              <w:br/>
              <w:t>London</w:t>
            </w:r>
            <w:r w:rsidRPr="00674CB2">
              <w:rPr>
                <w:rFonts w:ascii="Arial" w:hAnsi="Arial" w:cs="Arial"/>
                <w:snapToGrid/>
                <w:color w:val="000000"/>
                <w:sz w:val="22"/>
                <w:szCs w:val="22"/>
                <w:lang w:eastAsia="en-GB"/>
              </w:rPr>
              <w:br/>
              <w:t>SE1 7EH</w:t>
            </w:r>
          </w:p>
        </w:tc>
      </w:tr>
      <w:tr w:rsidR="00674CB2" w:rsidRPr="00674CB2" w:rsidTr="00674CB2">
        <w:trPr>
          <w:divId w:val="40444025"/>
          <w:trHeight w:val="2400"/>
        </w:trPr>
        <w:tc>
          <w:tcPr>
            <w:cnfStyle w:val="001000000000" w:firstRow="0" w:lastRow="0" w:firstColumn="1" w:lastColumn="0" w:oddVBand="0" w:evenVBand="0" w:oddHBand="0" w:evenHBand="0" w:firstRowFirstColumn="0" w:firstRowLastColumn="0" w:lastRowFirstColumn="0" w:lastRowLastColumn="0"/>
            <w:tcW w:w="2900" w:type="dxa"/>
            <w:hideMark/>
          </w:tcPr>
          <w:p w:rsidR="00674CB2" w:rsidRPr="00674CB2" w:rsidRDefault="00674CB2" w:rsidP="00674CB2">
            <w:pPr>
              <w:widowControl/>
              <w:rPr>
                <w:rFonts w:ascii="Arial" w:hAnsi="Arial" w:cs="Arial"/>
                <w:b w:val="0"/>
                <w:snapToGrid/>
                <w:color w:val="000000"/>
                <w:sz w:val="22"/>
                <w:szCs w:val="22"/>
                <w:lang w:eastAsia="en-GB"/>
              </w:rPr>
            </w:pPr>
            <w:r w:rsidRPr="00674CB2">
              <w:rPr>
                <w:rFonts w:ascii="Arial" w:hAnsi="Arial" w:cs="Arial"/>
                <w:b w:val="0"/>
                <w:snapToGrid/>
                <w:color w:val="000000"/>
                <w:sz w:val="22"/>
                <w:szCs w:val="22"/>
                <w:lang w:eastAsia="en-GB"/>
              </w:rPr>
              <w:t>Neurometabolic Unit (Box 105)</w:t>
            </w:r>
            <w:r w:rsidRPr="00674CB2">
              <w:rPr>
                <w:rFonts w:ascii="Arial" w:hAnsi="Arial" w:cs="Arial"/>
                <w:b w:val="0"/>
                <w:snapToGrid/>
                <w:color w:val="000000"/>
                <w:sz w:val="22"/>
                <w:szCs w:val="22"/>
                <w:lang w:eastAsia="en-GB"/>
              </w:rPr>
              <w:br/>
              <w:t>National Hospital for Neurology and Neurosurgery</w:t>
            </w:r>
            <w:r w:rsidRPr="00674CB2">
              <w:rPr>
                <w:rFonts w:ascii="Arial" w:hAnsi="Arial" w:cs="Arial"/>
                <w:b w:val="0"/>
                <w:snapToGrid/>
                <w:color w:val="000000"/>
                <w:sz w:val="22"/>
                <w:szCs w:val="22"/>
                <w:lang w:eastAsia="en-GB"/>
              </w:rPr>
              <w:br/>
              <w:t>Queen Square</w:t>
            </w:r>
            <w:r w:rsidRPr="00674CB2">
              <w:rPr>
                <w:rFonts w:ascii="Arial" w:hAnsi="Arial" w:cs="Arial"/>
                <w:b w:val="0"/>
                <w:snapToGrid/>
                <w:color w:val="000000"/>
                <w:sz w:val="22"/>
                <w:szCs w:val="22"/>
                <w:lang w:eastAsia="en-GB"/>
              </w:rPr>
              <w:br/>
              <w:t>London</w:t>
            </w:r>
            <w:r w:rsidRPr="00674CB2">
              <w:rPr>
                <w:rFonts w:ascii="Arial" w:hAnsi="Arial" w:cs="Arial"/>
                <w:b w:val="0"/>
                <w:snapToGrid/>
                <w:color w:val="000000"/>
                <w:sz w:val="22"/>
                <w:szCs w:val="22"/>
                <w:lang w:eastAsia="en-GB"/>
              </w:rPr>
              <w:br/>
              <w:t>WC1N 3BG</w:t>
            </w:r>
          </w:p>
        </w:tc>
        <w:tc>
          <w:tcPr>
            <w:tcW w:w="3580" w:type="dxa"/>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Lysosomal Storage Disease Unit,</w:t>
            </w:r>
            <w:r w:rsidRPr="00674CB2">
              <w:rPr>
                <w:rFonts w:ascii="Arial" w:hAnsi="Arial" w:cs="Arial"/>
                <w:snapToGrid/>
                <w:color w:val="000000"/>
                <w:sz w:val="22"/>
                <w:szCs w:val="22"/>
                <w:lang w:eastAsia="en-GB"/>
              </w:rPr>
              <w:br/>
              <w:t>Molecular Laboratory</w:t>
            </w:r>
            <w:r w:rsidRPr="00674CB2">
              <w:rPr>
                <w:rFonts w:ascii="Arial" w:hAnsi="Arial" w:cs="Arial"/>
                <w:snapToGrid/>
                <w:color w:val="000000"/>
                <w:sz w:val="22"/>
                <w:szCs w:val="22"/>
                <w:lang w:eastAsia="en-GB"/>
              </w:rPr>
              <w:br/>
              <w:t>Haematology department,</w:t>
            </w:r>
            <w:r w:rsidRPr="00674CB2">
              <w:rPr>
                <w:rFonts w:ascii="Arial" w:hAnsi="Arial" w:cs="Arial"/>
                <w:snapToGrid/>
                <w:color w:val="000000"/>
                <w:sz w:val="22"/>
                <w:szCs w:val="22"/>
                <w:lang w:eastAsia="en-GB"/>
              </w:rPr>
              <w:br/>
              <w:t>Royal Free Hospital,</w:t>
            </w:r>
            <w:r w:rsidRPr="00674CB2">
              <w:rPr>
                <w:rFonts w:ascii="Arial" w:hAnsi="Arial" w:cs="Arial"/>
                <w:snapToGrid/>
                <w:color w:val="000000"/>
                <w:sz w:val="22"/>
                <w:szCs w:val="22"/>
                <w:lang w:eastAsia="en-GB"/>
              </w:rPr>
              <w:br/>
              <w:t xml:space="preserve">Pond Street, </w:t>
            </w:r>
            <w:r w:rsidRPr="00674CB2">
              <w:rPr>
                <w:rFonts w:ascii="Arial" w:hAnsi="Arial" w:cs="Arial"/>
                <w:snapToGrid/>
                <w:color w:val="000000"/>
                <w:sz w:val="22"/>
                <w:szCs w:val="22"/>
                <w:lang w:eastAsia="en-GB"/>
              </w:rPr>
              <w:br/>
              <w:t>LONDON NW3 2PX</w:t>
            </w:r>
          </w:p>
        </w:tc>
        <w:tc>
          <w:tcPr>
            <w:tcW w:w="3640" w:type="dxa"/>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Newborn Screening and Biochemical Genetics,</w:t>
            </w:r>
            <w:r w:rsidRPr="00674CB2">
              <w:rPr>
                <w:rFonts w:ascii="Arial" w:hAnsi="Arial" w:cs="Arial"/>
                <w:snapToGrid/>
                <w:color w:val="000000"/>
                <w:sz w:val="22"/>
                <w:szCs w:val="22"/>
                <w:lang w:eastAsia="en-GB"/>
              </w:rPr>
              <w:br/>
              <w:t>Birmingham Children’s Hospital NHSFT,</w:t>
            </w:r>
            <w:r w:rsidRPr="00674CB2">
              <w:rPr>
                <w:rFonts w:ascii="Arial" w:hAnsi="Arial" w:cs="Arial"/>
                <w:snapToGrid/>
                <w:color w:val="000000"/>
                <w:sz w:val="22"/>
                <w:szCs w:val="22"/>
                <w:lang w:eastAsia="en-GB"/>
              </w:rPr>
              <w:br/>
              <w:t>Steelhouse Lane,</w:t>
            </w:r>
            <w:r w:rsidRPr="00674CB2">
              <w:rPr>
                <w:rFonts w:ascii="Arial" w:hAnsi="Arial" w:cs="Arial"/>
                <w:snapToGrid/>
                <w:color w:val="000000"/>
                <w:sz w:val="22"/>
                <w:szCs w:val="22"/>
                <w:lang w:eastAsia="en-GB"/>
              </w:rPr>
              <w:br/>
              <w:t>Birmingham B4 6NH</w:t>
            </w:r>
          </w:p>
        </w:tc>
      </w:tr>
      <w:tr w:rsidR="00674CB2" w:rsidRPr="00674CB2" w:rsidTr="00674CB2">
        <w:trPr>
          <w:divId w:val="40444025"/>
          <w:trHeight w:val="2400"/>
        </w:trPr>
        <w:tc>
          <w:tcPr>
            <w:cnfStyle w:val="001000000000" w:firstRow="0" w:lastRow="0" w:firstColumn="1" w:lastColumn="0" w:oddVBand="0" w:evenVBand="0" w:oddHBand="0" w:evenHBand="0" w:firstRowFirstColumn="0" w:firstRowLastColumn="0" w:lastRowFirstColumn="0" w:lastRowLastColumn="0"/>
            <w:tcW w:w="2900" w:type="dxa"/>
            <w:hideMark/>
          </w:tcPr>
          <w:p w:rsidR="00674CB2" w:rsidRPr="00674CB2" w:rsidRDefault="00674CB2" w:rsidP="00674CB2">
            <w:pPr>
              <w:widowControl/>
              <w:rPr>
                <w:rFonts w:ascii="Arial" w:hAnsi="Arial" w:cs="Arial"/>
                <w:b w:val="0"/>
                <w:snapToGrid/>
                <w:color w:val="000000"/>
                <w:sz w:val="22"/>
                <w:szCs w:val="22"/>
                <w:lang w:eastAsia="en-GB"/>
              </w:rPr>
            </w:pPr>
            <w:r w:rsidRPr="00674CB2">
              <w:rPr>
                <w:rFonts w:ascii="Arial" w:hAnsi="Arial" w:cs="Arial"/>
                <w:b w:val="0"/>
                <w:snapToGrid/>
                <w:color w:val="000000"/>
                <w:sz w:val="22"/>
                <w:szCs w:val="22"/>
                <w:lang w:eastAsia="en-GB"/>
              </w:rPr>
              <w:t>Sheffield PRU,</w:t>
            </w:r>
            <w:r w:rsidRPr="00674CB2">
              <w:rPr>
                <w:rFonts w:ascii="Arial" w:hAnsi="Arial" w:cs="Arial"/>
                <w:b w:val="0"/>
                <w:snapToGrid/>
                <w:color w:val="000000"/>
                <w:sz w:val="22"/>
                <w:szCs w:val="22"/>
                <w:lang w:eastAsia="en-GB"/>
              </w:rPr>
              <w:br/>
              <w:t>Department of Immunology,</w:t>
            </w:r>
            <w:r w:rsidRPr="00674CB2">
              <w:rPr>
                <w:rFonts w:ascii="Arial" w:hAnsi="Arial" w:cs="Arial"/>
                <w:b w:val="0"/>
                <w:snapToGrid/>
                <w:color w:val="000000"/>
                <w:sz w:val="22"/>
                <w:szCs w:val="22"/>
                <w:lang w:eastAsia="en-GB"/>
              </w:rPr>
              <w:br/>
              <w:t>PO Box 894,</w:t>
            </w:r>
            <w:r w:rsidRPr="00674CB2">
              <w:rPr>
                <w:rFonts w:ascii="Arial" w:hAnsi="Arial" w:cs="Arial"/>
                <w:b w:val="0"/>
                <w:snapToGrid/>
                <w:color w:val="000000"/>
                <w:sz w:val="22"/>
                <w:szCs w:val="22"/>
                <w:lang w:eastAsia="en-GB"/>
              </w:rPr>
              <w:br/>
              <w:t>Sheffield S5 7YT</w:t>
            </w:r>
          </w:p>
        </w:tc>
        <w:tc>
          <w:tcPr>
            <w:tcW w:w="3580" w:type="dxa"/>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 xml:space="preserve">SAS Genetic Enzyme Laboratory </w:t>
            </w:r>
            <w:r w:rsidRPr="00674CB2">
              <w:rPr>
                <w:rFonts w:ascii="Arial" w:hAnsi="Arial" w:cs="Arial"/>
                <w:snapToGrid/>
                <w:color w:val="000000"/>
                <w:sz w:val="22"/>
                <w:szCs w:val="22"/>
                <w:lang w:eastAsia="en-GB"/>
              </w:rPr>
              <w:br/>
              <w:t xml:space="preserve">Genetics Centre </w:t>
            </w:r>
            <w:r w:rsidRPr="00674CB2">
              <w:rPr>
                <w:rFonts w:ascii="Arial" w:hAnsi="Arial" w:cs="Arial"/>
                <w:snapToGrid/>
                <w:color w:val="000000"/>
                <w:sz w:val="22"/>
                <w:szCs w:val="22"/>
                <w:lang w:eastAsia="en-GB"/>
              </w:rPr>
              <w:br/>
              <w:t xml:space="preserve">5th Floor Guy's Tower </w:t>
            </w:r>
            <w:r w:rsidRPr="00674CB2">
              <w:rPr>
                <w:rFonts w:ascii="Arial" w:hAnsi="Arial" w:cs="Arial"/>
                <w:snapToGrid/>
                <w:color w:val="000000"/>
                <w:sz w:val="22"/>
                <w:szCs w:val="22"/>
                <w:lang w:eastAsia="en-GB"/>
              </w:rPr>
              <w:br/>
              <w:t xml:space="preserve">Guy's Hospital </w:t>
            </w:r>
            <w:r w:rsidRPr="00674CB2">
              <w:rPr>
                <w:rFonts w:ascii="Arial" w:hAnsi="Arial" w:cs="Arial"/>
                <w:snapToGrid/>
                <w:color w:val="000000"/>
                <w:sz w:val="22"/>
                <w:szCs w:val="22"/>
                <w:lang w:eastAsia="en-GB"/>
              </w:rPr>
              <w:br/>
              <w:t xml:space="preserve">London </w:t>
            </w:r>
            <w:r w:rsidRPr="00674CB2">
              <w:rPr>
                <w:rFonts w:ascii="Arial" w:hAnsi="Arial" w:cs="Arial"/>
                <w:snapToGrid/>
                <w:color w:val="000000"/>
                <w:sz w:val="22"/>
                <w:szCs w:val="22"/>
                <w:lang w:eastAsia="en-GB"/>
              </w:rPr>
              <w:br/>
              <w:t>SE1 9RT</w:t>
            </w:r>
          </w:p>
        </w:tc>
        <w:tc>
          <w:tcPr>
            <w:tcW w:w="3640" w:type="dxa"/>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Clinical Biochemistry Area A2</w:t>
            </w:r>
            <w:r w:rsidRPr="00674CB2">
              <w:rPr>
                <w:rFonts w:ascii="Arial" w:hAnsi="Arial" w:cs="Arial"/>
                <w:snapToGrid/>
                <w:color w:val="000000"/>
                <w:sz w:val="22"/>
                <w:szCs w:val="22"/>
                <w:lang w:eastAsia="en-GB"/>
              </w:rPr>
              <w:br/>
              <w:t>Royal Devon &amp; Exeter NHS Foundation</w:t>
            </w:r>
            <w:r w:rsidRPr="00674CB2">
              <w:rPr>
                <w:rFonts w:ascii="Arial" w:hAnsi="Arial" w:cs="Arial"/>
                <w:snapToGrid/>
                <w:color w:val="000000"/>
                <w:sz w:val="22"/>
                <w:szCs w:val="22"/>
                <w:lang w:eastAsia="en-GB"/>
              </w:rPr>
              <w:br/>
              <w:t>Trust</w:t>
            </w:r>
            <w:r w:rsidRPr="00674CB2">
              <w:rPr>
                <w:rFonts w:ascii="Arial" w:hAnsi="Arial" w:cs="Arial"/>
                <w:snapToGrid/>
                <w:color w:val="000000"/>
                <w:sz w:val="22"/>
                <w:szCs w:val="22"/>
                <w:lang w:eastAsia="en-GB"/>
              </w:rPr>
              <w:br/>
              <w:t>Barrack Road</w:t>
            </w:r>
            <w:r w:rsidRPr="00674CB2">
              <w:rPr>
                <w:rFonts w:ascii="Arial" w:hAnsi="Arial" w:cs="Arial"/>
                <w:snapToGrid/>
                <w:color w:val="000000"/>
                <w:sz w:val="22"/>
                <w:szCs w:val="22"/>
                <w:lang w:eastAsia="en-GB"/>
              </w:rPr>
              <w:br/>
              <w:t>Exeter</w:t>
            </w:r>
            <w:r w:rsidRPr="00674CB2">
              <w:rPr>
                <w:rFonts w:ascii="Arial" w:hAnsi="Arial" w:cs="Arial"/>
                <w:snapToGrid/>
                <w:color w:val="000000"/>
                <w:sz w:val="22"/>
                <w:szCs w:val="22"/>
                <w:lang w:eastAsia="en-GB"/>
              </w:rPr>
              <w:br/>
              <w:t>EX2 5DW</w:t>
            </w:r>
          </w:p>
        </w:tc>
      </w:tr>
      <w:tr w:rsidR="00674CB2" w:rsidRPr="00674CB2" w:rsidTr="00674CB2">
        <w:trPr>
          <w:divId w:val="40444025"/>
          <w:trHeight w:val="2100"/>
        </w:trPr>
        <w:tc>
          <w:tcPr>
            <w:cnfStyle w:val="001000000000" w:firstRow="0" w:lastRow="0" w:firstColumn="1" w:lastColumn="0" w:oddVBand="0" w:evenVBand="0" w:oddHBand="0" w:evenHBand="0" w:firstRowFirstColumn="0" w:firstRowLastColumn="0" w:lastRowFirstColumn="0" w:lastRowLastColumn="0"/>
            <w:tcW w:w="2900" w:type="dxa"/>
            <w:hideMark/>
          </w:tcPr>
          <w:p w:rsidR="00674CB2" w:rsidRPr="00674CB2" w:rsidRDefault="00674CB2" w:rsidP="00674CB2">
            <w:pPr>
              <w:widowControl/>
              <w:rPr>
                <w:rFonts w:ascii="Arial" w:hAnsi="Arial" w:cs="Arial"/>
                <w:b w:val="0"/>
                <w:snapToGrid/>
                <w:color w:val="000000"/>
                <w:sz w:val="22"/>
                <w:szCs w:val="22"/>
                <w:lang w:eastAsia="en-GB"/>
              </w:rPr>
            </w:pPr>
            <w:r w:rsidRPr="00674CB2">
              <w:rPr>
                <w:rFonts w:ascii="Arial" w:hAnsi="Arial" w:cs="Arial"/>
                <w:b w:val="0"/>
                <w:snapToGrid/>
                <w:color w:val="000000"/>
                <w:sz w:val="22"/>
                <w:szCs w:val="22"/>
                <w:lang w:eastAsia="en-GB"/>
              </w:rPr>
              <w:t>Manchester, Clinical Science Building,</w:t>
            </w:r>
            <w:r w:rsidRPr="00674CB2">
              <w:rPr>
                <w:rFonts w:ascii="Arial" w:hAnsi="Arial" w:cs="Arial"/>
                <w:b w:val="0"/>
                <w:snapToGrid/>
                <w:color w:val="000000"/>
                <w:sz w:val="22"/>
                <w:szCs w:val="22"/>
                <w:lang w:eastAsia="en-GB"/>
              </w:rPr>
              <w:br/>
              <w:t>University Hospital of South Manchester, Southmoor Road</w:t>
            </w:r>
            <w:r w:rsidRPr="00674CB2">
              <w:rPr>
                <w:rFonts w:ascii="Arial" w:hAnsi="Arial" w:cs="Arial"/>
                <w:b w:val="0"/>
                <w:snapToGrid/>
                <w:color w:val="000000"/>
                <w:sz w:val="22"/>
                <w:szCs w:val="22"/>
                <w:lang w:eastAsia="en-GB"/>
              </w:rPr>
              <w:br/>
              <w:t>Manchester, M23 9LT</w:t>
            </w:r>
          </w:p>
        </w:tc>
        <w:tc>
          <w:tcPr>
            <w:tcW w:w="3580" w:type="dxa"/>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Health and Safety Laboratory,</w:t>
            </w:r>
            <w:r w:rsidRPr="00674CB2">
              <w:rPr>
                <w:rFonts w:ascii="Arial" w:hAnsi="Arial" w:cs="Arial"/>
                <w:snapToGrid/>
                <w:color w:val="000000"/>
                <w:sz w:val="22"/>
                <w:szCs w:val="22"/>
                <w:lang w:eastAsia="en-GB"/>
              </w:rPr>
              <w:br/>
              <w:t>Harpur Hill,</w:t>
            </w:r>
            <w:r w:rsidRPr="00674CB2">
              <w:rPr>
                <w:rFonts w:ascii="Arial" w:hAnsi="Arial" w:cs="Arial"/>
                <w:snapToGrid/>
                <w:color w:val="000000"/>
                <w:sz w:val="22"/>
                <w:szCs w:val="22"/>
                <w:lang w:eastAsia="en-GB"/>
              </w:rPr>
              <w:br/>
              <w:t>Buxton SK17 9JN</w:t>
            </w:r>
          </w:p>
        </w:tc>
        <w:tc>
          <w:tcPr>
            <w:tcW w:w="3640" w:type="dxa"/>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Epilepsy Society,</w:t>
            </w:r>
            <w:r w:rsidRPr="00674CB2">
              <w:rPr>
                <w:rFonts w:ascii="Arial" w:hAnsi="Arial" w:cs="Arial"/>
                <w:snapToGrid/>
                <w:color w:val="000000"/>
                <w:sz w:val="22"/>
                <w:szCs w:val="22"/>
                <w:lang w:eastAsia="en-GB"/>
              </w:rPr>
              <w:br/>
              <w:t>Therapeutic Drug Monitoring Unit ,</w:t>
            </w:r>
            <w:r w:rsidRPr="00674CB2">
              <w:rPr>
                <w:rFonts w:ascii="Arial" w:hAnsi="Arial" w:cs="Arial"/>
                <w:snapToGrid/>
                <w:color w:val="000000"/>
                <w:sz w:val="22"/>
                <w:szCs w:val="22"/>
                <w:lang w:eastAsia="en-GB"/>
              </w:rPr>
              <w:br/>
              <w:t>Chesham Lane, Chalfont St Peter</w:t>
            </w:r>
            <w:r w:rsidRPr="00674CB2">
              <w:rPr>
                <w:rFonts w:ascii="Arial" w:hAnsi="Arial" w:cs="Arial"/>
                <w:snapToGrid/>
                <w:color w:val="000000"/>
                <w:sz w:val="22"/>
                <w:szCs w:val="22"/>
                <w:lang w:eastAsia="en-GB"/>
              </w:rPr>
              <w:br/>
              <w:t>Buckinghamshire SL9 ORJ</w:t>
            </w:r>
          </w:p>
        </w:tc>
      </w:tr>
      <w:tr w:rsidR="00674CB2" w:rsidRPr="00674CB2" w:rsidTr="00674CB2">
        <w:trPr>
          <w:divId w:val="40444025"/>
          <w:trHeight w:val="1800"/>
        </w:trPr>
        <w:tc>
          <w:tcPr>
            <w:cnfStyle w:val="001000000000" w:firstRow="0" w:lastRow="0" w:firstColumn="1" w:lastColumn="0" w:oddVBand="0" w:evenVBand="0" w:oddHBand="0" w:evenHBand="0" w:firstRowFirstColumn="0" w:firstRowLastColumn="0" w:lastRowFirstColumn="0" w:lastRowLastColumn="0"/>
            <w:tcW w:w="2900" w:type="dxa"/>
            <w:hideMark/>
          </w:tcPr>
          <w:p w:rsidR="00674CB2" w:rsidRPr="00674CB2" w:rsidRDefault="00674CB2" w:rsidP="00674CB2">
            <w:pPr>
              <w:widowControl/>
              <w:rPr>
                <w:rFonts w:ascii="Arial" w:hAnsi="Arial" w:cs="Arial"/>
                <w:b w:val="0"/>
                <w:snapToGrid/>
                <w:color w:val="000000"/>
                <w:sz w:val="22"/>
                <w:szCs w:val="22"/>
                <w:lang w:eastAsia="en-GB"/>
              </w:rPr>
            </w:pPr>
            <w:r w:rsidRPr="00674CB2">
              <w:rPr>
                <w:rFonts w:ascii="Arial" w:hAnsi="Arial" w:cs="Arial"/>
                <w:b w:val="0"/>
                <w:snapToGrid/>
                <w:color w:val="000000"/>
                <w:sz w:val="22"/>
                <w:szCs w:val="22"/>
                <w:lang w:eastAsia="en-GB"/>
              </w:rPr>
              <w:t>Genetics Centre</w:t>
            </w:r>
            <w:r w:rsidRPr="00674CB2">
              <w:rPr>
                <w:rFonts w:ascii="Arial" w:hAnsi="Arial" w:cs="Arial"/>
                <w:b w:val="0"/>
                <w:snapToGrid/>
                <w:color w:val="000000"/>
                <w:sz w:val="22"/>
                <w:szCs w:val="22"/>
                <w:lang w:eastAsia="en-GB"/>
              </w:rPr>
              <w:br/>
              <w:t>5th floor, Tower Wing</w:t>
            </w:r>
            <w:r w:rsidRPr="00674CB2">
              <w:rPr>
                <w:rFonts w:ascii="Arial" w:hAnsi="Arial" w:cs="Arial"/>
                <w:b w:val="0"/>
                <w:snapToGrid/>
                <w:color w:val="000000"/>
                <w:sz w:val="22"/>
                <w:szCs w:val="22"/>
                <w:lang w:eastAsia="en-GB"/>
              </w:rPr>
              <w:br/>
              <w:t>Guy’s Hospital</w:t>
            </w:r>
            <w:r w:rsidRPr="00674CB2">
              <w:rPr>
                <w:rFonts w:ascii="Arial" w:hAnsi="Arial" w:cs="Arial"/>
                <w:b w:val="0"/>
                <w:snapToGrid/>
                <w:color w:val="000000"/>
                <w:sz w:val="22"/>
                <w:szCs w:val="22"/>
                <w:lang w:eastAsia="en-GB"/>
              </w:rPr>
              <w:br/>
              <w:t>Great Maze Pond</w:t>
            </w:r>
            <w:r w:rsidRPr="00674CB2">
              <w:rPr>
                <w:rFonts w:ascii="Arial" w:hAnsi="Arial" w:cs="Arial"/>
                <w:b w:val="0"/>
                <w:snapToGrid/>
                <w:color w:val="000000"/>
                <w:sz w:val="22"/>
                <w:szCs w:val="22"/>
                <w:lang w:eastAsia="en-GB"/>
              </w:rPr>
              <w:br/>
              <w:t xml:space="preserve">London SE1 9RT </w:t>
            </w:r>
          </w:p>
        </w:tc>
        <w:tc>
          <w:tcPr>
            <w:tcW w:w="0" w:type="auto"/>
            <w:noWrap/>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 </w:t>
            </w:r>
          </w:p>
        </w:tc>
        <w:tc>
          <w:tcPr>
            <w:tcW w:w="0" w:type="auto"/>
            <w:shd w:val="clear" w:color="auto" w:fill="auto"/>
            <w:noWrap/>
            <w:hideMark/>
          </w:tcPr>
          <w:p w:rsidR="00674CB2" w:rsidRPr="00674CB2" w:rsidRDefault="00674CB2" w:rsidP="00674CB2">
            <w:pPr>
              <w:widowControl/>
              <w:cnfStyle w:val="000000000000" w:firstRow="0" w:lastRow="0" w:firstColumn="0" w:lastColumn="0" w:oddVBand="0" w:evenVBand="0" w:oddHBand="0" w:evenHBand="0" w:firstRowFirstColumn="0" w:firstRowLastColumn="0" w:lastRowFirstColumn="0" w:lastRowLastColumn="0"/>
              <w:rPr>
                <w:rFonts w:ascii="Arial" w:hAnsi="Arial" w:cs="Arial"/>
                <w:snapToGrid/>
                <w:color w:val="000000"/>
                <w:sz w:val="22"/>
                <w:szCs w:val="22"/>
                <w:lang w:eastAsia="en-GB"/>
              </w:rPr>
            </w:pPr>
            <w:r w:rsidRPr="00674CB2">
              <w:rPr>
                <w:rFonts w:ascii="Arial" w:hAnsi="Arial" w:cs="Arial"/>
                <w:snapToGrid/>
                <w:color w:val="000000"/>
                <w:sz w:val="22"/>
                <w:szCs w:val="22"/>
                <w:lang w:eastAsia="en-GB"/>
              </w:rPr>
              <w:t> </w:t>
            </w:r>
          </w:p>
        </w:tc>
      </w:tr>
    </w:tbl>
    <w:p w:rsidR="008B2EA7" w:rsidRDefault="008B2EA7" w:rsidP="005214A0">
      <w:pPr>
        <w:tabs>
          <w:tab w:val="left" w:pos="426"/>
        </w:tabs>
        <w:ind w:left="4395" w:hanging="4111"/>
      </w:pPr>
      <w:r>
        <w:fldChar w:fldCharType="end"/>
      </w:r>
    </w:p>
    <w:p w:rsidR="008B2EA7" w:rsidRDefault="008B2EA7" w:rsidP="003C5E20">
      <w:pPr>
        <w:tabs>
          <w:tab w:val="left" w:pos="4180"/>
        </w:tabs>
        <w:ind w:left="4395"/>
      </w:pPr>
    </w:p>
    <w:p w:rsidR="008B2EA7" w:rsidRDefault="008B2EA7" w:rsidP="003C5E20">
      <w:pPr>
        <w:tabs>
          <w:tab w:val="left" w:pos="4180"/>
        </w:tabs>
        <w:ind w:left="4395"/>
      </w:pPr>
    </w:p>
    <w:p w:rsidR="008B2EA7" w:rsidRDefault="008B2EA7" w:rsidP="003C5E20">
      <w:pPr>
        <w:tabs>
          <w:tab w:val="left" w:pos="4180"/>
        </w:tabs>
        <w:ind w:left="4395"/>
      </w:pPr>
    </w:p>
    <w:p w:rsidR="008B2EA7" w:rsidRDefault="008B2EA7" w:rsidP="003C5E20">
      <w:pPr>
        <w:tabs>
          <w:tab w:val="left" w:pos="4180"/>
        </w:tabs>
        <w:ind w:left="4395"/>
      </w:pPr>
    </w:p>
    <w:sectPr w:rsidR="008B2EA7" w:rsidSect="00365C54">
      <w:pgSz w:w="11907" w:h="16840" w:code="9"/>
      <w:pgMar w:top="720" w:right="737" w:bottom="720"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F93" w:rsidRDefault="00592F93">
      <w:r>
        <w:separator/>
      </w:r>
    </w:p>
  </w:endnote>
  <w:endnote w:type="continuationSeparator" w:id="0">
    <w:p w:rsidR="00592F93" w:rsidRDefault="00592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F93" w:rsidRPr="00635338" w:rsidRDefault="00592F93" w:rsidP="000708E5">
    <w:pPr>
      <w:ind w:left="-720" w:right="720" w:firstLine="720"/>
      <w:jc w:val="both"/>
      <w:rPr>
        <w:rFonts w:ascii="Arial" w:hAnsi="Arial" w:cs="Arial"/>
        <w:sz w:val="20"/>
      </w:rPr>
    </w:pPr>
    <w:r>
      <w:rPr>
        <w:rFonts w:ascii="Arial" w:hAnsi="Arial" w:cs="Arial"/>
        <w:sz w:val="20"/>
      </w:rPr>
      <w:t xml:space="preserve">BIO NO </w:t>
    </w:r>
    <w:r w:rsidRPr="00635338">
      <w:rPr>
        <w:rFonts w:ascii="Arial" w:hAnsi="Arial" w:cs="Arial"/>
        <w:sz w:val="20"/>
      </w:rPr>
      <w:t xml:space="preserve">038                                                                                                         </w:t>
    </w:r>
    <w:r w:rsidRPr="00635338">
      <w:rPr>
        <w:rFonts w:ascii="Arial" w:hAnsi="Arial" w:cs="Arial"/>
        <w:bCs/>
        <w:noProof/>
        <w:sz w:val="20"/>
      </w:rPr>
      <w:t xml:space="preserve">Page </w:t>
    </w:r>
    <w:r w:rsidRPr="00635338">
      <w:rPr>
        <w:rFonts w:ascii="Arial" w:hAnsi="Arial" w:cs="Arial"/>
        <w:bCs/>
        <w:noProof/>
        <w:sz w:val="20"/>
      </w:rPr>
      <w:fldChar w:fldCharType="begin"/>
    </w:r>
    <w:r w:rsidRPr="00635338">
      <w:rPr>
        <w:rFonts w:ascii="Arial" w:hAnsi="Arial" w:cs="Arial"/>
        <w:bCs/>
        <w:noProof/>
        <w:sz w:val="20"/>
      </w:rPr>
      <w:instrText xml:space="preserve"> PAGE  \* Arabic  \* MERGEFORMAT </w:instrText>
    </w:r>
    <w:r w:rsidRPr="00635338">
      <w:rPr>
        <w:rFonts w:ascii="Arial" w:hAnsi="Arial" w:cs="Arial"/>
        <w:bCs/>
        <w:noProof/>
        <w:sz w:val="20"/>
      </w:rPr>
      <w:fldChar w:fldCharType="separate"/>
    </w:r>
    <w:r w:rsidR="00674CB2">
      <w:rPr>
        <w:rFonts w:ascii="Arial" w:hAnsi="Arial" w:cs="Arial"/>
        <w:bCs/>
        <w:noProof/>
        <w:sz w:val="20"/>
      </w:rPr>
      <w:t>1</w:t>
    </w:r>
    <w:r w:rsidRPr="00635338">
      <w:rPr>
        <w:rFonts w:ascii="Arial" w:hAnsi="Arial" w:cs="Arial"/>
        <w:bCs/>
        <w:noProof/>
        <w:sz w:val="20"/>
      </w:rPr>
      <w:fldChar w:fldCharType="end"/>
    </w:r>
    <w:r w:rsidRPr="00635338">
      <w:rPr>
        <w:rFonts w:ascii="Arial" w:hAnsi="Arial" w:cs="Arial"/>
        <w:bCs/>
        <w:noProof/>
        <w:sz w:val="20"/>
      </w:rPr>
      <w:t xml:space="preserve"> of </w:t>
    </w:r>
    <w:r w:rsidRPr="00635338">
      <w:rPr>
        <w:rFonts w:ascii="Arial" w:hAnsi="Arial" w:cs="Arial"/>
        <w:bCs/>
        <w:noProof/>
        <w:sz w:val="20"/>
      </w:rPr>
      <w:fldChar w:fldCharType="begin"/>
    </w:r>
    <w:r w:rsidRPr="00635338">
      <w:rPr>
        <w:rFonts w:ascii="Arial" w:hAnsi="Arial" w:cs="Arial"/>
        <w:bCs/>
        <w:noProof/>
        <w:sz w:val="20"/>
      </w:rPr>
      <w:instrText xml:space="preserve"> NUMPAGES  \* Arabic  \* MERGEFORMAT </w:instrText>
    </w:r>
    <w:r w:rsidRPr="00635338">
      <w:rPr>
        <w:rFonts w:ascii="Arial" w:hAnsi="Arial" w:cs="Arial"/>
        <w:bCs/>
        <w:noProof/>
        <w:sz w:val="20"/>
      </w:rPr>
      <w:fldChar w:fldCharType="separate"/>
    </w:r>
    <w:r w:rsidR="00674CB2">
      <w:rPr>
        <w:rFonts w:ascii="Arial" w:hAnsi="Arial" w:cs="Arial"/>
        <w:bCs/>
        <w:noProof/>
        <w:sz w:val="20"/>
      </w:rPr>
      <w:t>1</w:t>
    </w:r>
    <w:r w:rsidRPr="00635338">
      <w:rPr>
        <w:rFonts w:ascii="Arial" w:hAnsi="Arial" w:cs="Arial"/>
        <w:bCs/>
        <w:noProof/>
        <w:sz w:val="20"/>
      </w:rPr>
      <w:fldChar w:fldCharType="end"/>
    </w:r>
  </w:p>
  <w:p w:rsidR="00592F93" w:rsidRDefault="00592F93" w:rsidP="000708E5">
    <w:pPr>
      <w:ind w:left="-720" w:right="720" w:firstLine="720"/>
      <w:jc w:val="both"/>
      <w:rPr>
        <w:rFonts w:ascii="Arial" w:hAnsi="Arial" w:cs="Arial"/>
        <w:sz w:val="20"/>
      </w:rPr>
    </w:pPr>
    <w:r>
      <w:rPr>
        <w:rFonts w:ascii="Arial" w:hAnsi="Arial" w:cs="Arial"/>
        <w:sz w:val="20"/>
      </w:rPr>
      <w:t xml:space="preserve">Author Dr S Stock                                                                                        </w:t>
    </w:r>
    <w:r w:rsidR="00E61534">
      <w:rPr>
        <w:rFonts w:ascii="Arial" w:hAnsi="Arial" w:cs="Arial"/>
        <w:sz w:val="20"/>
      </w:rPr>
      <w:t xml:space="preserve">        Date of last review: Nov</w:t>
    </w:r>
    <w:r>
      <w:rPr>
        <w:rFonts w:ascii="Arial" w:hAnsi="Arial" w:cs="Arial"/>
        <w:sz w:val="20"/>
      </w:rPr>
      <w:t xml:space="preserve"> 2024</w:t>
    </w:r>
  </w:p>
  <w:p w:rsidR="00592F93" w:rsidRPr="00C2271F" w:rsidRDefault="00592F93" w:rsidP="000708E5">
    <w:pPr>
      <w:ind w:left="-720" w:right="720" w:firstLine="720"/>
      <w:jc w:val="both"/>
      <w:rPr>
        <w:rFonts w:ascii="Arial" w:hAnsi="Arial" w:cs="Arial"/>
        <w:sz w:val="20"/>
      </w:rPr>
    </w:pPr>
    <w:r>
      <w:rPr>
        <w:rFonts w:ascii="Arial" w:hAnsi="Arial" w:cs="Arial"/>
        <w:sz w:val="20"/>
      </w:rPr>
      <w:t xml:space="preserve">Approved by Dr H Holt             </w:t>
    </w:r>
    <w:r w:rsidRPr="00C2271F">
      <w:rPr>
        <w:rFonts w:ascii="Arial" w:hAnsi="Arial" w:cs="Arial"/>
        <w:color w:val="FF0000"/>
        <w:sz w:val="20"/>
      </w:rPr>
      <w:t>WARNING: This is a controlled document</w:t>
    </w:r>
    <w:r w:rsidRPr="00C2271F">
      <w:rPr>
        <w:color w:val="FF0000"/>
      </w:rPr>
      <w:t xml:space="preserve"> </w:t>
    </w:r>
    <w:r w:rsidR="00E61534">
      <w:rPr>
        <w:rFonts w:ascii="Arial" w:hAnsi="Arial" w:cs="Arial"/>
        <w:sz w:val="20"/>
      </w:rPr>
      <w:t xml:space="preserve">         Revision 23</w:t>
    </w:r>
    <w:r>
      <w:rPr>
        <w:rFonts w:ascii="Arial" w:hAnsi="Arial" w:cs="Arial"/>
        <w:sz w:val="20"/>
      </w:rPr>
      <w:t>.0</w:t>
    </w:r>
  </w:p>
  <w:p w:rsidR="00592F93" w:rsidRDefault="00592F93">
    <w:pPr>
      <w:ind w:left="-720" w:right="72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F93" w:rsidRDefault="00592F93">
      <w:r>
        <w:separator/>
      </w:r>
    </w:p>
  </w:footnote>
  <w:footnote w:type="continuationSeparator" w:id="0">
    <w:p w:rsidR="00592F93" w:rsidRDefault="00592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F93" w:rsidRDefault="00592F93">
    <w:pPr>
      <w:pStyle w:val="Header"/>
      <w:rPr>
        <w:rFonts w:ascii="Arial" w:hAnsi="Arial" w:cs="Arial"/>
        <w:sz w:val="20"/>
      </w:rPr>
    </w:pPr>
    <w:r>
      <w:rPr>
        <w:rFonts w:ascii="Arial" w:hAnsi="Arial" w:cs="Arial"/>
        <w:sz w:val="20"/>
      </w:rPr>
      <w:t xml:space="preserve"> </w:t>
    </w:r>
    <w:r w:rsidRPr="000708E5">
      <w:rPr>
        <w:noProof/>
        <w:sz w:val="20"/>
        <w:lang w:eastAsia="en-GB"/>
      </w:rPr>
      <w:drawing>
        <wp:inline distT="0" distB="0" distL="0" distR="0">
          <wp:extent cx="1674495" cy="267970"/>
          <wp:effectExtent l="0" t="0" r="1905" b="0"/>
          <wp:docPr id="8" name="Picture 8" descr="EHU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HU Foundation Trus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4495" cy="267970"/>
                  </a:xfrm>
                  <a:prstGeom prst="rect">
                    <a:avLst/>
                  </a:prstGeom>
                  <a:gradFill rotWithShape="1">
                    <a:gsLst>
                      <a:gs pos="0">
                        <a:srgbClr val="FFFFFF"/>
                      </a:gs>
                      <a:gs pos="100000">
                        <a:srgbClr val="FFFFFF">
                          <a:gamma/>
                          <a:shade val="46275"/>
                          <a:invGamma/>
                        </a:srgbClr>
                      </a:gs>
                    </a:gsLst>
                    <a:lin ang="5400000" scaled="1"/>
                  </a:gradFill>
                  <a:ln>
                    <a:noFill/>
                  </a:ln>
                </pic:spPr>
              </pic:pic>
            </a:graphicData>
          </a:graphic>
        </wp:inline>
      </w:drawing>
    </w:r>
  </w:p>
  <w:p w:rsidR="00592F93" w:rsidRDefault="00592F93">
    <w:pPr>
      <w:pStyle w:val="Header"/>
      <w:rPr>
        <w:rFonts w:ascii="Arial" w:hAnsi="Arial" w:cs="Arial"/>
        <w:sz w:val="20"/>
      </w:rPr>
    </w:pPr>
  </w:p>
  <w:p w:rsidR="00592F93" w:rsidRDefault="00592F93" w:rsidP="000708E5">
    <w:pPr>
      <w:pStyle w:val="Header"/>
      <w:rPr>
        <w:rFonts w:ascii="Arial" w:hAnsi="Arial" w:cs="Arial"/>
        <w:sz w:val="20"/>
      </w:rPr>
    </w:pPr>
    <w:r w:rsidRPr="000708E5">
      <w:rPr>
        <w:rFonts w:ascii="Arial" w:hAnsi="Arial" w:cs="Arial"/>
        <w:sz w:val="20"/>
      </w:rPr>
      <w:t xml:space="preserve">Clinical Biochemistry                      </w:t>
    </w:r>
    <w:r>
      <w:rPr>
        <w:rFonts w:ascii="Arial" w:hAnsi="Arial" w:cs="Arial"/>
        <w:sz w:val="20"/>
      </w:rPr>
      <w:t xml:space="preserve">        </w:t>
    </w:r>
    <w:r w:rsidRPr="000708E5">
      <w:rPr>
        <w:rFonts w:ascii="Arial" w:hAnsi="Arial" w:cs="Arial"/>
        <w:sz w:val="20"/>
      </w:rPr>
      <w:t>Clinical Biochemistry &amp; Immunology</w:t>
    </w:r>
    <w:r>
      <w:rPr>
        <w:noProof/>
        <w:sz w:val="20"/>
        <w:lang w:eastAsia="en-GB"/>
      </w:rPr>
      <w:t xml:space="preserve"> </w:t>
    </w:r>
    <w:r w:rsidRPr="000708E5">
      <w:rPr>
        <w:rFonts w:ascii="Arial" w:hAnsi="Arial" w:cs="Arial"/>
        <w:sz w:val="20"/>
      </w:rPr>
      <w:t>User Guide</w:t>
    </w:r>
  </w:p>
  <w:p w:rsidR="00592F93" w:rsidRPr="000708E5" w:rsidRDefault="00592F93" w:rsidP="000708E5">
    <w:pPr>
      <w:pStyle w:val="Head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0B6676"/>
    <w:multiLevelType w:val="singleLevel"/>
    <w:tmpl w:val="1A3E19DA"/>
    <w:lvl w:ilvl="0">
      <w:start w:val="1"/>
      <w:numFmt w:val="lowerLetter"/>
      <w:lvlText w:val="%1."/>
      <w:lvlJc w:val="left"/>
      <w:pPr>
        <w:tabs>
          <w:tab w:val="num" w:pos="645"/>
        </w:tabs>
        <w:ind w:left="645" w:hanging="645"/>
      </w:pPr>
      <w:rPr>
        <w:rFonts w:hint="default"/>
      </w:rPr>
    </w:lvl>
  </w:abstractNum>
  <w:abstractNum w:abstractNumId="2" w15:restartNumberingAfterBreak="0">
    <w:nsid w:val="04BD7569"/>
    <w:multiLevelType w:val="hybridMultilevel"/>
    <w:tmpl w:val="279630E8"/>
    <w:lvl w:ilvl="0" w:tplc="CA327494">
      <w:start w:val="1"/>
      <w:numFmt w:val="bullet"/>
      <w:lvlText w:val=""/>
      <w:lvlJc w:val="left"/>
      <w:pPr>
        <w:tabs>
          <w:tab w:val="num" w:pos="720"/>
        </w:tabs>
        <w:ind w:left="720" w:hanging="360"/>
      </w:pPr>
      <w:rPr>
        <w:rFonts w:ascii="Symbol" w:hAnsi="Symbol" w:hint="default"/>
      </w:rPr>
    </w:lvl>
    <w:lvl w:ilvl="1" w:tplc="CA1C3FD0" w:tentative="1">
      <w:start w:val="1"/>
      <w:numFmt w:val="bullet"/>
      <w:lvlText w:val="o"/>
      <w:lvlJc w:val="left"/>
      <w:pPr>
        <w:tabs>
          <w:tab w:val="num" w:pos="1440"/>
        </w:tabs>
        <w:ind w:left="1440" w:hanging="360"/>
      </w:pPr>
      <w:rPr>
        <w:rFonts w:ascii="Courier New" w:hAnsi="Courier New" w:hint="default"/>
      </w:rPr>
    </w:lvl>
    <w:lvl w:ilvl="2" w:tplc="91B8A82E" w:tentative="1">
      <w:start w:val="1"/>
      <w:numFmt w:val="bullet"/>
      <w:lvlText w:val=""/>
      <w:lvlJc w:val="left"/>
      <w:pPr>
        <w:tabs>
          <w:tab w:val="num" w:pos="2160"/>
        </w:tabs>
        <w:ind w:left="2160" w:hanging="360"/>
      </w:pPr>
      <w:rPr>
        <w:rFonts w:ascii="Wingdings" w:hAnsi="Wingdings" w:hint="default"/>
      </w:rPr>
    </w:lvl>
    <w:lvl w:ilvl="3" w:tplc="9530D666" w:tentative="1">
      <w:start w:val="1"/>
      <w:numFmt w:val="bullet"/>
      <w:lvlText w:val=""/>
      <w:lvlJc w:val="left"/>
      <w:pPr>
        <w:tabs>
          <w:tab w:val="num" w:pos="2880"/>
        </w:tabs>
        <w:ind w:left="2880" w:hanging="360"/>
      </w:pPr>
      <w:rPr>
        <w:rFonts w:ascii="Symbol" w:hAnsi="Symbol" w:hint="default"/>
      </w:rPr>
    </w:lvl>
    <w:lvl w:ilvl="4" w:tplc="B3487F06" w:tentative="1">
      <w:start w:val="1"/>
      <w:numFmt w:val="bullet"/>
      <w:lvlText w:val="o"/>
      <w:lvlJc w:val="left"/>
      <w:pPr>
        <w:tabs>
          <w:tab w:val="num" w:pos="3600"/>
        </w:tabs>
        <w:ind w:left="3600" w:hanging="360"/>
      </w:pPr>
      <w:rPr>
        <w:rFonts w:ascii="Courier New" w:hAnsi="Courier New" w:hint="default"/>
      </w:rPr>
    </w:lvl>
    <w:lvl w:ilvl="5" w:tplc="8200C4C6" w:tentative="1">
      <w:start w:val="1"/>
      <w:numFmt w:val="bullet"/>
      <w:lvlText w:val=""/>
      <w:lvlJc w:val="left"/>
      <w:pPr>
        <w:tabs>
          <w:tab w:val="num" w:pos="4320"/>
        </w:tabs>
        <w:ind w:left="4320" w:hanging="360"/>
      </w:pPr>
      <w:rPr>
        <w:rFonts w:ascii="Wingdings" w:hAnsi="Wingdings" w:hint="default"/>
      </w:rPr>
    </w:lvl>
    <w:lvl w:ilvl="6" w:tplc="55F061C0" w:tentative="1">
      <w:start w:val="1"/>
      <w:numFmt w:val="bullet"/>
      <w:lvlText w:val=""/>
      <w:lvlJc w:val="left"/>
      <w:pPr>
        <w:tabs>
          <w:tab w:val="num" w:pos="5040"/>
        </w:tabs>
        <w:ind w:left="5040" w:hanging="360"/>
      </w:pPr>
      <w:rPr>
        <w:rFonts w:ascii="Symbol" w:hAnsi="Symbol" w:hint="default"/>
      </w:rPr>
    </w:lvl>
    <w:lvl w:ilvl="7" w:tplc="83282294" w:tentative="1">
      <w:start w:val="1"/>
      <w:numFmt w:val="bullet"/>
      <w:lvlText w:val="o"/>
      <w:lvlJc w:val="left"/>
      <w:pPr>
        <w:tabs>
          <w:tab w:val="num" w:pos="5760"/>
        </w:tabs>
        <w:ind w:left="5760" w:hanging="360"/>
      </w:pPr>
      <w:rPr>
        <w:rFonts w:ascii="Courier New" w:hAnsi="Courier New" w:hint="default"/>
      </w:rPr>
    </w:lvl>
    <w:lvl w:ilvl="8" w:tplc="D7FC6EA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4401B"/>
    <w:multiLevelType w:val="hybridMultilevel"/>
    <w:tmpl w:val="E16EF93A"/>
    <w:lvl w:ilvl="0" w:tplc="64D236A0">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410CA4"/>
    <w:multiLevelType w:val="hybridMultilevel"/>
    <w:tmpl w:val="CABC2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3A4D21"/>
    <w:multiLevelType w:val="hybridMultilevel"/>
    <w:tmpl w:val="2946DC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66B34"/>
    <w:multiLevelType w:val="hybridMultilevel"/>
    <w:tmpl w:val="EEEA1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BA66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036298D"/>
    <w:multiLevelType w:val="hybridMultilevel"/>
    <w:tmpl w:val="95288B1C"/>
    <w:lvl w:ilvl="0" w:tplc="052821E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1F101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E75083"/>
    <w:multiLevelType w:val="hybridMultilevel"/>
    <w:tmpl w:val="FD74D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7A6A5D"/>
    <w:multiLevelType w:val="multilevel"/>
    <w:tmpl w:val="A37EB6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7B35CC0"/>
    <w:multiLevelType w:val="singleLevel"/>
    <w:tmpl w:val="0809000F"/>
    <w:lvl w:ilvl="0">
      <w:start w:val="2"/>
      <w:numFmt w:val="decimal"/>
      <w:lvlText w:val="%1."/>
      <w:lvlJc w:val="left"/>
      <w:pPr>
        <w:tabs>
          <w:tab w:val="num" w:pos="360"/>
        </w:tabs>
        <w:ind w:left="360" w:hanging="360"/>
      </w:pPr>
      <w:rPr>
        <w:rFonts w:hint="default"/>
      </w:rPr>
    </w:lvl>
  </w:abstractNum>
  <w:abstractNum w:abstractNumId="13" w15:restartNumberingAfterBreak="0">
    <w:nsid w:val="187E47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A3C12F0"/>
    <w:multiLevelType w:val="singleLevel"/>
    <w:tmpl w:val="7CE85AF2"/>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B3C7A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B9B41B1"/>
    <w:multiLevelType w:val="hybridMultilevel"/>
    <w:tmpl w:val="FD843D82"/>
    <w:lvl w:ilvl="0" w:tplc="E7FAF15C">
      <w:start w:val="10"/>
      <w:numFmt w:val="decimal"/>
      <w:lvlText w:val="%1"/>
      <w:lvlJc w:val="left"/>
      <w:pPr>
        <w:ind w:left="720" w:hanging="360"/>
      </w:pPr>
      <w:rPr>
        <w:rFonts w:ascii="Arial" w:hAnsi="Arial" w:cs="Arial"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2A3859"/>
    <w:multiLevelType w:val="hybridMultilevel"/>
    <w:tmpl w:val="F3B05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534C22"/>
    <w:multiLevelType w:val="hybridMultilevel"/>
    <w:tmpl w:val="435809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D032DD5"/>
    <w:multiLevelType w:val="hybridMultilevel"/>
    <w:tmpl w:val="7E4827B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F0119B9"/>
    <w:multiLevelType w:val="hybridMultilevel"/>
    <w:tmpl w:val="26EC8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996066"/>
    <w:multiLevelType w:val="hybridMultilevel"/>
    <w:tmpl w:val="0324DE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096474B"/>
    <w:multiLevelType w:val="hybridMultilevel"/>
    <w:tmpl w:val="0F32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B21021"/>
    <w:multiLevelType w:val="hybridMultilevel"/>
    <w:tmpl w:val="D604E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946787"/>
    <w:multiLevelType w:val="hybridMultilevel"/>
    <w:tmpl w:val="CAFA789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4A74C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54B6A5F"/>
    <w:multiLevelType w:val="hybridMultilevel"/>
    <w:tmpl w:val="3D64AC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6EB4C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27B90E7F"/>
    <w:multiLevelType w:val="hybridMultilevel"/>
    <w:tmpl w:val="913C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170081"/>
    <w:multiLevelType w:val="hybridMultilevel"/>
    <w:tmpl w:val="0FB0352C"/>
    <w:lvl w:ilvl="0" w:tplc="BF56E8CC">
      <w:start w:val="1"/>
      <w:numFmt w:val="decimal"/>
      <w:lvlText w:val="%1."/>
      <w:lvlJc w:val="left"/>
      <w:pPr>
        <w:ind w:left="720" w:hanging="360"/>
      </w:pPr>
      <w:rPr>
        <w:rFonts w:ascii="Arial Bold" w:hAnsi="Arial Bold" w:hint="default"/>
        <w:sz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A8154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2AEC6738"/>
    <w:multiLevelType w:val="singleLevel"/>
    <w:tmpl w:val="7CE85AF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2AF8156B"/>
    <w:multiLevelType w:val="hybridMultilevel"/>
    <w:tmpl w:val="7A76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0E7A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2CD236A9"/>
    <w:multiLevelType w:val="hybridMultilevel"/>
    <w:tmpl w:val="7ECE2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A55DC9"/>
    <w:multiLevelType w:val="hybridMultilevel"/>
    <w:tmpl w:val="6E4CBFD8"/>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6" w15:restartNumberingAfterBreak="0">
    <w:nsid w:val="32802452"/>
    <w:multiLevelType w:val="hybridMultilevel"/>
    <w:tmpl w:val="50AC5D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29E155A"/>
    <w:multiLevelType w:val="hybridMultilevel"/>
    <w:tmpl w:val="F348A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4142169"/>
    <w:multiLevelType w:val="singleLevel"/>
    <w:tmpl w:val="193A0E0C"/>
    <w:lvl w:ilvl="0">
      <w:start w:val="1"/>
      <w:numFmt w:val="bullet"/>
      <w:lvlText w:val="-"/>
      <w:lvlJc w:val="left"/>
      <w:pPr>
        <w:tabs>
          <w:tab w:val="num" w:pos="1498"/>
        </w:tabs>
        <w:ind w:left="1498" w:hanging="360"/>
      </w:pPr>
      <w:rPr>
        <w:rFonts w:ascii="Courier" w:hAnsi="Courier" w:hint="default"/>
        <w:sz w:val="24"/>
      </w:rPr>
    </w:lvl>
  </w:abstractNum>
  <w:abstractNum w:abstractNumId="39" w15:restartNumberingAfterBreak="0">
    <w:nsid w:val="348E6A8E"/>
    <w:multiLevelType w:val="hybridMultilevel"/>
    <w:tmpl w:val="0C1A9D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011F35"/>
    <w:multiLevelType w:val="singleLevel"/>
    <w:tmpl w:val="0B32ED12"/>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357C1BB0"/>
    <w:multiLevelType w:val="multilevel"/>
    <w:tmpl w:val="E9561E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3CB76E04"/>
    <w:multiLevelType w:val="singleLevel"/>
    <w:tmpl w:val="7CE85AF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5051085"/>
    <w:multiLevelType w:val="hybridMultilevel"/>
    <w:tmpl w:val="EB70E9A6"/>
    <w:lvl w:ilvl="0" w:tplc="052821EE">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4" w15:restartNumberingAfterBreak="0">
    <w:nsid w:val="46305B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468F19B4"/>
    <w:multiLevelType w:val="hybridMultilevel"/>
    <w:tmpl w:val="C882B106"/>
    <w:lvl w:ilvl="0" w:tplc="E330274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49BB482D"/>
    <w:multiLevelType w:val="hybridMultilevel"/>
    <w:tmpl w:val="36642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C3551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4D7F3D53"/>
    <w:multiLevelType w:val="singleLevel"/>
    <w:tmpl w:val="C13CB082"/>
    <w:lvl w:ilvl="0">
      <w:start w:val="1"/>
      <w:numFmt w:val="lowerLetter"/>
      <w:lvlText w:val="(%1)"/>
      <w:lvlJc w:val="left"/>
      <w:pPr>
        <w:tabs>
          <w:tab w:val="num" w:pos="720"/>
        </w:tabs>
        <w:ind w:left="720" w:hanging="360"/>
      </w:pPr>
      <w:rPr>
        <w:rFonts w:hint="default"/>
      </w:rPr>
    </w:lvl>
  </w:abstractNum>
  <w:abstractNum w:abstractNumId="49" w15:restartNumberingAfterBreak="0">
    <w:nsid w:val="520B37E5"/>
    <w:multiLevelType w:val="singleLevel"/>
    <w:tmpl w:val="2164704C"/>
    <w:lvl w:ilvl="0">
      <w:start w:val="1"/>
      <w:numFmt w:val="lowerLetter"/>
      <w:lvlText w:val="(%1)"/>
      <w:lvlJc w:val="left"/>
      <w:pPr>
        <w:tabs>
          <w:tab w:val="num" w:pos="720"/>
        </w:tabs>
        <w:ind w:left="720" w:hanging="360"/>
      </w:pPr>
      <w:rPr>
        <w:rFonts w:hint="default"/>
      </w:rPr>
    </w:lvl>
  </w:abstractNum>
  <w:abstractNum w:abstractNumId="50" w15:restartNumberingAfterBreak="0">
    <w:nsid w:val="533032C3"/>
    <w:multiLevelType w:val="hybridMultilevel"/>
    <w:tmpl w:val="41606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4174F0C"/>
    <w:multiLevelType w:val="multilevel"/>
    <w:tmpl w:val="23F279D0"/>
    <w:lvl w:ilvl="0">
      <w:start w:val="1"/>
      <w:numFmt w:val="bullet"/>
      <w:lvlText w:val=""/>
      <w:lvlJc w:val="left"/>
      <w:pPr>
        <w:tabs>
          <w:tab w:val="num" w:pos="720"/>
        </w:tabs>
        <w:ind w:left="720" w:hanging="360"/>
      </w:pPr>
      <w:rPr>
        <w:rFonts w:ascii="Symbol" w:hAnsi="Symbol" w:hint="default"/>
        <w:sz w:val="20"/>
      </w:rPr>
    </w:lvl>
    <w:lvl w:ilvl="1">
      <w:start w:val="21"/>
      <w:numFmt w:val="decimal"/>
      <w:lvlText w:val="%2."/>
      <w:lvlJc w:val="left"/>
      <w:pPr>
        <w:ind w:left="1440" w:hanging="360"/>
      </w:pPr>
      <w:rPr>
        <w:rFonts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8215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5782517D"/>
    <w:multiLevelType w:val="singleLevel"/>
    <w:tmpl w:val="7CE85AF2"/>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5C1732F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5C1B4D26"/>
    <w:multiLevelType w:val="hybridMultilevel"/>
    <w:tmpl w:val="1D34C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CFC7567"/>
    <w:multiLevelType w:val="singleLevel"/>
    <w:tmpl w:val="7CE85AF2"/>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5DE85C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5EEC54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5F8F2A0C"/>
    <w:multiLevelType w:val="hybridMultilevel"/>
    <w:tmpl w:val="7BB41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0057915"/>
    <w:multiLevelType w:val="hybridMultilevel"/>
    <w:tmpl w:val="D06E8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11F3131"/>
    <w:multiLevelType w:val="hybridMultilevel"/>
    <w:tmpl w:val="CC3CC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AB446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C5019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6D8B351F"/>
    <w:multiLevelType w:val="singleLevel"/>
    <w:tmpl w:val="7CE85AF2"/>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6F1D730F"/>
    <w:multiLevelType w:val="singleLevel"/>
    <w:tmpl w:val="AC3E42C2"/>
    <w:lvl w:ilvl="0">
      <w:start w:val="1"/>
      <w:numFmt w:val="lowerLetter"/>
      <w:lvlText w:val="(%1)"/>
      <w:lvlJc w:val="left"/>
      <w:pPr>
        <w:tabs>
          <w:tab w:val="num" w:pos="720"/>
        </w:tabs>
        <w:ind w:left="720" w:hanging="360"/>
      </w:pPr>
      <w:rPr>
        <w:rFonts w:hint="default"/>
      </w:rPr>
    </w:lvl>
  </w:abstractNum>
  <w:abstractNum w:abstractNumId="66" w15:restartNumberingAfterBreak="0">
    <w:nsid w:val="71621B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75417E18"/>
    <w:multiLevelType w:val="hybridMultilevel"/>
    <w:tmpl w:val="C03A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ED2511"/>
    <w:multiLevelType w:val="hybridMultilevel"/>
    <w:tmpl w:val="13FAC3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78158F5"/>
    <w:multiLevelType w:val="singleLevel"/>
    <w:tmpl w:val="A5FE8B0E"/>
    <w:lvl w:ilvl="0">
      <w:start w:val="1"/>
      <w:numFmt w:val="decimal"/>
      <w:lvlText w:val="%1."/>
      <w:lvlJc w:val="left"/>
      <w:pPr>
        <w:tabs>
          <w:tab w:val="num" w:pos="645"/>
        </w:tabs>
        <w:ind w:left="645" w:hanging="645"/>
      </w:pPr>
      <w:rPr>
        <w:rFonts w:ascii="Times New Roman" w:hAnsi="Times New Roman" w:hint="default"/>
        <w:b w:val="0"/>
        <w:i w:val="0"/>
        <w:sz w:val="20"/>
      </w:rPr>
    </w:lvl>
  </w:abstractNum>
  <w:abstractNum w:abstractNumId="70" w15:restartNumberingAfterBreak="0">
    <w:nsid w:val="779F4EAC"/>
    <w:multiLevelType w:val="hybridMultilevel"/>
    <w:tmpl w:val="47E44A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720"/>
        <w:lvlJc w:val="left"/>
        <w:pPr>
          <w:ind w:left="720" w:hanging="720"/>
        </w:pPr>
        <w:rPr>
          <w:rFonts w:ascii="CG Times" w:hAnsi="CG Times" w:hint="default"/>
        </w:rPr>
      </w:lvl>
    </w:lvlOverride>
  </w:num>
  <w:num w:numId="2">
    <w:abstractNumId w:val="0"/>
    <w:lvlOverride w:ilvl="0">
      <w:lvl w:ilvl="0">
        <w:numFmt w:val="bullet"/>
        <w:lvlText w:val="•"/>
        <w:legacy w:legacy="1" w:legacySpace="0" w:legacyIndent="720"/>
        <w:lvlJc w:val="left"/>
        <w:pPr>
          <w:ind w:left="720" w:hanging="720"/>
        </w:pPr>
        <w:rPr>
          <w:rFonts w:ascii="Times New Roman" w:hAnsi="Times New Roman" w:hint="default"/>
        </w:rPr>
      </w:lvl>
    </w:lvlOverride>
  </w:num>
  <w:num w:numId="3">
    <w:abstractNumId w:val="69"/>
  </w:num>
  <w:num w:numId="4">
    <w:abstractNumId w:val="1"/>
  </w:num>
  <w:num w:numId="5">
    <w:abstractNumId w:val="12"/>
  </w:num>
  <w:num w:numId="6">
    <w:abstractNumId w:val="58"/>
  </w:num>
  <w:num w:numId="7">
    <w:abstractNumId w:val="38"/>
  </w:num>
  <w:num w:numId="8">
    <w:abstractNumId w:val="66"/>
  </w:num>
  <w:num w:numId="9">
    <w:abstractNumId w:val="33"/>
  </w:num>
  <w:num w:numId="10">
    <w:abstractNumId w:val="44"/>
  </w:num>
  <w:num w:numId="11">
    <w:abstractNumId w:val="40"/>
  </w:num>
  <w:num w:numId="12">
    <w:abstractNumId w:val="27"/>
  </w:num>
  <w:num w:numId="13">
    <w:abstractNumId w:val="49"/>
  </w:num>
  <w:num w:numId="14">
    <w:abstractNumId w:val="47"/>
  </w:num>
  <w:num w:numId="15">
    <w:abstractNumId w:val="57"/>
  </w:num>
  <w:num w:numId="16">
    <w:abstractNumId w:val="65"/>
  </w:num>
  <w:num w:numId="17">
    <w:abstractNumId w:val="15"/>
  </w:num>
  <w:num w:numId="18">
    <w:abstractNumId w:val="62"/>
  </w:num>
  <w:num w:numId="19">
    <w:abstractNumId w:val="48"/>
  </w:num>
  <w:num w:numId="20">
    <w:abstractNumId w:val="13"/>
  </w:num>
  <w:num w:numId="21">
    <w:abstractNumId w:val="54"/>
  </w:num>
  <w:num w:numId="22">
    <w:abstractNumId w:val="30"/>
  </w:num>
  <w:num w:numId="23">
    <w:abstractNumId w:val="25"/>
  </w:num>
  <w:num w:numId="24">
    <w:abstractNumId w:val="63"/>
  </w:num>
  <w:num w:numId="25">
    <w:abstractNumId w:val="7"/>
  </w:num>
  <w:num w:numId="26">
    <w:abstractNumId w:val="9"/>
  </w:num>
  <w:num w:numId="27">
    <w:abstractNumId w:val="52"/>
  </w:num>
  <w:num w:numId="28">
    <w:abstractNumId w:val="56"/>
  </w:num>
  <w:num w:numId="29">
    <w:abstractNumId w:val="42"/>
  </w:num>
  <w:num w:numId="30">
    <w:abstractNumId w:val="53"/>
  </w:num>
  <w:num w:numId="31">
    <w:abstractNumId w:val="64"/>
  </w:num>
  <w:num w:numId="32">
    <w:abstractNumId w:val="31"/>
  </w:num>
  <w:num w:numId="33">
    <w:abstractNumId w:val="14"/>
  </w:num>
  <w:num w:numId="34">
    <w:abstractNumId w:val="2"/>
  </w:num>
  <w:num w:numId="35">
    <w:abstractNumId w:val="68"/>
  </w:num>
  <w:num w:numId="36">
    <w:abstractNumId w:val="19"/>
  </w:num>
  <w:num w:numId="37">
    <w:abstractNumId w:val="45"/>
  </w:num>
  <w:num w:numId="38">
    <w:abstractNumId w:val="39"/>
  </w:num>
  <w:num w:numId="39">
    <w:abstractNumId w:val="5"/>
  </w:num>
  <w:num w:numId="40">
    <w:abstractNumId w:val="70"/>
  </w:num>
  <w:num w:numId="41">
    <w:abstractNumId w:val="26"/>
  </w:num>
  <w:num w:numId="42">
    <w:abstractNumId w:val="18"/>
  </w:num>
  <w:num w:numId="43">
    <w:abstractNumId w:val="4"/>
  </w:num>
  <w:num w:numId="44">
    <w:abstractNumId w:val="29"/>
  </w:num>
  <w:num w:numId="45">
    <w:abstractNumId w:val="3"/>
  </w:num>
  <w:num w:numId="46">
    <w:abstractNumId w:val="37"/>
  </w:num>
  <w:num w:numId="47">
    <w:abstractNumId w:val="17"/>
  </w:num>
  <w:num w:numId="48">
    <w:abstractNumId w:val="35"/>
  </w:num>
  <w:num w:numId="49">
    <w:abstractNumId w:val="59"/>
  </w:num>
  <w:num w:numId="50">
    <w:abstractNumId w:val="67"/>
  </w:num>
  <w:num w:numId="51">
    <w:abstractNumId w:val="50"/>
  </w:num>
  <w:num w:numId="52">
    <w:abstractNumId w:val="34"/>
  </w:num>
  <w:num w:numId="53">
    <w:abstractNumId w:val="36"/>
  </w:num>
  <w:num w:numId="54">
    <w:abstractNumId w:val="21"/>
  </w:num>
  <w:num w:numId="55">
    <w:abstractNumId w:val="32"/>
  </w:num>
  <w:num w:numId="56">
    <w:abstractNumId w:val="41"/>
  </w:num>
  <w:num w:numId="57">
    <w:abstractNumId w:val="10"/>
  </w:num>
  <w:num w:numId="58">
    <w:abstractNumId w:val="51"/>
  </w:num>
  <w:num w:numId="59">
    <w:abstractNumId w:val="61"/>
  </w:num>
  <w:num w:numId="60">
    <w:abstractNumId w:val="43"/>
  </w:num>
  <w:num w:numId="61">
    <w:abstractNumId w:val="8"/>
  </w:num>
  <w:num w:numId="62">
    <w:abstractNumId w:val="11"/>
  </w:num>
  <w:num w:numId="63">
    <w:abstractNumId w:val="23"/>
  </w:num>
  <w:num w:numId="64">
    <w:abstractNumId w:val="24"/>
  </w:num>
  <w:num w:numId="65">
    <w:abstractNumId w:val="60"/>
  </w:num>
  <w:num w:numId="66">
    <w:abstractNumId w:val="55"/>
  </w:num>
  <w:num w:numId="67">
    <w:abstractNumId w:val="22"/>
  </w:num>
  <w:num w:numId="68">
    <w:abstractNumId w:val="46"/>
  </w:num>
  <w:num w:numId="69">
    <w:abstractNumId w:val="28"/>
  </w:num>
  <w:num w:numId="70">
    <w:abstractNumId w:val="20"/>
  </w:num>
  <w:num w:numId="71">
    <w:abstractNumId w:val="6"/>
  </w:num>
  <w:num w:numId="72">
    <w:abstractNumId w:val="1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bordersDoNotSurroundHeader/>
  <w:bordersDoNotSurroundFooter/>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131078" w:nlCheck="1" w:checkStyle="0"/>
  <w:activeWritingStyle w:appName="MSWord" w:lang="es-AR" w:vendorID="64" w:dllVersion="131078" w:nlCheck="1" w:checkStyle="0"/>
  <w:activeWritingStyle w:appName="MSWord" w:lang="fr-FR"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9697"/>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C82"/>
    <w:rsid w:val="00000B95"/>
    <w:rsid w:val="00004275"/>
    <w:rsid w:val="00004D6D"/>
    <w:rsid w:val="00004F4E"/>
    <w:rsid w:val="000068FA"/>
    <w:rsid w:val="00006B4B"/>
    <w:rsid w:val="00007773"/>
    <w:rsid w:val="000105E3"/>
    <w:rsid w:val="000119E4"/>
    <w:rsid w:val="00012C31"/>
    <w:rsid w:val="000140C6"/>
    <w:rsid w:val="00014444"/>
    <w:rsid w:val="00016F26"/>
    <w:rsid w:val="0002378F"/>
    <w:rsid w:val="00026A0F"/>
    <w:rsid w:val="00030228"/>
    <w:rsid w:val="00030A32"/>
    <w:rsid w:val="000315B3"/>
    <w:rsid w:val="00031A6D"/>
    <w:rsid w:val="00032BAB"/>
    <w:rsid w:val="000352CA"/>
    <w:rsid w:val="00035654"/>
    <w:rsid w:val="000404D6"/>
    <w:rsid w:val="0004218C"/>
    <w:rsid w:val="00046A1B"/>
    <w:rsid w:val="00046DAB"/>
    <w:rsid w:val="000472DD"/>
    <w:rsid w:val="00050A7D"/>
    <w:rsid w:val="00051498"/>
    <w:rsid w:val="000516FB"/>
    <w:rsid w:val="00052ABA"/>
    <w:rsid w:val="00052B89"/>
    <w:rsid w:val="00052F24"/>
    <w:rsid w:val="000538C1"/>
    <w:rsid w:val="00057306"/>
    <w:rsid w:val="00057DD2"/>
    <w:rsid w:val="000603D2"/>
    <w:rsid w:val="00062DB9"/>
    <w:rsid w:val="00064247"/>
    <w:rsid w:val="0006628E"/>
    <w:rsid w:val="00066BE9"/>
    <w:rsid w:val="000708E5"/>
    <w:rsid w:val="0007139E"/>
    <w:rsid w:val="00072254"/>
    <w:rsid w:val="00072A75"/>
    <w:rsid w:val="00074471"/>
    <w:rsid w:val="0007551E"/>
    <w:rsid w:val="00075A6F"/>
    <w:rsid w:val="00076537"/>
    <w:rsid w:val="00076A54"/>
    <w:rsid w:val="00080860"/>
    <w:rsid w:val="000821B6"/>
    <w:rsid w:val="000826B0"/>
    <w:rsid w:val="00085C23"/>
    <w:rsid w:val="00087CD0"/>
    <w:rsid w:val="000903C9"/>
    <w:rsid w:val="000906B4"/>
    <w:rsid w:val="0009249A"/>
    <w:rsid w:val="000945D3"/>
    <w:rsid w:val="00094644"/>
    <w:rsid w:val="00095069"/>
    <w:rsid w:val="00096443"/>
    <w:rsid w:val="000973CD"/>
    <w:rsid w:val="000A0B23"/>
    <w:rsid w:val="000A14AF"/>
    <w:rsid w:val="000A1773"/>
    <w:rsid w:val="000A53AA"/>
    <w:rsid w:val="000A6177"/>
    <w:rsid w:val="000A7413"/>
    <w:rsid w:val="000A755B"/>
    <w:rsid w:val="000B06F9"/>
    <w:rsid w:val="000B11A2"/>
    <w:rsid w:val="000B12BC"/>
    <w:rsid w:val="000B308E"/>
    <w:rsid w:val="000B3803"/>
    <w:rsid w:val="000B5585"/>
    <w:rsid w:val="000C022C"/>
    <w:rsid w:val="000C036F"/>
    <w:rsid w:val="000C0EA2"/>
    <w:rsid w:val="000C1F29"/>
    <w:rsid w:val="000C2E2F"/>
    <w:rsid w:val="000C4EA0"/>
    <w:rsid w:val="000C67F2"/>
    <w:rsid w:val="000C7560"/>
    <w:rsid w:val="000D07F3"/>
    <w:rsid w:val="000D1FEB"/>
    <w:rsid w:val="000D2F21"/>
    <w:rsid w:val="000D2F29"/>
    <w:rsid w:val="000D6392"/>
    <w:rsid w:val="000D79C9"/>
    <w:rsid w:val="000E0EEE"/>
    <w:rsid w:val="000E1280"/>
    <w:rsid w:val="000E2AE5"/>
    <w:rsid w:val="000E3BD9"/>
    <w:rsid w:val="000E4D73"/>
    <w:rsid w:val="000E610F"/>
    <w:rsid w:val="000E737B"/>
    <w:rsid w:val="000F083C"/>
    <w:rsid w:val="000F198E"/>
    <w:rsid w:val="000F2482"/>
    <w:rsid w:val="000F29B2"/>
    <w:rsid w:val="000F4DA7"/>
    <w:rsid w:val="000F7CC9"/>
    <w:rsid w:val="00101F2F"/>
    <w:rsid w:val="00102B3C"/>
    <w:rsid w:val="0010390D"/>
    <w:rsid w:val="00104D76"/>
    <w:rsid w:val="00106839"/>
    <w:rsid w:val="00107075"/>
    <w:rsid w:val="00107DB5"/>
    <w:rsid w:val="00107FD6"/>
    <w:rsid w:val="00111639"/>
    <w:rsid w:val="00114216"/>
    <w:rsid w:val="00114BB8"/>
    <w:rsid w:val="00116F2F"/>
    <w:rsid w:val="001175CE"/>
    <w:rsid w:val="001204D1"/>
    <w:rsid w:val="00121FD7"/>
    <w:rsid w:val="00134371"/>
    <w:rsid w:val="00135376"/>
    <w:rsid w:val="00135EB4"/>
    <w:rsid w:val="001404F4"/>
    <w:rsid w:val="00140588"/>
    <w:rsid w:val="00144F0C"/>
    <w:rsid w:val="00150072"/>
    <w:rsid w:val="00150F1D"/>
    <w:rsid w:val="00151505"/>
    <w:rsid w:val="00153692"/>
    <w:rsid w:val="00154418"/>
    <w:rsid w:val="00155C34"/>
    <w:rsid w:val="0016078D"/>
    <w:rsid w:val="00161398"/>
    <w:rsid w:val="001616FD"/>
    <w:rsid w:val="001623B4"/>
    <w:rsid w:val="00163C24"/>
    <w:rsid w:val="001659AF"/>
    <w:rsid w:val="00166989"/>
    <w:rsid w:val="00167190"/>
    <w:rsid w:val="00167597"/>
    <w:rsid w:val="00172053"/>
    <w:rsid w:val="001753F1"/>
    <w:rsid w:val="00177334"/>
    <w:rsid w:val="001800B6"/>
    <w:rsid w:val="00182CF6"/>
    <w:rsid w:val="00183871"/>
    <w:rsid w:val="00183F4B"/>
    <w:rsid w:val="00184534"/>
    <w:rsid w:val="00185166"/>
    <w:rsid w:val="00187B52"/>
    <w:rsid w:val="00187B55"/>
    <w:rsid w:val="00187F4E"/>
    <w:rsid w:val="00190655"/>
    <w:rsid w:val="00193D24"/>
    <w:rsid w:val="00196D17"/>
    <w:rsid w:val="0019747C"/>
    <w:rsid w:val="001A1276"/>
    <w:rsid w:val="001A39F4"/>
    <w:rsid w:val="001A5402"/>
    <w:rsid w:val="001A5534"/>
    <w:rsid w:val="001A76E1"/>
    <w:rsid w:val="001B2152"/>
    <w:rsid w:val="001B2E1B"/>
    <w:rsid w:val="001B35AC"/>
    <w:rsid w:val="001B605C"/>
    <w:rsid w:val="001B7698"/>
    <w:rsid w:val="001C0BA0"/>
    <w:rsid w:val="001C3275"/>
    <w:rsid w:val="001C3559"/>
    <w:rsid w:val="001C4E0D"/>
    <w:rsid w:val="001C5195"/>
    <w:rsid w:val="001C679A"/>
    <w:rsid w:val="001C6F70"/>
    <w:rsid w:val="001C7A67"/>
    <w:rsid w:val="001D1989"/>
    <w:rsid w:val="001D35C2"/>
    <w:rsid w:val="001D7BF2"/>
    <w:rsid w:val="001E184C"/>
    <w:rsid w:val="001E194D"/>
    <w:rsid w:val="001E2A99"/>
    <w:rsid w:val="001E3429"/>
    <w:rsid w:val="001E36B2"/>
    <w:rsid w:val="001E3CFA"/>
    <w:rsid w:val="001E4B5D"/>
    <w:rsid w:val="001E5126"/>
    <w:rsid w:val="001F3C6F"/>
    <w:rsid w:val="001F43AD"/>
    <w:rsid w:val="001F59AB"/>
    <w:rsid w:val="001F5CEF"/>
    <w:rsid w:val="001F7969"/>
    <w:rsid w:val="0020036F"/>
    <w:rsid w:val="00200FD9"/>
    <w:rsid w:val="00202A47"/>
    <w:rsid w:val="00202CED"/>
    <w:rsid w:val="00204075"/>
    <w:rsid w:val="00204129"/>
    <w:rsid w:val="00214B05"/>
    <w:rsid w:val="00217E12"/>
    <w:rsid w:val="00220385"/>
    <w:rsid w:val="00220655"/>
    <w:rsid w:val="0022117F"/>
    <w:rsid w:val="00221340"/>
    <w:rsid w:val="002230E6"/>
    <w:rsid w:val="002245B4"/>
    <w:rsid w:val="00224EEE"/>
    <w:rsid w:val="00224F8B"/>
    <w:rsid w:val="00225994"/>
    <w:rsid w:val="002269B2"/>
    <w:rsid w:val="0023165D"/>
    <w:rsid w:val="00232E67"/>
    <w:rsid w:val="0023566F"/>
    <w:rsid w:val="00235851"/>
    <w:rsid w:val="002405EC"/>
    <w:rsid w:val="00241BA3"/>
    <w:rsid w:val="002439CE"/>
    <w:rsid w:val="00246F1F"/>
    <w:rsid w:val="00247B62"/>
    <w:rsid w:val="00250FDE"/>
    <w:rsid w:val="0025269E"/>
    <w:rsid w:val="00252CAB"/>
    <w:rsid w:val="00253143"/>
    <w:rsid w:val="00253BE2"/>
    <w:rsid w:val="0025400E"/>
    <w:rsid w:val="00254FD6"/>
    <w:rsid w:val="00255027"/>
    <w:rsid w:val="00255F40"/>
    <w:rsid w:val="002564CD"/>
    <w:rsid w:val="0025724A"/>
    <w:rsid w:val="00257503"/>
    <w:rsid w:val="00261817"/>
    <w:rsid w:val="00261AE4"/>
    <w:rsid w:val="0026209C"/>
    <w:rsid w:val="002623B0"/>
    <w:rsid w:val="0026258F"/>
    <w:rsid w:val="0026390B"/>
    <w:rsid w:val="00263F2F"/>
    <w:rsid w:val="00264B32"/>
    <w:rsid w:val="00265191"/>
    <w:rsid w:val="002659FB"/>
    <w:rsid w:val="002664DB"/>
    <w:rsid w:val="00267099"/>
    <w:rsid w:val="002674A5"/>
    <w:rsid w:val="00271A9F"/>
    <w:rsid w:val="00273841"/>
    <w:rsid w:val="00273C0A"/>
    <w:rsid w:val="00274B30"/>
    <w:rsid w:val="00276ADE"/>
    <w:rsid w:val="00276B7C"/>
    <w:rsid w:val="002775CB"/>
    <w:rsid w:val="00283D16"/>
    <w:rsid w:val="00283D27"/>
    <w:rsid w:val="00284802"/>
    <w:rsid w:val="00284928"/>
    <w:rsid w:val="002856D1"/>
    <w:rsid w:val="00287203"/>
    <w:rsid w:val="00290BED"/>
    <w:rsid w:val="0029148C"/>
    <w:rsid w:val="002915DD"/>
    <w:rsid w:val="00292125"/>
    <w:rsid w:val="002923AD"/>
    <w:rsid w:val="00292CE7"/>
    <w:rsid w:val="002960CA"/>
    <w:rsid w:val="002A00A6"/>
    <w:rsid w:val="002A0AB3"/>
    <w:rsid w:val="002A1847"/>
    <w:rsid w:val="002A41E0"/>
    <w:rsid w:val="002A5588"/>
    <w:rsid w:val="002A6840"/>
    <w:rsid w:val="002B0E18"/>
    <w:rsid w:val="002B1D6C"/>
    <w:rsid w:val="002B2BFA"/>
    <w:rsid w:val="002B341B"/>
    <w:rsid w:val="002B4CA5"/>
    <w:rsid w:val="002B59C7"/>
    <w:rsid w:val="002B61E4"/>
    <w:rsid w:val="002B669F"/>
    <w:rsid w:val="002B6E43"/>
    <w:rsid w:val="002B6FEC"/>
    <w:rsid w:val="002B715C"/>
    <w:rsid w:val="002B7F9F"/>
    <w:rsid w:val="002C0F8A"/>
    <w:rsid w:val="002C34CE"/>
    <w:rsid w:val="002C6377"/>
    <w:rsid w:val="002C672A"/>
    <w:rsid w:val="002C6AF3"/>
    <w:rsid w:val="002D0ED2"/>
    <w:rsid w:val="002D1387"/>
    <w:rsid w:val="002D17CE"/>
    <w:rsid w:val="002D1DB0"/>
    <w:rsid w:val="002D2BBA"/>
    <w:rsid w:val="002D3D2D"/>
    <w:rsid w:val="002D56C5"/>
    <w:rsid w:val="002D58BD"/>
    <w:rsid w:val="002D5FB6"/>
    <w:rsid w:val="002D6405"/>
    <w:rsid w:val="002D7666"/>
    <w:rsid w:val="002D798A"/>
    <w:rsid w:val="002E0A8F"/>
    <w:rsid w:val="002E2BA7"/>
    <w:rsid w:val="002E2C2D"/>
    <w:rsid w:val="002E4AFE"/>
    <w:rsid w:val="002E4EB5"/>
    <w:rsid w:val="002E5992"/>
    <w:rsid w:val="002E5DE7"/>
    <w:rsid w:val="002E6E21"/>
    <w:rsid w:val="002E74E4"/>
    <w:rsid w:val="002F2428"/>
    <w:rsid w:val="002F7075"/>
    <w:rsid w:val="002F7745"/>
    <w:rsid w:val="003033C0"/>
    <w:rsid w:val="003034F4"/>
    <w:rsid w:val="003035AB"/>
    <w:rsid w:val="0030616B"/>
    <w:rsid w:val="0030744F"/>
    <w:rsid w:val="00310A88"/>
    <w:rsid w:val="00313009"/>
    <w:rsid w:val="003137CA"/>
    <w:rsid w:val="00314170"/>
    <w:rsid w:val="0031527C"/>
    <w:rsid w:val="00316146"/>
    <w:rsid w:val="00316A54"/>
    <w:rsid w:val="00316F22"/>
    <w:rsid w:val="00317FE6"/>
    <w:rsid w:val="0032030F"/>
    <w:rsid w:val="00320C15"/>
    <w:rsid w:val="00321891"/>
    <w:rsid w:val="00324054"/>
    <w:rsid w:val="0032598A"/>
    <w:rsid w:val="00327D16"/>
    <w:rsid w:val="00327D9C"/>
    <w:rsid w:val="00331540"/>
    <w:rsid w:val="00331E63"/>
    <w:rsid w:val="0033383E"/>
    <w:rsid w:val="00333C38"/>
    <w:rsid w:val="00342A9A"/>
    <w:rsid w:val="00344CE7"/>
    <w:rsid w:val="00345E51"/>
    <w:rsid w:val="00346B88"/>
    <w:rsid w:val="003506D5"/>
    <w:rsid w:val="00353053"/>
    <w:rsid w:val="003533E9"/>
    <w:rsid w:val="0035373B"/>
    <w:rsid w:val="00354B31"/>
    <w:rsid w:val="00355152"/>
    <w:rsid w:val="00355AD9"/>
    <w:rsid w:val="00356062"/>
    <w:rsid w:val="00365C54"/>
    <w:rsid w:val="0036638B"/>
    <w:rsid w:val="00366400"/>
    <w:rsid w:val="00367CCC"/>
    <w:rsid w:val="00367DE4"/>
    <w:rsid w:val="00372A55"/>
    <w:rsid w:val="0037465F"/>
    <w:rsid w:val="00376AE4"/>
    <w:rsid w:val="00376C26"/>
    <w:rsid w:val="00376C54"/>
    <w:rsid w:val="00381B62"/>
    <w:rsid w:val="00381EFE"/>
    <w:rsid w:val="00382413"/>
    <w:rsid w:val="003844FB"/>
    <w:rsid w:val="003879F0"/>
    <w:rsid w:val="003901ED"/>
    <w:rsid w:val="003904C1"/>
    <w:rsid w:val="003909C3"/>
    <w:rsid w:val="00393063"/>
    <w:rsid w:val="003931B8"/>
    <w:rsid w:val="003937CE"/>
    <w:rsid w:val="00394343"/>
    <w:rsid w:val="003952B9"/>
    <w:rsid w:val="00395906"/>
    <w:rsid w:val="00395D55"/>
    <w:rsid w:val="00396E26"/>
    <w:rsid w:val="00397FAC"/>
    <w:rsid w:val="003A0F33"/>
    <w:rsid w:val="003A0F7B"/>
    <w:rsid w:val="003A157E"/>
    <w:rsid w:val="003A4CC8"/>
    <w:rsid w:val="003A5689"/>
    <w:rsid w:val="003B00C5"/>
    <w:rsid w:val="003B12CA"/>
    <w:rsid w:val="003B1F22"/>
    <w:rsid w:val="003B427B"/>
    <w:rsid w:val="003B7BE8"/>
    <w:rsid w:val="003C0273"/>
    <w:rsid w:val="003C035B"/>
    <w:rsid w:val="003C17AB"/>
    <w:rsid w:val="003C2673"/>
    <w:rsid w:val="003C3B6E"/>
    <w:rsid w:val="003C5E20"/>
    <w:rsid w:val="003C71F7"/>
    <w:rsid w:val="003D0077"/>
    <w:rsid w:val="003D115E"/>
    <w:rsid w:val="003D1E46"/>
    <w:rsid w:val="003D2498"/>
    <w:rsid w:val="003D2A5C"/>
    <w:rsid w:val="003D3791"/>
    <w:rsid w:val="003D6771"/>
    <w:rsid w:val="003D6E7A"/>
    <w:rsid w:val="003D70B4"/>
    <w:rsid w:val="003E0589"/>
    <w:rsid w:val="003E14F4"/>
    <w:rsid w:val="003E403C"/>
    <w:rsid w:val="003E5721"/>
    <w:rsid w:val="003F09AB"/>
    <w:rsid w:val="003F0C4F"/>
    <w:rsid w:val="003F1270"/>
    <w:rsid w:val="003F174E"/>
    <w:rsid w:val="003F1A52"/>
    <w:rsid w:val="003F3056"/>
    <w:rsid w:val="003F49A8"/>
    <w:rsid w:val="003F4E3D"/>
    <w:rsid w:val="003F60A9"/>
    <w:rsid w:val="00401496"/>
    <w:rsid w:val="004040B7"/>
    <w:rsid w:val="0041039A"/>
    <w:rsid w:val="004107ED"/>
    <w:rsid w:val="00411C55"/>
    <w:rsid w:val="00414F36"/>
    <w:rsid w:val="004155DD"/>
    <w:rsid w:val="004223CA"/>
    <w:rsid w:val="00422E1C"/>
    <w:rsid w:val="00423D0C"/>
    <w:rsid w:val="00426015"/>
    <w:rsid w:val="0042649A"/>
    <w:rsid w:val="00426FD2"/>
    <w:rsid w:val="004278A6"/>
    <w:rsid w:val="0043241D"/>
    <w:rsid w:val="00436137"/>
    <w:rsid w:val="00441EF8"/>
    <w:rsid w:val="00443170"/>
    <w:rsid w:val="00444823"/>
    <w:rsid w:val="0044608E"/>
    <w:rsid w:val="00451639"/>
    <w:rsid w:val="0045237D"/>
    <w:rsid w:val="00453C76"/>
    <w:rsid w:val="00453E69"/>
    <w:rsid w:val="00454CEF"/>
    <w:rsid w:val="00456EBF"/>
    <w:rsid w:val="004577AF"/>
    <w:rsid w:val="004603FF"/>
    <w:rsid w:val="00460A21"/>
    <w:rsid w:val="00461A43"/>
    <w:rsid w:val="004642D3"/>
    <w:rsid w:val="00464595"/>
    <w:rsid w:val="0046742D"/>
    <w:rsid w:val="004714AB"/>
    <w:rsid w:val="0047367A"/>
    <w:rsid w:val="00474C72"/>
    <w:rsid w:val="00474C85"/>
    <w:rsid w:val="004767D5"/>
    <w:rsid w:val="00477254"/>
    <w:rsid w:val="00477AAD"/>
    <w:rsid w:val="00477DF9"/>
    <w:rsid w:val="00481994"/>
    <w:rsid w:val="00481AAB"/>
    <w:rsid w:val="00482AD5"/>
    <w:rsid w:val="004852E1"/>
    <w:rsid w:val="004858DA"/>
    <w:rsid w:val="00485D35"/>
    <w:rsid w:val="004866BB"/>
    <w:rsid w:val="00492A0D"/>
    <w:rsid w:val="00492C13"/>
    <w:rsid w:val="00492E42"/>
    <w:rsid w:val="004979C5"/>
    <w:rsid w:val="004A0D7E"/>
    <w:rsid w:val="004A24C0"/>
    <w:rsid w:val="004A24CB"/>
    <w:rsid w:val="004A4297"/>
    <w:rsid w:val="004A439F"/>
    <w:rsid w:val="004A475E"/>
    <w:rsid w:val="004A5087"/>
    <w:rsid w:val="004A6515"/>
    <w:rsid w:val="004A6A64"/>
    <w:rsid w:val="004A6F1B"/>
    <w:rsid w:val="004A7C5C"/>
    <w:rsid w:val="004A7E25"/>
    <w:rsid w:val="004B10F1"/>
    <w:rsid w:val="004B19E2"/>
    <w:rsid w:val="004B26B4"/>
    <w:rsid w:val="004B357A"/>
    <w:rsid w:val="004B463A"/>
    <w:rsid w:val="004B5807"/>
    <w:rsid w:val="004B5F50"/>
    <w:rsid w:val="004B7777"/>
    <w:rsid w:val="004C0DE9"/>
    <w:rsid w:val="004C165F"/>
    <w:rsid w:val="004C24B8"/>
    <w:rsid w:val="004C37BC"/>
    <w:rsid w:val="004C3D6B"/>
    <w:rsid w:val="004C4519"/>
    <w:rsid w:val="004C4C79"/>
    <w:rsid w:val="004C6AB8"/>
    <w:rsid w:val="004C6CE1"/>
    <w:rsid w:val="004C701E"/>
    <w:rsid w:val="004C7DDD"/>
    <w:rsid w:val="004D0431"/>
    <w:rsid w:val="004D0F7B"/>
    <w:rsid w:val="004D36AA"/>
    <w:rsid w:val="004D6430"/>
    <w:rsid w:val="004E1659"/>
    <w:rsid w:val="004E1B8C"/>
    <w:rsid w:val="004E30AA"/>
    <w:rsid w:val="004E3FC1"/>
    <w:rsid w:val="004E5CCD"/>
    <w:rsid w:val="004E648C"/>
    <w:rsid w:val="004F1174"/>
    <w:rsid w:val="004F3312"/>
    <w:rsid w:val="004F586D"/>
    <w:rsid w:val="004F6FCE"/>
    <w:rsid w:val="004F7567"/>
    <w:rsid w:val="00500452"/>
    <w:rsid w:val="005008EC"/>
    <w:rsid w:val="00503420"/>
    <w:rsid w:val="00503486"/>
    <w:rsid w:val="00504BEC"/>
    <w:rsid w:val="00506114"/>
    <w:rsid w:val="00506518"/>
    <w:rsid w:val="00506C31"/>
    <w:rsid w:val="0051031E"/>
    <w:rsid w:val="005106CB"/>
    <w:rsid w:val="00511012"/>
    <w:rsid w:val="0051251F"/>
    <w:rsid w:val="00516E86"/>
    <w:rsid w:val="005206FC"/>
    <w:rsid w:val="0052089A"/>
    <w:rsid w:val="005214A0"/>
    <w:rsid w:val="00521756"/>
    <w:rsid w:val="00522360"/>
    <w:rsid w:val="005236FE"/>
    <w:rsid w:val="00523A84"/>
    <w:rsid w:val="00525A65"/>
    <w:rsid w:val="00533ACC"/>
    <w:rsid w:val="00535244"/>
    <w:rsid w:val="00541D3E"/>
    <w:rsid w:val="00542A2D"/>
    <w:rsid w:val="00544240"/>
    <w:rsid w:val="00546780"/>
    <w:rsid w:val="00546C3E"/>
    <w:rsid w:val="00547452"/>
    <w:rsid w:val="00551365"/>
    <w:rsid w:val="00553B7A"/>
    <w:rsid w:val="0055405F"/>
    <w:rsid w:val="005542F0"/>
    <w:rsid w:val="005573BF"/>
    <w:rsid w:val="00575A54"/>
    <w:rsid w:val="00576E0D"/>
    <w:rsid w:val="00577993"/>
    <w:rsid w:val="00580193"/>
    <w:rsid w:val="005805EB"/>
    <w:rsid w:val="005807F0"/>
    <w:rsid w:val="005820FD"/>
    <w:rsid w:val="00582760"/>
    <w:rsid w:val="00584211"/>
    <w:rsid w:val="00584423"/>
    <w:rsid w:val="00584C6B"/>
    <w:rsid w:val="00586CCA"/>
    <w:rsid w:val="0058704F"/>
    <w:rsid w:val="00587238"/>
    <w:rsid w:val="005904FD"/>
    <w:rsid w:val="00591192"/>
    <w:rsid w:val="00591F0B"/>
    <w:rsid w:val="00592F93"/>
    <w:rsid w:val="005942BB"/>
    <w:rsid w:val="0059490E"/>
    <w:rsid w:val="00597890"/>
    <w:rsid w:val="005A16C1"/>
    <w:rsid w:val="005A4C38"/>
    <w:rsid w:val="005A5AF5"/>
    <w:rsid w:val="005A655D"/>
    <w:rsid w:val="005A675B"/>
    <w:rsid w:val="005A744A"/>
    <w:rsid w:val="005A7557"/>
    <w:rsid w:val="005B010D"/>
    <w:rsid w:val="005B1FE0"/>
    <w:rsid w:val="005B2A97"/>
    <w:rsid w:val="005B4B30"/>
    <w:rsid w:val="005B5AA9"/>
    <w:rsid w:val="005B6570"/>
    <w:rsid w:val="005B76A7"/>
    <w:rsid w:val="005B79D1"/>
    <w:rsid w:val="005B79DD"/>
    <w:rsid w:val="005B7B9E"/>
    <w:rsid w:val="005C0FD5"/>
    <w:rsid w:val="005C308D"/>
    <w:rsid w:val="005C3D3B"/>
    <w:rsid w:val="005C43C0"/>
    <w:rsid w:val="005C4C4B"/>
    <w:rsid w:val="005C52FA"/>
    <w:rsid w:val="005C7EC8"/>
    <w:rsid w:val="005D0C46"/>
    <w:rsid w:val="005D10A5"/>
    <w:rsid w:val="005D25FE"/>
    <w:rsid w:val="005D4C14"/>
    <w:rsid w:val="005D53AD"/>
    <w:rsid w:val="005E04B2"/>
    <w:rsid w:val="005E0988"/>
    <w:rsid w:val="005E15C1"/>
    <w:rsid w:val="005E3DBA"/>
    <w:rsid w:val="005E43DF"/>
    <w:rsid w:val="005E4411"/>
    <w:rsid w:val="005E569E"/>
    <w:rsid w:val="005E6573"/>
    <w:rsid w:val="005E6BCB"/>
    <w:rsid w:val="005E7516"/>
    <w:rsid w:val="005F19E9"/>
    <w:rsid w:val="005F1B2E"/>
    <w:rsid w:val="005F2E3F"/>
    <w:rsid w:val="005F2FF7"/>
    <w:rsid w:val="005F5AB4"/>
    <w:rsid w:val="00601CB3"/>
    <w:rsid w:val="00601FF7"/>
    <w:rsid w:val="00602FC7"/>
    <w:rsid w:val="006051EE"/>
    <w:rsid w:val="00605AF8"/>
    <w:rsid w:val="006062BC"/>
    <w:rsid w:val="0060795E"/>
    <w:rsid w:val="006162D9"/>
    <w:rsid w:val="0061680F"/>
    <w:rsid w:val="00620F65"/>
    <w:rsid w:val="0063026A"/>
    <w:rsid w:val="006305F3"/>
    <w:rsid w:val="0063171A"/>
    <w:rsid w:val="0063175D"/>
    <w:rsid w:val="006318F0"/>
    <w:rsid w:val="00631B8B"/>
    <w:rsid w:val="0063254E"/>
    <w:rsid w:val="006330C2"/>
    <w:rsid w:val="006342B3"/>
    <w:rsid w:val="006344FB"/>
    <w:rsid w:val="00634CFA"/>
    <w:rsid w:val="00635338"/>
    <w:rsid w:val="006367AB"/>
    <w:rsid w:val="006373D0"/>
    <w:rsid w:val="00637693"/>
    <w:rsid w:val="00637929"/>
    <w:rsid w:val="00637D28"/>
    <w:rsid w:val="00640AC7"/>
    <w:rsid w:val="00641031"/>
    <w:rsid w:val="0064212D"/>
    <w:rsid w:val="0064313D"/>
    <w:rsid w:val="00643344"/>
    <w:rsid w:val="00644965"/>
    <w:rsid w:val="00650216"/>
    <w:rsid w:val="006510BB"/>
    <w:rsid w:val="00652042"/>
    <w:rsid w:val="006520E5"/>
    <w:rsid w:val="006524C2"/>
    <w:rsid w:val="00655449"/>
    <w:rsid w:val="00656A4C"/>
    <w:rsid w:val="00656ABD"/>
    <w:rsid w:val="00656B94"/>
    <w:rsid w:val="00657095"/>
    <w:rsid w:val="006610CA"/>
    <w:rsid w:val="00661705"/>
    <w:rsid w:val="00665F65"/>
    <w:rsid w:val="00666982"/>
    <w:rsid w:val="006673B6"/>
    <w:rsid w:val="0066768A"/>
    <w:rsid w:val="00673F45"/>
    <w:rsid w:val="0067423F"/>
    <w:rsid w:val="00674CB2"/>
    <w:rsid w:val="00676278"/>
    <w:rsid w:val="0068117A"/>
    <w:rsid w:val="00681AB5"/>
    <w:rsid w:val="00681AFB"/>
    <w:rsid w:val="0068411D"/>
    <w:rsid w:val="00686867"/>
    <w:rsid w:val="0068695D"/>
    <w:rsid w:val="00686B80"/>
    <w:rsid w:val="0069018F"/>
    <w:rsid w:val="00690A39"/>
    <w:rsid w:val="00690D20"/>
    <w:rsid w:val="006919AB"/>
    <w:rsid w:val="00692391"/>
    <w:rsid w:val="0069427C"/>
    <w:rsid w:val="00694DC7"/>
    <w:rsid w:val="00695DDE"/>
    <w:rsid w:val="00696496"/>
    <w:rsid w:val="00696A1C"/>
    <w:rsid w:val="00696D64"/>
    <w:rsid w:val="00696E33"/>
    <w:rsid w:val="0069769D"/>
    <w:rsid w:val="006A03D0"/>
    <w:rsid w:val="006A2A40"/>
    <w:rsid w:val="006A3B7E"/>
    <w:rsid w:val="006A4970"/>
    <w:rsid w:val="006A6BD0"/>
    <w:rsid w:val="006B2152"/>
    <w:rsid w:val="006B216E"/>
    <w:rsid w:val="006B3B47"/>
    <w:rsid w:val="006B5B7A"/>
    <w:rsid w:val="006B6EF2"/>
    <w:rsid w:val="006C0FA6"/>
    <w:rsid w:val="006C2FC2"/>
    <w:rsid w:val="006C4F83"/>
    <w:rsid w:val="006D14FA"/>
    <w:rsid w:val="006D256D"/>
    <w:rsid w:val="006D3487"/>
    <w:rsid w:val="006D3655"/>
    <w:rsid w:val="006D4193"/>
    <w:rsid w:val="006D59E3"/>
    <w:rsid w:val="006E1AAE"/>
    <w:rsid w:val="006E1B51"/>
    <w:rsid w:val="006E57D9"/>
    <w:rsid w:val="006F01EB"/>
    <w:rsid w:val="006F1AE5"/>
    <w:rsid w:val="006F1ECF"/>
    <w:rsid w:val="006F2997"/>
    <w:rsid w:val="006F5543"/>
    <w:rsid w:val="006F664F"/>
    <w:rsid w:val="006F6F9A"/>
    <w:rsid w:val="006F71DA"/>
    <w:rsid w:val="00701B86"/>
    <w:rsid w:val="00701C37"/>
    <w:rsid w:val="00703AF0"/>
    <w:rsid w:val="00705A0B"/>
    <w:rsid w:val="00705D7E"/>
    <w:rsid w:val="00705E03"/>
    <w:rsid w:val="00706D97"/>
    <w:rsid w:val="0071067F"/>
    <w:rsid w:val="007115CA"/>
    <w:rsid w:val="00712CC7"/>
    <w:rsid w:val="00713198"/>
    <w:rsid w:val="0071400F"/>
    <w:rsid w:val="007144D0"/>
    <w:rsid w:val="0071469D"/>
    <w:rsid w:val="00715C37"/>
    <w:rsid w:val="00716240"/>
    <w:rsid w:val="0071756A"/>
    <w:rsid w:val="00721ADE"/>
    <w:rsid w:val="00723D57"/>
    <w:rsid w:val="00724998"/>
    <w:rsid w:val="00724B7C"/>
    <w:rsid w:val="00724E3F"/>
    <w:rsid w:val="007258D5"/>
    <w:rsid w:val="00725BA7"/>
    <w:rsid w:val="00730DA6"/>
    <w:rsid w:val="00732E13"/>
    <w:rsid w:val="00732E94"/>
    <w:rsid w:val="007335D7"/>
    <w:rsid w:val="00733CAA"/>
    <w:rsid w:val="007351BE"/>
    <w:rsid w:val="007362AF"/>
    <w:rsid w:val="00736CDB"/>
    <w:rsid w:val="00737539"/>
    <w:rsid w:val="00742766"/>
    <w:rsid w:val="00743A8F"/>
    <w:rsid w:val="007444D7"/>
    <w:rsid w:val="00746AA4"/>
    <w:rsid w:val="00747DF9"/>
    <w:rsid w:val="00756FBE"/>
    <w:rsid w:val="007607BD"/>
    <w:rsid w:val="007614DA"/>
    <w:rsid w:val="00765FAA"/>
    <w:rsid w:val="007700AF"/>
    <w:rsid w:val="0077157D"/>
    <w:rsid w:val="00771E33"/>
    <w:rsid w:val="007720AE"/>
    <w:rsid w:val="00773644"/>
    <w:rsid w:val="007759D3"/>
    <w:rsid w:val="00776716"/>
    <w:rsid w:val="0078045C"/>
    <w:rsid w:val="00780984"/>
    <w:rsid w:val="00780F0B"/>
    <w:rsid w:val="00784E78"/>
    <w:rsid w:val="00786035"/>
    <w:rsid w:val="007903FA"/>
    <w:rsid w:val="00790BB5"/>
    <w:rsid w:val="00791728"/>
    <w:rsid w:val="00791999"/>
    <w:rsid w:val="00792272"/>
    <w:rsid w:val="00792D2E"/>
    <w:rsid w:val="00793435"/>
    <w:rsid w:val="007936C6"/>
    <w:rsid w:val="00793711"/>
    <w:rsid w:val="00796AC5"/>
    <w:rsid w:val="00797523"/>
    <w:rsid w:val="007A068A"/>
    <w:rsid w:val="007A1EF0"/>
    <w:rsid w:val="007A2DD0"/>
    <w:rsid w:val="007A2EB1"/>
    <w:rsid w:val="007A3FC2"/>
    <w:rsid w:val="007A64EB"/>
    <w:rsid w:val="007A6822"/>
    <w:rsid w:val="007B0521"/>
    <w:rsid w:val="007B3A14"/>
    <w:rsid w:val="007B3D86"/>
    <w:rsid w:val="007B5086"/>
    <w:rsid w:val="007B5389"/>
    <w:rsid w:val="007B67BB"/>
    <w:rsid w:val="007B6EB3"/>
    <w:rsid w:val="007B7CE1"/>
    <w:rsid w:val="007C19DB"/>
    <w:rsid w:val="007C2622"/>
    <w:rsid w:val="007C2720"/>
    <w:rsid w:val="007C31AA"/>
    <w:rsid w:val="007C49AC"/>
    <w:rsid w:val="007C77F9"/>
    <w:rsid w:val="007C7E86"/>
    <w:rsid w:val="007D3CF8"/>
    <w:rsid w:val="007D6F64"/>
    <w:rsid w:val="007D71CC"/>
    <w:rsid w:val="007E0E1B"/>
    <w:rsid w:val="007E2585"/>
    <w:rsid w:val="007E2759"/>
    <w:rsid w:val="007E3E6F"/>
    <w:rsid w:val="007E41A4"/>
    <w:rsid w:val="007E41E6"/>
    <w:rsid w:val="007E467F"/>
    <w:rsid w:val="007E4AAD"/>
    <w:rsid w:val="007E5B1E"/>
    <w:rsid w:val="007E6AE8"/>
    <w:rsid w:val="007E76B1"/>
    <w:rsid w:val="007E7DF6"/>
    <w:rsid w:val="007F0DC2"/>
    <w:rsid w:val="007F38D3"/>
    <w:rsid w:val="007F42EA"/>
    <w:rsid w:val="007F4AFB"/>
    <w:rsid w:val="007F4B8A"/>
    <w:rsid w:val="007F563E"/>
    <w:rsid w:val="007F6245"/>
    <w:rsid w:val="007F6AD2"/>
    <w:rsid w:val="00801538"/>
    <w:rsid w:val="008021F7"/>
    <w:rsid w:val="00802EBC"/>
    <w:rsid w:val="00804CCE"/>
    <w:rsid w:val="008103A1"/>
    <w:rsid w:val="008113F8"/>
    <w:rsid w:val="00811ED9"/>
    <w:rsid w:val="008131B4"/>
    <w:rsid w:val="00816F17"/>
    <w:rsid w:val="0082010D"/>
    <w:rsid w:val="00820B4E"/>
    <w:rsid w:val="00820CCE"/>
    <w:rsid w:val="00822652"/>
    <w:rsid w:val="0082306E"/>
    <w:rsid w:val="00823F02"/>
    <w:rsid w:val="00823FD1"/>
    <w:rsid w:val="00824891"/>
    <w:rsid w:val="00826998"/>
    <w:rsid w:val="00826BC4"/>
    <w:rsid w:val="008273D0"/>
    <w:rsid w:val="00827412"/>
    <w:rsid w:val="00830E3C"/>
    <w:rsid w:val="008331C5"/>
    <w:rsid w:val="00833ED2"/>
    <w:rsid w:val="00834711"/>
    <w:rsid w:val="0083559F"/>
    <w:rsid w:val="00836217"/>
    <w:rsid w:val="00836868"/>
    <w:rsid w:val="008400BD"/>
    <w:rsid w:val="00841A67"/>
    <w:rsid w:val="00841F4B"/>
    <w:rsid w:val="0084224B"/>
    <w:rsid w:val="00842F9A"/>
    <w:rsid w:val="00851A68"/>
    <w:rsid w:val="00853758"/>
    <w:rsid w:val="008537EB"/>
    <w:rsid w:val="00855364"/>
    <w:rsid w:val="00856207"/>
    <w:rsid w:val="00857793"/>
    <w:rsid w:val="00857E8B"/>
    <w:rsid w:val="008606D9"/>
    <w:rsid w:val="008628E0"/>
    <w:rsid w:val="00862E52"/>
    <w:rsid w:val="00864554"/>
    <w:rsid w:val="00864C39"/>
    <w:rsid w:val="0086528B"/>
    <w:rsid w:val="00867146"/>
    <w:rsid w:val="00867F31"/>
    <w:rsid w:val="00871113"/>
    <w:rsid w:val="00871B3D"/>
    <w:rsid w:val="008817B4"/>
    <w:rsid w:val="00882C3B"/>
    <w:rsid w:val="00883FCB"/>
    <w:rsid w:val="008849E6"/>
    <w:rsid w:val="00884C16"/>
    <w:rsid w:val="00885D5D"/>
    <w:rsid w:val="008860E5"/>
    <w:rsid w:val="008869FB"/>
    <w:rsid w:val="008871EA"/>
    <w:rsid w:val="0089182D"/>
    <w:rsid w:val="00894B97"/>
    <w:rsid w:val="00895290"/>
    <w:rsid w:val="00896BA9"/>
    <w:rsid w:val="00897494"/>
    <w:rsid w:val="00897F2C"/>
    <w:rsid w:val="00897F35"/>
    <w:rsid w:val="008A0BCE"/>
    <w:rsid w:val="008A226E"/>
    <w:rsid w:val="008A7602"/>
    <w:rsid w:val="008B0765"/>
    <w:rsid w:val="008B0C8E"/>
    <w:rsid w:val="008B11C9"/>
    <w:rsid w:val="008B13CC"/>
    <w:rsid w:val="008B1DBD"/>
    <w:rsid w:val="008B2BEE"/>
    <w:rsid w:val="008B2EA7"/>
    <w:rsid w:val="008B3B65"/>
    <w:rsid w:val="008B5777"/>
    <w:rsid w:val="008B5D35"/>
    <w:rsid w:val="008B6016"/>
    <w:rsid w:val="008B6C44"/>
    <w:rsid w:val="008B7F2A"/>
    <w:rsid w:val="008C1441"/>
    <w:rsid w:val="008C2D8F"/>
    <w:rsid w:val="008C2E42"/>
    <w:rsid w:val="008C50DA"/>
    <w:rsid w:val="008C69E8"/>
    <w:rsid w:val="008D1102"/>
    <w:rsid w:val="008D3F9F"/>
    <w:rsid w:val="008D67D8"/>
    <w:rsid w:val="008D7444"/>
    <w:rsid w:val="008E004D"/>
    <w:rsid w:val="008E1955"/>
    <w:rsid w:val="008E1B3A"/>
    <w:rsid w:val="008E1FEF"/>
    <w:rsid w:val="008E2F43"/>
    <w:rsid w:val="008E59B4"/>
    <w:rsid w:val="008E62FF"/>
    <w:rsid w:val="008E7109"/>
    <w:rsid w:val="008F13A3"/>
    <w:rsid w:val="008F2C23"/>
    <w:rsid w:val="008F5151"/>
    <w:rsid w:val="008F5F77"/>
    <w:rsid w:val="00901371"/>
    <w:rsid w:val="00901532"/>
    <w:rsid w:val="009016CC"/>
    <w:rsid w:val="009039C1"/>
    <w:rsid w:val="009067C8"/>
    <w:rsid w:val="0090688D"/>
    <w:rsid w:val="0090796E"/>
    <w:rsid w:val="009105AB"/>
    <w:rsid w:val="00910A49"/>
    <w:rsid w:val="00912B5B"/>
    <w:rsid w:val="00912C41"/>
    <w:rsid w:val="00914360"/>
    <w:rsid w:val="00914B17"/>
    <w:rsid w:val="009151BA"/>
    <w:rsid w:val="00915AB3"/>
    <w:rsid w:val="00917AFD"/>
    <w:rsid w:val="00917DC8"/>
    <w:rsid w:val="00920AC3"/>
    <w:rsid w:val="009214F6"/>
    <w:rsid w:val="009224A3"/>
    <w:rsid w:val="00925B48"/>
    <w:rsid w:val="0093075F"/>
    <w:rsid w:val="00931883"/>
    <w:rsid w:val="009334A6"/>
    <w:rsid w:val="00934722"/>
    <w:rsid w:val="00935AB4"/>
    <w:rsid w:val="00935E29"/>
    <w:rsid w:val="0094028B"/>
    <w:rsid w:val="0094092B"/>
    <w:rsid w:val="00940B8E"/>
    <w:rsid w:val="00940D24"/>
    <w:rsid w:val="00943116"/>
    <w:rsid w:val="00944107"/>
    <w:rsid w:val="009449C6"/>
    <w:rsid w:val="00944F0B"/>
    <w:rsid w:val="00944FA1"/>
    <w:rsid w:val="009474DA"/>
    <w:rsid w:val="00947B05"/>
    <w:rsid w:val="00950020"/>
    <w:rsid w:val="00950AF4"/>
    <w:rsid w:val="00952D77"/>
    <w:rsid w:val="00955753"/>
    <w:rsid w:val="00955BCC"/>
    <w:rsid w:val="00956C32"/>
    <w:rsid w:val="0096181A"/>
    <w:rsid w:val="00961879"/>
    <w:rsid w:val="0096269E"/>
    <w:rsid w:val="00963448"/>
    <w:rsid w:val="00963B0B"/>
    <w:rsid w:val="00966AB6"/>
    <w:rsid w:val="00973AF0"/>
    <w:rsid w:val="0097694A"/>
    <w:rsid w:val="00976F9F"/>
    <w:rsid w:val="00983490"/>
    <w:rsid w:val="0098385B"/>
    <w:rsid w:val="00983DF9"/>
    <w:rsid w:val="00984673"/>
    <w:rsid w:val="009856F7"/>
    <w:rsid w:val="00985AC9"/>
    <w:rsid w:val="00986360"/>
    <w:rsid w:val="009902DA"/>
    <w:rsid w:val="00990DD4"/>
    <w:rsid w:val="00990F7B"/>
    <w:rsid w:val="00993CC4"/>
    <w:rsid w:val="00994950"/>
    <w:rsid w:val="00994E65"/>
    <w:rsid w:val="00995440"/>
    <w:rsid w:val="00996C8E"/>
    <w:rsid w:val="009A0B09"/>
    <w:rsid w:val="009A166B"/>
    <w:rsid w:val="009A1FC0"/>
    <w:rsid w:val="009A7192"/>
    <w:rsid w:val="009B0D5D"/>
    <w:rsid w:val="009B0DD7"/>
    <w:rsid w:val="009B1390"/>
    <w:rsid w:val="009B1A27"/>
    <w:rsid w:val="009B1EE1"/>
    <w:rsid w:val="009B3C99"/>
    <w:rsid w:val="009B61C6"/>
    <w:rsid w:val="009B640A"/>
    <w:rsid w:val="009B6E90"/>
    <w:rsid w:val="009C013B"/>
    <w:rsid w:val="009C2125"/>
    <w:rsid w:val="009C3120"/>
    <w:rsid w:val="009C32E0"/>
    <w:rsid w:val="009C3700"/>
    <w:rsid w:val="009C3AC7"/>
    <w:rsid w:val="009C3D86"/>
    <w:rsid w:val="009C4640"/>
    <w:rsid w:val="009C48B2"/>
    <w:rsid w:val="009C4EDF"/>
    <w:rsid w:val="009C6114"/>
    <w:rsid w:val="009C66D8"/>
    <w:rsid w:val="009D013C"/>
    <w:rsid w:val="009D0ACD"/>
    <w:rsid w:val="009D2A93"/>
    <w:rsid w:val="009D3029"/>
    <w:rsid w:val="009D4BD8"/>
    <w:rsid w:val="009D533B"/>
    <w:rsid w:val="009D75F8"/>
    <w:rsid w:val="009D7C89"/>
    <w:rsid w:val="009E023F"/>
    <w:rsid w:val="009E05E6"/>
    <w:rsid w:val="009E0ECA"/>
    <w:rsid w:val="009E30D1"/>
    <w:rsid w:val="009E3470"/>
    <w:rsid w:val="009E440A"/>
    <w:rsid w:val="009E4A9B"/>
    <w:rsid w:val="009E6917"/>
    <w:rsid w:val="009F30A9"/>
    <w:rsid w:val="009F32E3"/>
    <w:rsid w:val="009F3CA3"/>
    <w:rsid w:val="009F482F"/>
    <w:rsid w:val="009F6DA9"/>
    <w:rsid w:val="009F6E9E"/>
    <w:rsid w:val="00A0259A"/>
    <w:rsid w:val="00A0276E"/>
    <w:rsid w:val="00A03773"/>
    <w:rsid w:val="00A03D84"/>
    <w:rsid w:val="00A04BE1"/>
    <w:rsid w:val="00A05C41"/>
    <w:rsid w:val="00A066D6"/>
    <w:rsid w:val="00A06B22"/>
    <w:rsid w:val="00A07DD3"/>
    <w:rsid w:val="00A1026D"/>
    <w:rsid w:val="00A12DD8"/>
    <w:rsid w:val="00A1300E"/>
    <w:rsid w:val="00A14964"/>
    <w:rsid w:val="00A20639"/>
    <w:rsid w:val="00A20919"/>
    <w:rsid w:val="00A20985"/>
    <w:rsid w:val="00A21AEF"/>
    <w:rsid w:val="00A24910"/>
    <w:rsid w:val="00A25091"/>
    <w:rsid w:val="00A25681"/>
    <w:rsid w:val="00A25C83"/>
    <w:rsid w:val="00A26258"/>
    <w:rsid w:val="00A27A3F"/>
    <w:rsid w:val="00A27DBB"/>
    <w:rsid w:val="00A30D16"/>
    <w:rsid w:val="00A32539"/>
    <w:rsid w:val="00A326EB"/>
    <w:rsid w:val="00A3272D"/>
    <w:rsid w:val="00A33FB8"/>
    <w:rsid w:val="00A361B7"/>
    <w:rsid w:val="00A36914"/>
    <w:rsid w:val="00A36FD3"/>
    <w:rsid w:val="00A37752"/>
    <w:rsid w:val="00A40D17"/>
    <w:rsid w:val="00A4234D"/>
    <w:rsid w:val="00A42A60"/>
    <w:rsid w:val="00A437E7"/>
    <w:rsid w:val="00A45909"/>
    <w:rsid w:val="00A51625"/>
    <w:rsid w:val="00A51C01"/>
    <w:rsid w:val="00A52982"/>
    <w:rsid w:val="00A54199"/>
    <w:rsid w:val="00A54796"/>
    <w:rsid w:val="00A54E5C"/>
    <w:rsid w:val="00A55F7F"/>
    <w:rsid w:val="00A569B3"/>
    <w:rsid w:val="00A57836"/>
    <w:rsid w:val="00A5794C"/>
    <w:rsid w:val="00A57D2A"/>
    <w:rsid w:val="00A60711"/>
    <w:rsid w:val="00A60CA7"/>
    <w:rsid w:val="00A6216E"/>
    <w:rsid w:val="00A624AB"/>
    <w:rsid w:val="00A649EB"/>
    <w:rsid w:val="00A67F3A"/>
    <w:rsid w:val="00A71B6C"/>
    <w:rsid w:val="00A72116"/>
    <w:rsid w:val="00A72B3E"/>
    <w:rsid w:val="00A74978"/>
    <w:rsid w:val="00A7517C"/>
    <w:rsid w:val="00A75971"/>
    <w:rsid w:val="00A80482"/>
    <w:rsid w:val="00A80C11"/>
    <w:rsid w:val="00A80C7E"/>
    <w:rsid w:val="00A80E81"/>
    <w:rsid w:val="00A85A50"/>
    <w:rsid w:val="00A87221"/>
    <w:rsid w:val="00A913DA"/>
    <w:rsid w:val="00A9309D"/>
    <w:rsid w:val="00A93E90"/>
    <w:rsid w:val="00A97AAA"/>
    <w:rsid w:val="00AA468F"/>
    <w:rsid w:val="00AA598F"/>
    <w:rsid w:val="00AA5DB4"/>
    <w:rsid w:val="00AA6F7C"/>
    <w:rsid w:val="00AB11E5"/>
    <w:rsid w:val="00AB1EB0"/>
    <w:rsid w:val="00AB2F61"/>
    <w:rsid w:val="00AB3C66"/>
    <w:rsid w:val="00AB46DC"/>
    <w:rsid w:val="00AB5655"/>
    <w:rsid w:val="00AB5A85"/>
    <w:rsid w:val="00AB5CE8"/>
    <w:rsid w:val="00AB691F"/>
    <w:rsid w:val="00AB76A0"/>
    <w:rsid w:val="00AB790E"/>
    <w:rsid w:val="00AB7EAE"/>
    <w:rsid w:val="00AB7FF4"/>
    <w:rsid w:val="00AC0954"/>
    <w:rsid w:val="00AC196A"/>
    <w:rsid w:val="00AC242B"/>
    <w:rsid w:val="00AC3291"/>
    <w:rsid w:val="00AC6AF2"/>
    <w:rsid w:val="00AC6B2D"/>
    <w:rsid w:val="00AC7000"/>
    <w:rsid w:val="00AD228D"/>
    <w:rsid w:val="00AD2AED"/>
    <w:rsid w:val="00AD477F"/>
    <w:rsid w:val="00AD4AC9"/>
    <w:rsid w:val="00AD4F5D"/>
    <w:rsid w:val="00AD7B15"/>
    <w:rsid w:val="00AE2599"/>
    <w:rsid w:val="00AE55D3"/>
    <w:rsid w:val="00AE5EC2"/>
    <w:rsid w:val="00AE7DD9"/>
    <w:rsid w:val="00AF0CB8"/>
    <w:rsid w:val="00AF2878"/>
    <w:rsid w:val="00AF465B"/>
    <w:rsid w:val="00AF4DEB"/>
    <w:rsid w:val="00AF5D3C"/>
    <w:rsid w:val="00AF6B78"/>
    <w:rsid w:val="00B006DE"/>
    <w:rsid w:val="00B00A70"/>
    <w:rsid w:val="00B01E76"/>
    <w:rsid w:val="00B030B1"/>
    <w:rsid w:val="00B03454"/>
    <w:rsid w:val="00B036BC"/>
    <w:rsid w:val="00B036DE"/>
    <w:rsid w:val="00B03D7D"/>
    <w:rsid w:val="00B03DEC"/>
    <w:rsid w:val="00B04E9D"/>
    <w:rsid w:val="00B04F5B"/>
    <w:rsid w:val="00B04F67"/>
    <w:rsid w:val="00B12579"/>
    <w:rsid w:val="00B1298C"/>
    <w:rsid w:val="00B12ECC"/>
    <w:rsid w:val="00B13C85"/>
    <w:rsid w:val="00B13DDA"/>
    <w:rsid w:val="00B143EA"/>
    <w:rsid w:val="00B1567F"/>
    <w:rsid w:val="00B16FAD"/>
    <w:rsid w:val="00B17A4D"/>
    <w:rsid w:val="00B20DB2"/>
    <w:rsid w:val="00B21E89"/>
    <w:rsid w:val="00B237AA"/>
    <w:rsid w:val="00B252FD"/>
    <w:rsid w:val="00B25365"/>
    <w:rsid w:val="00B25FDE"/>
    <w:rsid w:val="00B2638D"/>
    <w:rsid w:val="00B306EB"/>
    <w:rsid w:val="00B310BF"/>
    <w:rsid w:val="00B31A16"/>
    <w:rsid w:val="00B33952"/>
    <w:rsid w:val="00B35F08"/>
    <w:rsid w:val="00B3661A"/>
    <w:rsid w:val="00B41AC5"/>
    <w:rsid w:val="00B427B3"/>
    <w:rsid w:val="00B4402B"/>
    <w:rsid w:val="00B4411B"/>
    <w:rsid w:val="00B4585A"/>
    <w:rsid w:val="00B46AC5"/>
    <w:rsid w:val="00B46EE4"/>
    <w:rsid w:val="00B53147"/>
    <w:rsid w:val="00B536C1"/>
    <w:rsid w:val="00B53B7E"/>
    <w:rsid w:val="00B54A12"/>
    <w:rsid w:val="00B5623E"/>
    <w:rsid w:val="00B56B2E"/>
    <w:rsid w:val="00B62FD2"/>
    <w:rsid w:val="00B64444"/>
    <w:rsid w:val="00B64CD5"/>
    <w:rsid w:val="00B65149"/>
    <w:rsid w:val="00B65A44"/>
    <w:rsid w:val="00B665AF"/>
    <w:rsid w:val="00B66AC9"/>
    <w:rsid w:val="00B66B3F"/>
    <w:rsid w:val="00B66E8F"/>
    <w:rsid w:val="00B7008A"/>
    <w:rsid w:val="00B70FC2"/>
    <w:rsid w:val="00B724B2"/>
    <w:rsid w:val="00B72D79"/>
    <w:rsid w:val="00B76BA0"/>
    <w:rsid w:val="00B80838"/>
    <w:rsid w:val="00B80E21"/>
    <w:rsid w:val="00B82436"/>
    <w:rsid w:val="00B82E2A"/>
    <w:rsid w:val="00B83854"/>
    <w:rsid w:val="00B85702"/>
    <w:rsid w:val="00B86402"/>
    <w:rsid w:val="00B8667A"/>
    <w:rsid w:val="00B940C6"/>
    <w:rsid w:val="00B94410"/>
    <w:rsid w:val="00B95C7C"/>
    <w:rsid w:val="00B96AC9"/>
    <w:rsid w:val="00B96B7E"/>
    <w:rsid w:val="00B9722F"/>
    <w:rsid w:val="00BA0FE3"/>
    <w:rsid w:val="00BA297B"/>
    <w:rsid w:val="00BA30A9"/>
    <w:rsid w:val="00BA33F2"/>
    <w:rsid w:val="00BA3424"/>
    <w:rsid w:val="00BA3BE5"/>
    <w:rsid w:val="00BA3E51"/>
    <w:rsid w:val="00BA568F"/>
    <w:rsid w:val="00BA5950"/>
    <w:rsid w:val="00BA61BA"/>
    <w:rsid w:val="00BB1F46"/>
    <w:rsid w:val="00BB23F8"/>
    <w:rsid w:val="00BB333A"/>
    <w:rsid w:val="00BB4C21"/>
    <w:rsid w:val="00BB6920"/>
    <w:rsid w:val="00BB79E3"/>
    <w:rsid w:val="00BC1BCD"/>
    <w:rsid w:val="00BC47DF"/>
    <w:rsid w:val="00BC55E8"/>
    <w:rsid w:val="00BC5A9A"/>
    <w:rsid w:val="00BC66FF"/>
    <w:rsid w:val="00BC6DFB"/>
    <w:rsid w:val="00BC7E58"/>
    <w:rsid w:val="00BD1445"/>
    <w:rsid w:val="00BD53E3"/>
    <w:rsid w:val="00BD7946"/>
    <w:rsid w:val="00BE08CA"/>
    <w:rsid w:val="00BE24B6"/>
    <w:rsid w:val="00BE283B"/>
    <w:rsid w:val="00BE442A"/>
    <w:rsid w:val="00BE7363"/>
    <w:rsid w:val="00BF0943"/>
    <w:rsid w:val="00BF1166"/>
    <w:rsid w:val="00BF1DC8"/>
    <w:rsid w:val="00BF21D3"/>
    <w:rsid w:val="00BF26E5"/>
    <w:rsid w:val="00BF2AD4"/>
    <w:rsid w:val="00BF3480"/>
    <w:rsid w:val="00BF4F0C"/>
    <w:rsid w:val="00BF7E46"/>
    <w:rsid w:val="00C006E8"/>
    <w:rsid w:val="00C01DF4"/>
    <w:rsid w:val="00C02949"/>
    <w:rsid w:val="00C03004"/>
    <w:rsid w:val="00C03357"/>
    <w:rsid w:val="00C033ED"/>
    <w:rsid w:val="00C04E3A"/>
    <w:rsid w:val="00C0617A"/>
    <w:rsid w:val="00C06A7D"/>
    <w:rsid w:val="00C06A99"/>
    <w:rsid w:val="00C07056"/>
    <w:rsid w:val="00C0729B"/>
    <w:rsid w:val="00C07ACE"/>
    <w:rsid w:val="00C07C2B"/>
    <w:rsid w:val="00C10C36"/>
    <w:rsid w:val="00C10E13"/>
    <w:rsid w:val="00C1147D"/>
    <w:rsid w:val="00C114E2"/>
    <w:rsid w:val="00C1228E"/>
    <w:rsid w:val="00C12999"/>
    <w:rsid w:val="00C12C17"/>
    <w:rsid w:val="00C131E1"/>
    <w:rsid w:val="00C1375D"/>
    <w:rsid w:val="00C1510B"/>
    <w:rsid w:val="00C15196"/>
    <w:rsid w:val="00C17292"/>
    <w:rsid w:val="00C174E9"/>
    <w:rsid w:val="00C17D14"/>
    <w:rsid w:val="00C20CBB"/>
    <w:rsid w:val="00C216AE"/>
    <w:rsid w:val="00C22492"/>
    <w:rsid w:val="00C2271F"/>
    <w:rsid w:val="00C22C97"/>
    <w:rsid w:val="00C23986"/>
    <w:rsid w:val="00C24CEB"/>
    <w:rsid w:val="00C277B3"/>
    <w:rsid w:val="00C27845"/>
    <w:rsid w:val="00C27BC6"/>
    <w:rsid w:val="00C309E6"/>
    <w:rsid w:val="00C323C1"/>
    <w:rsid w:val="00C33D3B"/>
    <w:rsid w:val="00C33D6C"/>
    <w:rsid w:val="00C33FBF"/>
    <w:rsid w:val="00C34A6E"/>
    <w:rsid w:val="00C35D20"/>
    <w:rsid w:val="00C41DEE"/>
    <w:rsid w:val="00C447DB"/>
    <w:rsid w:val="00C44964"/>
    <w:rsid w:val="00C468D7"/>
    <w:rsid w:val="00C5011E"/>
    <w:rsid w:val="00C522C6"/>
    <w:rsid w:val="00C52CE1"/>
    <w:rsid w:val="00C52F6A"/>
    <w:rsid w:val="00C540FE"/>
    <w:rsid w:val="00C546B4"/>
    <w:rsid w:val="00C56402"/>
    <w:rsid w:val="00C56FCB"/>
    <w:rsid w:val="00C61989"/>
    <w:rsid w:val="00C61DF8"/>
    <w:rsid w:val="00C63A37"/>
    <w:rsid w:val="00C63B8E"/>
    <w:rsid w:val="00C66C0E"/>
    <w:rsid w:val="00C67E0B"/>
    <w:rsid w:val="00C70893"/>
    <w:rsid w:val="00C718C5"/>
    <w:rsid w:val="00C72F3B"/>
    <w:rsid w:val="00C73390"/>
    <w:rsid w:val="00C74271"/>
    <w:rsid w:val="00C7534B"/>
    <w:rsid w:val="00C75461"/>
    <w:rsid w:val="00C807AE"/>
    <w:rsid w:val="00C80D8F"/>
    <w:rsid w:val="00C82ECE"/>
    <w:rsid w:val="00C835D9"/>
    <w:rsid w:val="00C83C82"/>
    <w:rsid w:val="00C85E09"/>
    <w:rsid w:val="00C86B79"/>
    <w:rsid w:val="00C86BFF"/>
    <w:rsid w:val="00C872B8"/>
    <w:rsid w:val="00C87771"/>
    <w:rsid w:val="00C8797C"/>
    <w:rsid w:val="00C87DE8"/>
    <w:rsid w:val="00C91F12"/>
    <w:rsid w:val="00C920C3"/>
    <w:rsid w:val="00C9544F"/>
    <w:rsid w:val="00C955E6"/>
    <w:rsid w:val="00C97840"/>
    <w:rsid w:val="00CA0916"/>
    <w:rsid w:val="00CA35FC"/>
    <w:rsid w:val="00CA405C"/>
    <w:rsid w:val="00CA43CD"/>
    <w:rsid w:val="00CA4C06"/>
    <w:rsid w:val="00CA4F0F"/>
    <w:rsid w:val="00CA5297"/>
    <w:rsid w:val="00CA5392"/>
    <w:rsid w:val="00CA7D5A"/>
    <w:rsid w:val="00CB7C64"/>
    <w:rsid w:val="00CC017A"/>
    <w:rsid w:val="00CC08B5"/>
    <w:rsid w:val="00CC0E6C"/>
    <w:rsid w:val="00CC195E"/>
    <w:rsid w:val="00CC3047"/>
    <w:rsid w:val="00CC3729"/>
    <w:rsid w:val="00CC3AAF"/>
    <w:rsid w:val="00CC66B2"/>
    <w:rsid w:val="00CC6A8E"/>
    <w:rsid w:val="00CD02E1"/>
    <w:rsid w:val="00CD08F3"/>
    <w:rsid w:val="00CD1CE9"/>
    <w:rsid w:val="00CD2293"/>
    <w:rsid w:val="00CD2C30"/>
    <w:rsid w:val="00CD3A1F"/>
    <w:rsid w:val="00CD3CFB"/>
    <w:rsid w:val="00CD4996"/>
    <w:rsid w:val="00CD4DC5"/>
    <w:rsid w:val="00CD6CE9"/>
    <w:rsid w:val="00CD6F25"/>
    <w:rsid w:val="00CE1D3B"/>
    <w:rsid w:val="00CE2118"/>
    <w:rsid w:val="00CE434E"/>
    <w:rsid w:val="00CE593C"/>
    <w:rsid w:val="00CE5D97"/>
    <w:rsid w:val="00CF0F23"/>
    <w:rsid w:val="00CF1307"/>
    <w:rsid w:val="00CF309D"/>
    <w:rsid w:val="00CF4C9D"/>
    <w:rsid w:val="00CF4DB1"/>
    <w:rsid w:val="00D01585"/>
    <w:rsid w:val="00D01A00"/>
    <w:rsid w:val="00D01BCC"/>
    <w:rsid w:val="00D02629"/>
    <w:rsid w:val="00D02801"/>
    <w:rsid w:val="00D02844"/>
    <w:rsid w:val="00D03472"/>
    <w:rsid w:val="00D04A40"/>
    <w:rsid w:val="00D14B19"/>
    <w:rsid w:val="00D1685F"/>
    <w:rsid w:val="00D21007"/>
    <w:rsid w:val="00D238C2"/>
    <w:rsid w:val="00D247C9"/>
    <w:rsid w:val="00D26562"/>
    <w:rsid w:val="00D3083A"/>
    <w:rsid w:val="00D30B1B"/>
    <w:rsid w:val="00D31A95"/>
    <w:rsid w:val="00D4031D"/>
    <w:rsid w:val="00D41062"/>
    <w:rsid w:val="00D41EDE"/>
    <w:rsid w:val="00D41F20"/>
    <w:rsid w:val="00D42225"/>
    <w:rsid w:val="00D4311F"/>
    <w:rsid w:val="00D432D8"/>
    <w:rsid w:val="00D4371E"/>
    <w:rsid w:val="00D45777"/>
    <w:rsid w:val="00D467AF"/>
    <w:rsid w:val="00D4689F"/>
    <w:rsid w:val="00D46B03"/>
    <w:rsid w:val="00D50F88"/>
    <w:rsid w:val="00D513C1"/>
    <w:rsid w:val="00D51A3E"/>
    <w:rsid w:val="00D53A3E"/>
    <w:rsid w:val="00D545C8"/>
    <w:rsid w:val="00D57F32"/>
    <w:rsid w:val="00D60331"/>
    <w:rsid w:val="00D60BE2"/>
    <w:rsid w:val="00D61601"/>
    <w:rsid w:val="00D61FD4"/>
    <w:rsid w:val="00D62427"/>
    <w:rsid w:val="00D62F3D"/>
    <w:rsid w:val="00D64FE1"/>
    <w:rsid w:val="00D658A5"/>
    <w:rsid w:val="00D67666"/>
    <w:rsid w:val="00D700E6"/>
    <w:rsid w:val="00D72BE7"/>
    <w:rsid w:val="00D73AF4"/>
    <w:rsid w:val="00D73FC0"/>
    <w:rsid w:val="00D74395"/>
    <w:rsid w:val="00D75FC8"/>
    <w:rsid w:val="00D77969"/>
    <w:rsid w:val="00D838A5"/>
    <w:rsid w:val="00D8441A"/>
    <w:rsid w:val="00D8488C"/>
    <w:rsid w:val="00D8605D"/>
    <w:rsid w:val="00D908D5"/>
    <w:rsid w:val="00D91AE3"/>
    <w:rsid w:val="00D93C38"/>
    <w:rsid w:val="00D943E8"/>
    <w:rsid w:val="00D943FF"/>
    <w:rsid w:val="00D95BA5"/>
    <w:rsid w:val="00D97630"/>
    <w:rsid w:val="00DA1B50"/>
    <w:rsid w:val="00DA3D19"/>
    <w:rsid w:val="00DA4748"/>
    <w:rsid w:val="00DA5888"/>
    <w:rsid w:val="00DA5AD6"/>
    <w:rsid w:val="00DA7634"/>
    <w:rsid w:val="00DB123D"/>
    <w:rsid w:val="00DB1E76"/>
    <w:rsid w:val="00DB37B9"/>
    <w:rsid w:val="00DB4C2D"/>
    <w:rsid w:val="00DB5670"/>
    <w:rsid w:val="00DB5C2E"/>
    <w:rsid w:val="00DC122A"/>
    <w:rsid w:val="00DC1C3E"/>
    <w:rsid w:val="00DC2501"/>
    <w:rsid w:val="00DC3574"/>
    <w:rsid w:val="00DC5803"/>
    <w:rsid w:val="00DC5ABC"/>
    <w:rsid w:val="00DC731B"/>
    <w:rsid w:val="00DD2A57"/>
    <w:rsid w:val="00DD3079"/>
    <w:rsid w:val="00DD6E6B"/>
    <w:rsid w:val="00DE17DA"/>
    <w:rsid w:val="00DE273E"/>
    <w:rsid w:val="00DE3CA5"/>
    <w:rsid w:val="00DE445F"/>
    <w:rsid w:val="00DE5562"/>
    <w:rsid w:val="00DE640C"/>
    <w:rsid w:val="00DE722E"/>
    <w:rsid w:val="00DE7628"/>
    <w:rsid w:val="00DF1E00"/>
    <w:rsid w:val="00DF2016"/>
    <w:rsid w:val="00DF22CA"/>
    <w:rsid w:val="00DF56D4"/>
    <w:rsid w:val="00DF5A45"/>
    <w:rsid w:val="00E02A9A"/>
    <w:rsid w:val="00E02B1F"/>
    <w:rsid w:val="00E03B81"/>
    <w:rsid w:val="00E04354"/>
    <w:rsid w:val="00E04B5E"/>
    <w:rsid w:val="00E06C9C"/>
    <w:rsid w:val="00E11826"/>
    <w:rsid w:val="00E148E8"/>
    <w:rsid w:val="00E14BD5"/>
    <w:rsid w:val="00E14E40"/>
    <w:rsid w:val="00E14F62"/>
    <w:rsid w:val="00E17338"/>
    <w:rsid w:val="00E21641"/>
    <w:rsid w:val="00E23254"/>
    <w:rsid w:val="00E2463C"/>
    <w:rsid w:val="00E250C9"/>
    <w:rsid w:val="00E25536"/>
    <w:rsid w:val="00E2666A"/>
    <w:rsid w:val="00E27714"/>
    <w:rsid w:val="00E3240C"/>
    <w:rsid w:val="00E3250C"/>
    <w:rsid w:val="00E33D5E"/>
    <w:rsid w:val="00E35EA6"/>
    <w:rsid w:val="00E3720B"/>
    <w:rsid w:val="00E37844"/>
    <w:rsid w:val="00E4106E"/>
    <w:rsid w:val="00E419C6"/>
    <w:rsid w:val="00E42026"/>
    <w:rsid w:val="00E44DC7"/>
    <w:rsid w:val="00E45427"/>
    <w:rsid w:val="00E46B90"/>
    <w:rsid w:val="00E472A8"/>
    <w:rsid w:val="00E473A6"/>
    <w:rsid w:val="00E54DE3"/>
    <w:rsid w:val="00E55637"/>
    <w:rsid w:val="00E55AD0"/>
    <w:rsid w:val="00E61534"/>
    <w:rsid w:val="00E61D56"/>
    <w:rsid w:val="00E66B23"/>
    <w:rsid w:val="00E67CFD"/>
    <w:rsid w:val="00E70DFE"/>
    <w:rsid w:val="00E72462"/>
    <w:rsid w:val="00E72EEF"/>
    <w:rsid w:val="00E75356"/>
    <w:rsid w:val="00E764C4"/>
    <w:rsid w:val="00E81715"/>
    <w:rsid w:val="00E82812"/>
    <w:rsid w:val="00E85B9C"/>
    <w:rsid w:val="00E87B01"/>
    <w:rsid w:val="00E9093E"/>
    <w:rsid w:val="00E90CCE"/>
    <w:rsid w:val="00E91057"/>
    <w:rsid w:val="00E92523"/>
    <w:rsid w:val="00E92C64"/>
    <w:rsid w:val="00E936D2"/>
    <w:rsid w:val="00E93B9D"/>
    <w:rsid w:val="00E94800"/>
    <w:rsid w:val="00E94DB2"/>
    <w:rsid w:val="00E94DBE"/>
    <w:rsid w:val="00E962B9"/>
    <w:rsid w:val="00E96C34"/>
    <w:rsid w:val="00E979F5"/>
    <w:rsid w:val="00E979FA"/>
    <w:rsid w:val="00EA0444"/>
    <w:rsid w:val="00EA3038"/>
    <w:rsid w:val="00EA3116"/>
    <w:rsid w:val="00EA32CC"/>
    <w:rsid w:val="00EA4DEA"/>
    <w:rsid w:val="00EA4FF4"/>
    <w:rsid w:val="00EA50E1"/>
    <w:rsid w:val="00EA6070"/>
    <w:rsid w:val="00EB0509"/>
    <w:rsid w:val="00EB1244"/>
    <w:rsid w:val="00EB268B"/>
    <w:rsid w:val="00EB40E2"/>
    <w:rsid w:val="00EB68CB"/>
    <w:rsid w:val="00EC166D"/>
    <w:rsid w:val="00EC2527"/>
    <w:rsid w:val="00EC262E"/>
    <w:rsid w:val="00EC37D9"/>
    <w:rsid w:val="00EC3E72"/>
    <w:rsid w:val="00EC545C"/>
    <w:rsid w:val="00EC6D82"/>
    <w:rsid w:val="00ED02FE"/>
    <w:rsid w:val="00ED03EE"/>
    <w:rsid w:val="00ED16BB"/>
    <w:rsid w:val="00ED3037"/>
    <w:rsid w:val="00ED3D62"/>
    <w:rsid w:val="00ED58DD"/>
    <w:rsid w:val="00ED7ED9"/>
    <w:rsid w:val="00EE0311"/>
    <w:rsid w:val="00EE22B9"/>
    <w:rsid w:val="00EE2A88"/>
    <w:rsid w:val="00EE47B5"/>
    <w:rsid w:val="00EE5CDF"/>
    <w:rsid w:val="00EE6F1F"/>
    <w:rsid w:val="00EE7207"/>
    <w:rsid w:val="00EE7CD5"/>
    <w:rsid w:val="00EF0529"/>
    <w:rsid w:val="00EF088C"/>
    <w:rsid w:val="00EF3C9D"/>
    <w:rsid w:val="00EF4556"/>
    <w:rsid w:val="00EF4936"/>
    <w:rsid w:val="00EF4CCA"/>
    <w:rsid w:val="00EF5134"/>
    <w:rsid w:val="00F0086B"/>
    <w:rsid w:val="00F03431"/>
    <w:rsid w:val="00F05D00"/>
    <w:rsid w:val="00F07983"/>
    <w:rsid w:val="00F07B5D"/>
    <w:rsid w:val="00F13104"/>
    <w:rsid w:val="00F15DA3"/>
    <w:rsid w:val="00F16481"/>
    <w:rsid w:val="00F2006E"/>
    <w:rsid w:val="00F200EB"/>
    <w:rsid w:val="00F204A0"/>
    <w:rsid w:val="00F214CF"/>
    <w:rsid w:val="00F22651"/>
    <w:rsid w:val="00F22F28"/>
    <w:rsid w:val="00F246E9"/>
    <w:rsid w:val="00F24CD7"/>
    <w:rsid w:val="00F268F5"/>
    <w:rsid w:val="00F2696E"/>
    <w:rsid w:val="00F2772D"/>
    <w:rsid w:val="00F3035A"/>
    <w:rsid w:val="00F3371F"/>
    <w:rsid w:val="00F4005C"/>
    <w:rsid w:val="00F400FE"/>
    <w:rsid w:val="00F40492"/>
    <w:rsid w:val="00F40DFC"/>
    <w:rsid w:val="00F4549F"/>
    <w:rsid w:val="00F4557E"/>
    <w:rsid w:val="00F46070"/>
    <w:rsid w:val="00F478DA"/>
    <w:rsid w:val="00F50490"/>
    <w:rsid w:val="00F51650"/>
    <w:rsid w:val="00F518EA"/>
    <w:rsid w:val="00F52871"/>
    <w:rsid w:val="00F5333C"/>
    <w:rsid w:val="00F54631"/>
    <w:rsid w:val="00F5623A"/>
    <w:rsid w:val="00F56D23"/>
    <w:rsid w:val="00F6038B"/>
    <w:rsid w:val="00F604AC"/>
    <w:rsid w:val="00F61A2B"/>
    <w:rsid w:val="00F635CA"/>
    <w:rsid w:val="00F63B02"/>
    <w:rsid w:val="00F644D7"/>
    <w:rsid w:val="00F64DD9"/>
    <w:rsid w:val="00F65C42"/>
    <w:rsid w:val="00F667BC"/>
    <w:rsid w:val="00F66EFC"/>
    <w:rsid w:val="00F66FD6"/>
    <w:rsid w:val="00F72E6F"/>
    <w:rsid w:val="00F73C78"/>
    <w:rsid w:val="00F74746"/>
    <w:rsid w:val="00F74BCF"/>
    <w:rsid w:val="00F758B2"/>
    <w:rsid w:val="00F8047C"/>
    <w:rsid w:val="00F80CD7"/>
    <w:rsid w:val="00F86833"/>
    <w:rsid w:val="00F87952"/>
    <w:rsid w:val="00F90164"/>
    <w:rsid w:val="00F910DB"/>
    <w:rsid w:val="00FA04D1"/>
    <w:rsid w:val="00FA11A8"/>
    <w:rsid w:val="00FA13C0"/>
    <w:rsid w:val="00FA1624"/>
    <w:rsid w:val="00FA202F"/>
    <w:rsid w:val="00FA2543"/>
    <w:rsid w:val="00FA31ED"/>
    <w:rsid w:val="00FA4384"/>
    <w:rsid w:val="00FA4A91"/>
    <w:rsid w:val="00FA5167"/>
    <w:rsid w:val="00FA5196"/>
    <w:rsid w:val="00FA64D4"/>
    <w:rsid w:val="00FB2AFC"/>
    <w:rsid w:val="00FB3487"/>
    <w:rsid w:val="00FB3727"/>
    <w:rsid w:val="00FB4B00"/>
    <w:rsid w:val="00FB5C50"/>
    <w:rsid w:val="00FB5E8C"/>
    <w:rsid w:val="00FB6641"/>
    <w:rsid w:val="00FB70AF"/>
    <w:rsid w:val="00FB7436"/>
    <w:rsid w:val="00FC2227"/>
    <w:rsid w:val="00FC3049"/>
    <w:rsid w:val="00FC33C2"/>
    <w:rsid w:val="00FC63ED"/>
    <w:rsid w:val="00FC6494"/>
    <w:rsid w:val="00FC7129"/>
    <w:rsid w:val="00FD06EC"/>
    <w:rsid w:val="00FD0AEC"/>
    <w:rsid w:val="00FD3A44"/>
    <w:rsid w:val="00FD3E37"/>
    <w:rsid w:val="00FD56FE"/>
    <w:rsid w:val="00FD626C"/>
    <w:rsid w:val="00FD644E"/>
    <w:rsid w:val="00FD726B"/>
    <w:rsid w:val="00FE02BD"/>
    <w:rsid w:val="00FE0DBF"/>
    <w:rsid w:val="00FE2EB7"/>
    <w:rsid w:val="00FE426C"/>
    <w:rsid w:val="00FE4E86"/>
    <w:rsid w:val="00FE543F"/>
    <w:rsid w:val="00FE63BE"/>
    <w:rsid w:val="00FF5821"/>
    <w:rsid w:val="00FF5908"/>
    <w:rsid w:val="00FF7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5:chartTrackingRefBased/>
  <w15:docId w15:val="{6FF3FDC5-7265-4405-AF71-C92799B74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519"/>
    <w:pPr>
      <w:widowControl w:val="0"/>
    </w:pPr>
    <w:rPr>
      <w:snapToGrid w:val="0"/>
      <w:sz w:val="24"/>
      <w:lang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link w:val="Heading2Char"/>
    <w:qFormat/>
    <w:pPr>
      <w:keepNext/>
      <w:spacing w:before="240" w:after="60"/>
      <w:outlineLvl w:val="1"/>
    </w:pPr>
    <w:rPr>
      <w:rFonts w:ascii="Arial" w:hAnsi="Arial"/>
      <w:b/>
      <w:i/>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outlineLvl w:val="3"/>
    </w:pPr>
    <w:rPr>
      <w:rFonts w:ascii="CG Times" w:hAnsi="CG Times"/>
      <w:b/>
      <w:sz w:val="36"/>
    </w:rPr>
  </w:style>
  <w:style w:type="paragraph" w:styleId="Heading5">
    <w:name w:val="heading 5"/>
    <w:basedOn w:val="Normal"/>
    <w:next w:val="Normal"/>
    <w:link w:val="Heading5Char"/>
    <w:qFormat/>
    <w:pPr>
      <w:keepNext/>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exact"/>
      <w:outlineLvl w:val="4"/>
    </w:pPr>
    <w:rPr>
      <w:b/>
    </w:rPr>
  </w:style>
  <w:style w:type="paragraph" w:styleId="Heading6">
    <w:name w:val="heading 6"/>
    <w:basedOn w:val="Normal"/>
    <w:next w:val="Normal"/>
    <w:link w:val="Heading6Char"/>
    <w:qFormat/>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jc w:val="both"/>
      <w:outlineLvl w:val="5"/>
    </w:pPr>
    <w:rPr>
      <w:b/>
      <w:sz w:val="28"/>
    </w:rPr>
  </w:style>
  <w:style w:type="paragraph" w:styleId="Heading7">
    <w:name w:val="heading 7"/>
    <w:basedOn w:val="Normal"/>
    <w:next w:val="Normal"/>
    <w:link w:val="Heading7Char"/>
    <w:qFormat/>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exact"/>
      <w:jc w:val="both"/>
      <w:outlineLvl w:val="6"/>
    </w:pPr>
    <w:rPr>
      <w:b/>
    </w:rPr>
  </w:style>
  <w:style w:type="paragraph" w:styleId="Heading8">
    <w:name w:val="heading 8"/>
    <w:basedOn w:val="Normal"/>
    <w:next w:val="Normal"/>
    <w:link w:val="Heading8Char"/>
    <w:qFormat/>
    <w:pPr>
      <w:keepNext/>
      <w:widowControl/>
      <w:tabs>
        <w:tab w:val="left" w:pos="-1512"/>
        <w:tab w:val="left" w:pos="-1080"/>
        <w:tab w:val="left" w:pos="-792"/>
        <w:tab w:val="left" w:pos="-72"/>
        <w:tab w:val="left" w:pos="648"/>
        <w:tab w:val="left" w:pos="1368"/>
        <w:tab w:val="left" w:pos="2088"/>
        <w:tab w:val="left" w:pos="2808"/>
        <w:tab w:val="left" w:pos="3528"/>
        <w:tab w:val="left" w:pos="4248"/>
        <w:tab w:val="left" w:pos="4968"/>
        <w:tab w:val="left" w:pos="5688"/>
        <w:tab w:val="left" w:pos="6408"/>
        <w:tab w:val="left" w:pos="7128"/>
        <w:tab w:val="left" w:pos="7848"/>
      </w:tabs>
      <w:spacing w:line="240" w:lineRule="exact"/>
      <w:jc w:val="both"/>
      <w:outlineLvl w:val="7"/>
    </w:pPr>
    <w:rPr>
      <w:b/>
      <w:sz w:val="20"/>
    </w:rPr>
  </w:style>
  <w:style w:type="paragraph" w:styleId="Heading9">
    <w:name w:val="heading 9"/>
    <w:basedOn w:val="Normal"/>
    <w:next w:val="Normal"/>
    <w:link w:val="Heading9Char"/>
    <w:qFormat/>
    <w:pPr>
      <w:keepN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8"/>
    </w:pPr>
    <w:rPr>
      <w:b/>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Style">
    <w:name w:val="Style"/>
    <w:basedOn w:val="Normal"/>
    <w:pPr>
      <w:ind w:left="360" w:hanging="360"/>
    </w:pPr>
  </w:style>
  <w:style w:type="paragraph" w:styleId="BodyText">
    <w:name w:val="Body Text"/>
    <w:basedOn w:val="Normal"/>
    <w:link w:val="BodyTextChar"/>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exact"/>
      <w:jc w:val="both"/>
    </w:pPr>
    <w:rPr>
      <w:rFonts w:ascii="CG Times" w:hAnsi="CG Times"/>
    </w:rPr>
  </w:style>
  <w:style w:type="paragraph" w:styleId="BodyText2">
    <w:name w:val="Body Text 2"/>
    <w:basedOn w:val="Normal"/>
    <w:link w:val="BodyText2Char"/>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exact"/>
      <w:jc w:val="both"/>
    </w:pPr>
    <w:rPr>
      <w:sz w:val="20"/>
    </w:rPr>
  </w:style>
  <w:style w:type="paragraph" w:styleId="BodyText3">
    <w:name w:val="Body Text 3"/>
    <w:basedOn w:val="Normal"/>
    <w:link w:val="BodyText3Char"/>
    <w:pPr>
      <w:jc w:val="both"/>
    </w:pPr>
    <w:rPr>
      <w:b/>
      <w:sz w:val="20"/>
    </w:rPr>
  </w:style>
  <w:style w:type="paragraph" w:styleId="BodyTextIndent">
    <w:name w:val="Body Text Indent"/>
    <w:basedOn w:val="Normal"/>
    <w:link w:val="BodyTextIndentChar"/>
    <w:pPr>
      <w:widowControl/>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jc w:val="both"/>
    </w:pPr>
    <w:rPr>
      <w:sz w:val="2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Indent2">
    <w:name w:val="Body Text Indent 2"/>
    <w:basedOn w:val="Normal"/>
    <w:link w:val="BodyTextIndent2Char"/>
    <w:pPr>
      <w:ind w:left="720"/>
    </w:pPr>
    <w:rPr>
      <w:sz w:val="20"/>
    </w:rPr>
  </w:style>
  <w:style w:type="paragraph" w:styleId="Title">
    <w:name w:val="Title"/>
    <w:basedOn w:val="Normal"/>
    <w:link w:val="TitleChar"/>
    <w:qFormat/>
    <w:pPr>
      <w:widowControl/>
      <w:jc w:val="center"/>
    </w:pPr>
    <w:rPr>
      <w:b/>
      <w:snapToGrid/>
      <w:sz w:val="28"/>
      <w:u w:val="single"/>
    </w:rPr>
  </w:style>
  <w:style w:type="paragraph" w:styleId="CommentText">
    <w:name w:val="annotation text"/>
    <w:basedOn w:val="Normal"/>
    <w:link w:val="CommentTextChar"/>
    <w:semiHidden/>
    <w:pPr>
      <w:widowControl/>
    </w:pPr>
    <w:rPr>
      <w:rFonts w:ascii="Arial" w:hAnsi="Arial"/>
      <w:snapToGrid/>
      <w:sz w:val="20"/>
    </w:rPr>
  </w:style>
  <w:style w:type="paragraph" w:styleId="BodyTextIndent3">
    <w:name w:val="Body Text Indent 3"/>
    <w:basedOn w:val="Normal"/>
    <w:link w:val="BodyTextIndent3Char"/>
    <w:pPr>
      <w:widowControl/>
      <w:spacing w:after="120"/>
      <w:ind w:left="1440" w:hanging="1080"/>
    </w:pPr>
    <w:rPr>
      <w:rFonts w:ascii="Arial" w:hAnsi="Arial"/>
      <w:snapToGrid/>
      <w:sz w:val="20"/>
    </w:rPr>
  </w:style>
  <w:style w:type="character" w:styleId="CommentReference">
    <w:name w:val="annotation reference"/>
    <w:semiHidden/>
    <w:rPr>
      <w:sz w:val="16"/>
    </w:rPr>
  </w:style>
  <w:style w:type="paragraph" w:styleId="BalloonText">
    <w:name w:val="Balloon Text"/>
    <w:basedOn w:val="Normal"/>
    <w:link w:val="BalloonTextChar"/>
    <w:semiHidden/>
    <w:rsid w:val="00C83C82"/>
    <w:rPr>
      <w:rFonts w:ascii="Tahoma" w:hAnsi="Tahoma" w:cs="Tahoma"/>
      <w:sz w:val="16"/>
      <w:szCs w:val="16"/>
    </w:rPr>
  </w:style>
  <w:style w:type="character" w:styleId="Hyperlink">
    <w:name w:val="Hyperlink"/>
    <w:uiPriority w:val="99"/>
    <w:rsid w:val="005C4C4B"/>
    <w:rPr>
      <w:color w:val="0000FF"/>
      <w:u w:val="single"/>
    </w:rPr>
  </w:style>
  <w:style w:type="character" w:styleId="FollowedHyperlink">
    <w:name w:val="FollowedHyperlink"/>
    <w:uiPriority w:val="99"/>
    <w:rsid w:val="00ED58DD"/>
    <w:rPr>
      <w:color w:val="800080"/>
      <w:u w:val="single"/>
    </w:rPr>
  </w:style>
  <w:style w:type="paragraph" w:customStyle="1" w:styleId="CharCharChar">
    <w:name w:val="Char Char Char"/>
    <w:basedOn w:val="Normal"/>
    <w:rsid w:val="00C72F3B"/>
    <w:pPr>
      <w:widowControl/>
      <w:spacing w:after="160" w:line="240" w:lineRule="exact"/>
    </w:pPr>
    <w:rPr>
      <w:rFonts w:ascii="Verdana" w:hAnsi="Verdana"/>
      <w:snapToGrid/>
      <w:sz w:val="20"/>
    </w:rPr>
  </w:style>
  <w:style w:type="table" w:styleId="TableGrid">
    <w:name w:val="Table Grid"/>
    <w:basedOn w:val="TableNormal"/>
    <w:uiPriority w:val="59"/>
    <w:rsid w:val="00381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35AB4"/>
  </w:style>
  <w:style w:type="paragraph" w:styleId="Subtitle">
    <w:name w:val="Subtitle"/>
    <w:basedOn w:val="Normal"/>
    <w:link w:val="SubtitleChar"/>
    <w:qFormat/>
    <w:rsid w:val="00D97630"/>
    <w:pPr>
      <w:widowControl/>
    </w:pPr>
    <w:rPr>
      <w:rFonts w:ascii="Arial" w:hAnsi="Arial"/>
      <w:snapToGrid/>
      <w:szCs w:val="24"/>
      <w:u w:val="single"/>
    </w:rPr>
  </w:style>
  <w:style w:type="character" w:styleId="Emphasis">
    <w:name w:val="Emphasis"/>
    <w:qFormat/>
    <w:rsid w:val="008131B4"/>
    <w:rPr>
      <w:i/>
      <w:iCs/>
    </w:rPr>
  </w:style>
  <w:style w:type="paragraph" w:customStyle="1" w:styleId="footer5">
    <w:name w:val="footer 5"/>
    <w:basedOn w:val="Normal"/>
    <w:autoRedefine/>
    <w:rsid w:val="00A51C01"/>
    <w:pPr>
      <w:widowControl/>
      <w:spacing w:line="360" w:lineRule="auto"/>
    </w:pPr>
    <w:rPr>
      <w:rFonts w:ascii="Arial" w:hAnsi="Arial" w:cs="Arial"/>
      <w:bCs/>
      <w:snapToGrid/>
      <w:sz w:val="20"/>
    </w:rPr>
  </w:style>
  <w:style w:type="paragraph" w:customStyle="1" w:styleId="title1">
    <w:name w:val="title1"/>
    <w:basedOn w:val="Normal"/>
    <w:rsid w:val="000D1FEB"/>
    <w:pPr>
      <w:widowControl/>
    </w:pPr>
    <w:rPr>
      <w:snapToGrid/>
      <w:sz w:val="27"/>
      <w:szCs w:val="27"/>
      <w:lang w:eastAsia="en-GB"/>
    </w:rPr>
  </w:style>
  <w:style w:type="paragraph" w:customStyle="1" w:styleId="desc2">
    <w:name w:val="desc2"/>
    <w:basedOn w:val="Normal"/>
    <w:rsid w:val="000D1FEB"/>
    <w:pPr>
      <w:widowControl/>
    </w:pPr>
    <w:rPr>
      <w:snapToGrid/>
      <w:sz w:val="26"/>
      <w:szCs w:val="26"/>
      <w:lang w:eastAsia="en-GB"/>
    </w:rPr>
  </w:style>
  <w:style w:type="paragraph" w:customStyle="1" w:styleId="details1">
    <w:name w:val="details1"/>
    <w:basedOn w:val="Normal"/>
    <w:rsid w:val="000D1FEB"/>
    <w:pPr>
      <w:widowControl/>
    </w:pPr>
    <w:rPr>
      <w:snapToGrid/>
      <w:sz w:val="22"/>
      <w:szCs w:val="22"/>
      <w:lang w:eastAsia="en-GB"/>
    </w:rPr>
  </w:style>
  <w:style w:type="character" w:customStyle="1" w:styleId="jrnl">
    <w:name w:val="jrnl"/>
    <w:rsid w:val="000D1FEB"/>
  </w:style>
  <w:style w:type="character" w:customStyle="1" w:styleId="Heading7Char">
    <w:name w:val="Heading 7 Char"/>
    <w:link w:val="Heading7"/>
    <w:rsid w:val="00AC6B2D"/>
    <w:rPr>
      <w:b/>
      <w:snapToGrid w:val="0"/>
      <w:sz w:val="24"/>
      <w:lang w:val="en-US" w:eastAsia="en-US"/>
    </w:rPr>
  </w:style>
  <w:style w:type="character" w:customStyle="1" w:styleId="Heading2Char">
    <w:name w:val="Heading 2 Char"/>
    <w:link w:val="Heading2"/>
    <w:rsid w:val="002A6840"/>
    <w:rPr>
      <w:rFonts w:ascii="Arial" w:hAnsi="Arial"/>
      <w:b/>
      <w:i/>
      <w:snapToGrid w:val="0"/>
      <w:sz w:val="24"/>
      <w:lang w:val="en-US" w:eastAsia="en-US"/>
    </w:rPr>
  </w:style>
  <w:style w:type="paragraph" w:customStyle="1" w:styleId="Char">
    <w:name w:val="Char"/>
    <w:basedOn w:val="Normal"/>
    <w:rsid w:val="00A649EB"/>
    <w:pPr>
      <w:widowControl/>
      <w:spacing w:after="160" w:line="240" w:lineRule="exact"/>
    </w:pPr>
    <w:rPr>
      <w:rFonts w:ascii="Verdana" w:hAnsi="Verdana"/>
      <w:snapToGrid/>
      <w:sz w:val="20"/>
    </w:rPr>
  </w:style>
  <w:style w:type="paragraph" w:styleId="ListParagraph">
    <w:name w:val="List Paragraph"/>
    <w:basedOn w:val="Normal"/>
    <w:link w:val="ListParagraphChar"/>
    <w:uiPriority w:val="34"/>
    <w:qFormat/>
    <w:rsid w:val="00A649EB"/>
    <w:pPr>
      <w:widowControl/>
      <w:ind w:left="720"/>
    </w:pPr>
    <w:rPr>
      <w:rFonts w:ascii="Arial" w:hAnsi="Arial"/>
      <w:snapToGrid/>
      <w:sz w:val="20"/>
    </w:rPr>
  </w:style>
  <w:style w:type="paragraph" w:customStyle="1" w:styleId="CPA">
    <w:name w:val="CPA"/>
    <w:basedOn w:val="Normal"/>
    <w:uiPriority w:val="99"/>
    <w:rsid w:val="005A675B"/>
    <w:pPr>
      <w:widowControl/>
      <w:overflowPunct w:val="0"/>
      <w:autoSpaceDE w:val="0"/>
      <w:autoSpaceDN w:val="0"/>
      <w:adjustRightInd w:val="0"/>
      <w:spacing w:before="120" w:after="120"/>
      <w:jc w:val="both"/>
      <w:textAlignment w:val="baseline"/>
    </w:pPr>
    <w:rPr>
      <w:rFonts w:ascii="Arial" w:hAnsi="Arial" w:cs="Arial"/>
      <w:b/>
      <w:bCs/>
      <w:snapToGrid/>
      <w:sz w:val="22"/>
      <w:szCs w:val="22"/>
    </w:rPr>
  </w:style>
  <w:style w:type="paragraph" w:styleId="NormalWeb">
    <w:name w:val="Normal (Web)"/>
    <w:basedOn w:val="Normal"/>
    <w:uiPriority w:val="99"/>
    <w:unhideWhenUsed/>
    <w:rsid w:val="008E62FF"/>
    <w:pPr>
      <w:widowControl/>
    </w:pPr>
    <w:rPr>
      <w:rFonts w:eastAsia="Calibri"/>
      <w:snapToGrid/>
      <w:szCs w:val="24"/>
      <w:lang w:eastAsia="en-GB"/>
    </w:rPr>
  </w:style>
  <w:style w:type="paragraph" w:styleId="Revision">
    <w:name w:val="Revision"/>
    <w:hidden/>
    <w:uiPriority w:val="99"/>
    <w:semiHidden/>
    <w:rsid w:val="003D115E"/>
    <w:rPr>
      <w:snapToGrid w:val="0"/>
      <w:sz w:val="24"/>
      <w:lang w:val="en-US" w:eastAsia="en-US"/>
    </w:rPr>
  </w:style>
  <w:style w:type="paragraph" w:styleId="TOC1">
    <w:name w:val="toc 1"/>
    <w:basedOn w:val="Normal"/>
    <w:next w:val="Normal"/>
    <w:uiPriority w:val="39"/>
    <w:rsid w:val="003D115E"/>
    <w:pPr>
      <w:spacing w:before="120" w:after="120"/>
      <w:ind w:left="720" w:hanging="720"/>
    </w:pPr>
    <w:rPr>
      <w:rFonts w:ascii="Arial" w:hAnsi="Arial"/>
      <w:b/>
      <w:caps/>
      <w:sz w:val="22"/>
    </w:rPr>
  </w:style>
  <w:style w:type="paragraph" w:styleId="TOC2">
    <w:name w:val="toc 2"/>
    <w:basedOn w:val="Normal"/>
    <w:next w:val="Normal"/>
    <w:uiPriority w:val="39"/>
    <w:rsid w:val="003D115E"/>
    <w:pPr>
      <w:spacing w:after="60"/>
      <w:ind w:left="1008" w:hanging="720"/>
    </w:pPr>
    <w:rPr>
      <w:rFonts w:ascii="Arial" w:hAnsi="Arial"/>
      <w:sz w:val="22"/>
    </w:rPr>
  </w:style>
  <w:style w:type="paragraph" w:styleId="TOC7">
    <w:name w:val="toc 7"/>
    <w:basedOn w:val="Normal"/>
    <w:next w:val="Normal"/>
    <w:autoRedefine/>
    <w:uiPriority w:val="39"/>
    <w:rsid w:val="000538C1"/>
    <w:pPr>
      <w:ind w:left="1440"/>
    </w:pPr>
  </w:style>
  <w:style w:type="paragraph" w:styleId="TOC8">
    <w:name w:val="toc 8"/>
    <w:basedOn w:val="Normal"/>
    <w:next w:val="Normal"/>
    <w:autoRedefine/>
    <w:uiPriority w:val="39"/>
    <w:rsid w:val="000538C1"/>
    <w:pPr>
      <w:ind w:left="1680"/>
    </w:pPr>
  </w:style>
  <w:style w:type="paragraph" w:styleId="TOC5">
    <w:name w:val="toc 5"/>
    <w:basedOn w:val="Normal"/>
    <w:next w:val="Normal"/>
    <w:autoRedefine/>
    <w:uiPriority w:val="39"/>
    <w:rsid w:val="000538C1"/>
    <w:pPr>
      <w:ind w:left="960"/>
    </w:pPr>
  </w:style>
  <w:style w:type="paragraph" w:styleId="TOC4">
    <w:name w:val="toc 4"/>
    <w:basedOn w:val="Normal"/>
    <w:next w:val="Normal"/>
    <w:autoRedefine/>
    <w:uiPriority w:val="39"/>
    <w:rsid w:val="000538C1"/>
    <w:pPr>
      <w:ind w:left="720"/>
    </w:pPr>
  </w:style>
  <w:style w:type="paragraph" w:customStyle="1" w:styleId="numbered-paragraph">
    <w:name w:val="numbered-paragraph"/>
    <w:basedOn w:val="Normal"/>
    <w:rsid w:val="00CC6A8E"/>
    <w:pPr>
      <w:widowControl/>
      <w:spacing w:after="180"/>
    </w:pPr>
    <w:rPr>
      <w:snapToGrid/>
      <w:szCs w:val="24"/>
      <w:lang w:eastAsia="en-GB"/>
    </w:rPr>
  </w:style>
  <w:style w:type="character" w:customStyle="1" w:styleId="paragraph-number">
    <w:name w:val="paragraph-number"/>
    <w:rsid w:val="00CC6A8E"/>
  </w:style>
  <w:style w:type="paragraph" w:styleId="TOC3">
    <w:name w:val="toc 3"/>
    <w:basedOn w:val="Normal"/>
    <w:next w:val="Normal"/>
    <w:autoRedefine/>
    <w:uiPriority w:val="39"/>
    <w:unhideWhenUsed/>
    <w:rsid w:val="007D71CC"/>
    <w:pPr>
      <w:widowControl/>
      <w:spacing w:after="100" w:line="276" w:lineRule="auto"/>
      <w:ind w:left="440"/>
    </w:pPr>
    <w:rPr>
      <w:rFonts w:ascii="Calibri" w:hAnsi="Calibri"/>
      <w:snapToGrid/>
      <w:sz w:val="22"/>
      <w:szCs w:val="22"/>
      <w:lang w:eastAsia="en-GB"/>
    </w:rPr>
  </w:style>
  <w:style w:type="paragraph" w:styleId="TOC6">
    <w:name w:val="toc 6"/>
    <w:basedOn w:val="Normal"/>
    <w:next w:val="Normal"/>
    <w:autoRedefine/>
    <w:uiPriority w:val="39"/>
    <w:unhideWhenUsed/>
    <w:rsid w:val="007D71CC"/>
    <w:pPr>
      <w:widowControl/>
      <w:spacing w:after="100" w:line="276" w:lineRule="auto"/>
      <w:ind w:left="1100"/>
    </w:pPr>
    <w:rPr>
      <w:rFonts w:ascii="Calibri" w:hAnsi="Calibri"/>
      <w:snapToGrid/>
      <w:sz w:val="22"/>
      <w:szCs w:val="22"/>
      <w:lang w:eastAsia="en-GB"/>
    </w:rPr>
  </w:style>
  <w:style w:type="paragraph" w:styleId="TOC9">
    <w:name w:val="toc 9"/>
    <w:basedOn w:val="Normal"/>
    <w:next w:val="Normal"/>
    <w:autoRedefine/>
    <w:uiPriority w:val="39"/>
    <w:unhideWhenUsed/>
    <w:rsid w:val="007D71CC"/>
    <w:pPr>
      <w:widowControl/>
      <w:spacing w:after="100" w:line="276" w:lineRule="auto"/>
      <w:ind w:left="1760"/>
    </w:pPr>
    <w:rPr>
      <w:rFonts w:ascii="Calibri" w:hAnsi="Calibri"/>
      <w:snapToGrid/>
      <w:sz w:val="22"/>
      <w:szCs w:val="22"/>
      <w:lang w:eastAsia="en-GB"/>
    </w:rPr>
  </w:style>
  <w:style w:type="paragraph" w:customStyle="1" w:styleId="Default">
    <w:name w:val="Default"/>
    <w:rsid w:val="00C12C17"/>
    <w:pPr>
      <w:suppressAutoHyphens/>
      <w:autoSpaceDE w:val="0"/>
      <w:autoSpaceDN w:val="0"/>
      <w:textAlignment w:val="baseline"/>
    </w:pPr>
    <w:rPr>
      <w:rFonts w:ascii="Cambria" w:eastAsia="Calibri" w:hAnsi="Cambria" w:cs="Cambria"/>
      <w:color w:val="000000"/>
      <w:sz w:val="24"/>
      <w:szCs w:val="24"/>
      <w:lang w:eastAsia="en-US"/>
    </w:rPr>
  </w:style>
  <w:style w:type="numbering" w:customStyle="1" w:styleId="NoList1">
    <w:name w:val="No List1"/>
    <w:next w:val="NoList"/>
    <w:uiPriority w:val="99"/>
    <w:semiHidden/>
    <w:unhideWhenUsed/>
    <w:rsid w:val="00587238"/>
  </w:style>
  <w:style w:type="paragraph" w:customStyle="1" w:styleId="xl65">
    <w:name w:val="xl65"/>
    <w:basedOn w:val="Normal"/>
    <w:rsid w:val="00587238"/>
    <w:pPr>
      <w:widowControl/>
      <w:spacing w:before="100" w:beforeAutospacing="1" w:after="100" w:afterAutospacing="1"/>
    </w:pPr>
    <w:rPr>
      <w:snapToGrid/>
      <w:szCs w:val="24"/>
      <w:lang w:eastAsia="en-GB"/>
    </w:rPr>
  </w:style>
  <w:style w:type="paragraph" w:customStyle="1" w:styleId="xl66">
    <w:name w:val="xl66"/>
    <w:basedOn w:val="Normal"/>
    <w:rsid w:val="00587238"/>
    <w:pPr>
      <w:widowControl/>
      <w:spacing w:before="100" w:beforeAutospacing="1" w:after="100" w:afterAutospacing="1"/>
    </w:pPr>
    <w:rPr>
      <w:snapToGrid/>
      <w:szCs w:val="24"/>
      <w:lang w:eastAsia="en-GB"/>
    </w:rPr>
  </w:style>
  <w:style w:type="paragraph" w:customStyle="1" w:styleId="xl67">
    <w:name w:val="xl67"/>
    <w:basedOn w:val="Normal"/>
    <w:rsid w:val="00587238"/>
    <w:pPr>
      <w:widowControl/>
      <w:pBdr>
        <w:top w:val="single" w:sz="4" w:space="0" w:color="auto"/>
        <w:left w:val="single" w:sz="4" w:space="0" w:color="auto"/>
        <w:bottom w:val="single" w:sz="4" w:space="0" w:color="auto"/>
        <w:right w:val="single" w:sz="4" w:space="0" w:color="auto"/>
      </w:pBdr>
      <w:spacing w:before="100" w:beforeAutospacing="1" w:after="100" w:afterAutospacing="1"/>
    </w:pPr>
    <w:rPr>
      <w:snapToGrid/>
      <w:szCs w:val="24"/>
      <w:lang w:eastAsia="en-GB"/>
    </w:rPr>
  </w:style>
  <w:style w:type="paragraph" w:customStyle="1" w:styleId="xl68">
    <w:name w:val="xl68"/>
    <w:basedOn w:val="Normal"/>
    <w:rsid w:val="00587238"/>
    <w:pPr>
      <w:widowControl/>
      <w:pBdr>
        <w:top w:val="single" w:sz="4" w:space="0" w:color="auto"/>
        <w:left w:val="single" w:sz="4" w:space="0" w:color="auto"/>
        <w:bottom w:val="single" w:sz="4" w:space="0" w:color="auto"/>
        <w:right w:val="single" w:sz="4" w:space="0" w:color="auto"/>
      </w:pBdr>
      <w:spacing w:before="100" w:beforeAutospacing="1" w:after="100" w:afterAutospacing="1"/>
    </w:pPr>
    <w:rPr>
      <w:snapToGrid/>
      <w:szCs w:val="24"/>
      <w:lang w:eastAsia="en-GB"/>
    </w:rPr>
  </w:style>
  <w:style w:type="paragraph" w:customStyle="1" w:styleId="xl69">
    <w:name w:val="xl69"/>
    <w:basedOn w:val="Normal"/>
    <w:rsid w:val="00587238"/>
    <w:pPr>
      <w:widowControl/>
      <w:spacing w:before="100" w:beforeAutospacing="1" w:after="100" w:afterAutospacing="1"/>
    </w:pPr>
    <w:rPr>
      <w:b/>
      <w:bCs/>
      <w:snapToGrid/>
      <w:szCs w:val="24"/>
      <w:lang w:eastAsia="en-GB"/>
    </w:rPr>
  </w:style>
  <w:style w:type="paragraph" w:customStyle="1" w:styleId="xl70">
    <w:name w:val="xl70"/>
    <w:basedOn w:val="Normal"/>
    <w:rsid w:val="00587238"/>
    <w:pPr>
      <w:widowControl/>
      <w:shd w:val="clear" w:color="000000" w:fill="BFBFBF"/>
      <w:spacing w:before="100" w:beforeAutospacing="1" w:after="100" w:afterAutospacing="1"/>
    </w:pPr>
    <w:rPr>
      <w:snapToGrid/>
      <w:szCs w:val="24"/>
      <w:lang w:eastAsia="en-GB"/>
    </w:rPr>
  </w:style>
  <w:style w:type="paragraph" w:customStyle="1" w:styleId="xl71">
    <w:name w:val="xl71"/>
    <w:basedOn w:val="Normal"/>
    <w:rsid w:val="00587238"/>
    <w:pPr>
      <w:widowControl/>
      <w:pBdr>
        <w:top w:val="single" w:sz="4" w:space="0" w:color="auto"/>
        <w:left w:val="single" w:sz="4" w:space="0" w:color="auto"/>
        <w:bottom w:val="single" w:sz="4" w:space="0" w:color="auto"/>
        <w:right w:val="single" w:sz="4" w:space="0" w:color="auto"/>
      </w:pBdr>
      <w:shd w:val="clear" w:color="A6A6A6" w:fill="A6A6A6"/>
      <w:spacing w:before="100" w:beforeAutospacing="1" w:after="100" w:afterAutospacing="1"/>
    </w:pPr>
    <w:rPr>
      <w:b/>
      <w:bCs/>
      <w:snapToGrid/>
      <w:szCs w:val="24"/>
      <w:lang w:eastAsia="en-GB"/>
    </w:rPr>
  </w:style>
  <w:style w:type="paragraph" w:customStyle="1" w:styleId="xl72">
    <w:name w:val="xl72"/>
    <w:basedOn w:val="Normal"/>
    <w:rsid w:val="00587238"/>
    <w:pPr>
      <w:widowControl/>
      <w:pBdr>
        <w:top w:val="single" w:sz="4" w:space="0" w:color="auto"/>
        <w:left w:val="single" w:sz="4" w:space="0" w:color="auto"/>
        <w:bottom w:val="single" w:sz="4" w:space="0" w:color="auto"/>
        <w:right w:val="single" w:sz="4" w:space="0" w:color="auto"/>
      </w:pBdr>
      <w:spacing w:before="100" w:beforeAutospacing="1" w:after="100" w:afterAutospacing="1"/>
    </w:pPr>
    <w:rPr>
      <w:snapToGrid/>
      <w:szCs w:val="24"/>
      <w:lang w:eastAsia="en-GB"/>
    </w:rPr>
  </w:style>
  <w:style w:type="paragraph" w:customStyle="1" w:styleId="xl73">
    <w:name w:val="xl73"/>
    <w:basedOn w:val="Normal"/>
    <w:rsid w:val="00587238"/>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snapToGrid/>
      <w:szCs w:val="24"/>
      <w:lang w:eastAsia="en-GB"/>
    </w:rPr>
  </w:style>
  <w:style w:type="paragraph" w:customStyle="1" w:styleId="xl74">
    <w:name w:val="xl74"/>
    <w:basedOn w:val="Normal"/>
    <w:rsid w:val="00587238"/>
    <w:pPr>
      <w:widowControl/>
      <w:pBdr>
        <w:top w:val="single" w:sz="4" w:space="0" w:color="auto"/>
        <w:left w:val="single" w:sz="4" w:space="0" w:color="auto"/>
        <w:bottom w:val="single" w:sz="4" w:space="0" w:color="auto"/>
        <w:right w:val="single" w:sz="4" w:space="0" w:color="auto"/>
      </w:pBdr>
      <w:spacing w:before="100" w:beforeAutospacing="1" w:after="100" w:afterAutospacing="1"/>
    </w:pPr>
    <w:rPr>
      <w:snapToGrid/>
      <w:szCs w:val="24"/>
      <w:lang w:eastAsia="en-GB"/>
    </w:rPr>
  </w:style>
  <w:style w:type="paragraph" w:customStyle="1" w:styleId="xl75">
    <w:name w:val="xl75"/>
    <w:basedOn w:val="Normal"/>
    <w:rsid w:val="00587238"/>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szCs w:val="24"/>
      <w:lang w:eastAsia="en-GB"/>
    </w:rPr>
  </w:style>
  <w:style w:type="paragraph" w:customStyle="1" w:styleId="xl76">
    <w:name w:val="xl76"/>
    <w:basedOn w:val="Normal"/>
    <w:rsid w:val="00587238"/>
    <w:pPr>
      <w:widowControl/>
      <w:shd w:val="clear" w:color="000000" w:fill="BFBFBF"/>
      <w:spacing w:before="100" w:beforeAutospacing="1" w:after="100" w:afterAutospacing="1"/>
    </w:pPr>
    <w:rPr>
      <w:b/>
      <w:bCs/>
      <w:snapToGrid/>
      <w:szCs w:val="24"/>
      <w:lang w:eastAsia="en-GB"/>
    </w:rPr>
  </w:style>
  <w:style w:type="paragraph" w:customStyle="1" w:styleId="xl77">
    <w:name w:val="xl77"/>
    <w:basedOn w:val="Normal"/>
    <w:rsid w:val="00587238"/>
    <w:pPr>
      <w:widowControl/>
      <w:pBdr>
        <w:top w:val="single" w:sz="4" w:space="0" w:color="auto"/>
        <w:left w:val="single" w:sz="4" w:space="0" w:color="auto"/>
        <w:bottom w:val="single" w:sz="4" w:space="0" w:color="auto"/>
        <w:right w:val="single" w:sz="4" w:space="0" w:color="auto"/>
      </w:pBdr>
      <w:shd w:val="clear" w:color="A6A6A6" w:fill="A6A6A6"/>
      <w:spacing w:before="100" w:beforeAutospacing="1" w:after="100" w:afterAutospacing="1"/>
    </w:pPr>
    <w:rPr>
      <w:b/>
      <w:bCs/>
      <w:snapToGrid/>
      <w:szCs w:val="24"/>
      <w:lang w:eastAsia="en-GB"/>
    </w:rPr>
  </w:style>
  <w:style w:type="paragraph" w:customStyle="1" w:styleId="xl78">
    <w:name w:val="xl78"/>
    <w:basedOn w:val="Normal"/>
    <w:rsid w:val="00587238"/>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snapToGrid/>
      <w:szCs w:val="24"/>
      <w:lang w:eastAsia="en-GB"/>
    </w:rPr>
  </w:style>
  <w:style w:type="paragraph" w:customStyle="1" w:styleId="xl79">
    <w:name w:val="xl79"/>
    <w:basedOn w:val="Normal"/>
    <w:rsid w:val="00587238"/>
    <w:pPr>
      <w:widowControl/>
      <w:pBdr>
        <w:top w:val="single" w:sz="4" w:space="0" w:color="auto"/>
        <w:left w:val="single" w:sz="4" w:space="0" w:color="auto"/>
        <w:bottom w:val="single" w:sz="4" w:space="0" w:color="auto"/>
        <w:right w:val="single" w:sz="4" w:space="0" w:color="auto"/>
      </w:pBdr>
      <w:spacing w:before="100" w:beforeAutospacing="1" w:after="100" w:afterAutospacing="1"/>
    </w:pPr>
    <w:rPr>
      <w:snapToGrid/>
      <w:szCs w:val="24"/>
      <w:lang w:eastAsia="en-GB"/>
    </w:rPr>
  </w:style>
  <w:style w:type="paragraph" w:customStyle="1" w:styleId="xl80">
    <w:name w:val="xl80"/>
    <w:basedOn w:val="Normal"/>
    <w:rsid w:val="00587238"/>
    <w:pPr>
      <w:widowControl/>
      <w:shd w:val="clear" w:color="000000" w:fill="BFBFBF"/>
      <w:spacing w:before="100" w:beforeAutospacing="1" w:after="100" w:afterAutospacing="1"/>
    </w:pPr>
    <w:rPr>
      <w:snapToGrid/>
      <w:szCs w:val="24"/>
      <w:lang w:eastAsia="en-GB"/>
    </w:rPr>
  </w:style>
  <w:style w:type="character" w:customStyle="1" w:styleId="CommentTextChar">
    <w:name w:val="Comment Text Char"/>
    <w:link w:val="CommentText"/>
    <w:semiHidden/>
    <w:rsid w:val="008C69E8"/>
    <w:rPr>
      <w:rFonts w:ascii="Arial" w:hAnsi="Arial"/>
      <w:lang w:eastAsia="en-US"/>
    </w:rPr>
  </w:style>
  <w:style w:type="paragraph" w:styleId="CommentSubject">
    <w:name w:val="annotation subject"/>
    <w:basedOn w:val="CommentText"/>
    <w:next w:val="CommentText"/>
    <w:link w:val="CommentSubjectChar"/>
    <w:rsid w:val="00135EB4"/>
    <w:pPr>
      <w:widowControl w:val="0"/>
    </w:pPr>
    <w:rPr>
      <w:rFonts w:ascii="Times New Roman" w:hAnsi="Times New Roman"/>
      <w:b/>
      <w:bCs/>
      <w:snapToGrid w:val="0"/>
    </w:rPr>
  </w:style>
  <w:style w:type="character" w:customStyle="1" w:styleId="CommentSubjectChar">
    <w:name w:val="Comment Subject Char"/>
    <w:link w:val="CommentSubject"/>
    <w:rsid w:val="00135EB4"/>
    <w:rPr>
      <w:rFonts w:ascii="Arial" w:hAnsi="Arial"/>
      <w:b/>
      <w:bCs/>
      <w:snapToGrid w:val="0"/>
      <w:lang w:val="en-GB" w:eastAsia="en-US"/>
    </w:rPr>
  </w:style>
  <w:style w:type="paragraph" w:customStyle="1" w:styleId="xl63">
    <w:name w:val="xl63"/>
    <w:basedOn w:val="Normal"/>
    <w:rsid w:val="003F49A8"/>
    <w:pPr>
      <w:widowControl/>
      <w:pBdr>
        <w:top w:val="single" w:sz="4" w:space="0" w:color="000000"/>
        <w:left w:val="single" w:sz="4" w:space="0" w:color="000000"/>
        <w:bottom w:val="single" w:sz="4" w:space="0" w:color="000000"/>
        <w:right w:val="single" w:sz="4" w:space="0" w:color="000000"/>
      </w:pBdr>
      <w:shd w:val="clear" w:color="A6A6A6" w:fill="A6A6A6"/>
      <w:spacing w:before="100" w:beforeAutospacing="1" w:after="100" w:afterAutospacing="1"/>
    </w:pPr>
    <w:rPr>
      <w:b/>
      <w:bCs/>
      <w:snapToGrid/>
      <w:szCs w:val="24"/>
      <w:lang w:eastAsia="en-GB"/>
    </w:rPr>
  </w:style>
  <w:style w:type="paragraph" w:customStyle="1" w:styleId="xl64">
    <w:name w:val="xl64"/>
    <w:basedOn w:val="Normal"/>
    <w:rsid w:val="003F49A8"/>
    <w:pPr>
      <w:widowControl/>
      <w:pBdr>
        <w:top w:val="single" w:sz="4" w:space="0" w:color="000000"/>
        <w:left w:val="single" w:sz="4" w:space="0" w:color="000000"/>
        <w:bottom w:val="single" w:sz="4" w:space="0" w:color="000000"/>
        <w:right w:val="single" w:sz="4" w:space="0" w:color="000000"/>
      </w:pBdr>
      <w:shd w:val="clear" w:color="A6A6A6" w:fill="A6A6A6"/>
      <w:spacing w:before="100" w:beforeAutospacing="1" w:after="100" w:afterAutospacing="1"/>
    </w:pPr>
    <w:rPr>
      <w:b/>
      <w:bCs/>
      <w:snapToGrid/>
      <w:szCs w:val="24"/>
      <w:lang w:eastAsia="en-GB"/>
    </w:rPr>
  </w:style>
  <w:style w:type="character" w:customStyle="1" w:styleId="ListParagraphChar">
    <w:name w:val="List Paragraph Char"/>
    <w:link w:val="ListParagraph"/>
    <w:uiPriority w:val="34"/>
    <w:rsid w:val="00BE08CA"/>
    <w:rPr>
      <w:rFonts w:ascii="Arial" w:hAnsi="Arial"/>
      <w:lang w:eastAsia="en-US"/>
    </w:rPr>
  </w:style>
  <w:style w:type="paragraph" w:customStyle="1" w:styleId="CharChar2">
    <w:name w:val="Char Char2"/>
    <w:basedOn w:val="Normal"/>
    <w:rsid w:val="005B79DD"/>
    <w:pPr>
      <w:widowControl/>
      <w:spacing w:after="160" w:line="240" w:lineRule="exact"/>
    </w:pPr>
    <w:rPr>
      <w:rFonts w:ascii="Verdana" w:hAnsi="Verdana"/>
      <w:snapToGrid/>
      <w:sz w:val="20"/>
      <w:lang w:val="en-US"/>
    </w:rPr>
  </w:style>
  <w:style w:type="paragraph" w:customStyle="1" w:styleId="msonormal0">
    <w:name w:val="msonormal"/>
    <w:basedOn w:val="Normal"/>
    <w:rsid w:val="00A361B7"/>
    <w:pPr>
      <w:widowControl/>
      <w:spacing w:before="100" w:beforeAutospacing="1" w:after="100" w:afterAutospacing="1"/>
    </w:pPr>
    <w:rPr>
      <w:snapToGrid/>
      <w:szCs w:val="24"/>
      <w:lang w:eastAsia="en-GB"/>
    </w:rPr>
  </w:style>
  <w:style w:type="character" w:customStyle="1" w:styleId="Heading1Char">
    <w:name w:val="Heading 1 Char"/>
    <w:link w:val="Heading1"/>
    <w:rsid w:val="0041039A"/>
    <w:rPr>
      <w:rFonts w:ascii="Arial" w:hAnsi="Arial"/>
      <w:b/>
      <w:snapToGrid w:val="0"/>
      <w:kern w:val="28"/>
      <w:sz w:val="28"/>
      <w:lang w:eastAsia="en-US"/>
    </w:rPr>
  </w:style>
  <w:style w:type="character" w:customStyle="1" w:styleId="Heading3Char">
    <w:name w:val="Heading 3 Char"/>
    <w:link w:val="Heading3"/>
    <w:rsid w:val="0041039A"/>
    <w:rPr>
      <w:rFonts w:ascii="Arial" w:hAnsi="Arial"/>
      <w:snapToGrid w:val="0"/>
      <w:sz w:val="24"/>
      <w:lang w:eastAsia="en-US"/>
    </w:rPr>
  </w:style>
  <w:style w:type="character" w:customStyle="1" w:styleId="Heading4Char">
    <w:name w:val="Heading 4 Char"/>
    <w:link w:val="Heading4"/>
    <w:rsid w:val="0041039A"/>
    <w:rPr>
      <w:rFonts w:ascii="CG Times" w:hAnsi="CG Times"/>
      <w:b/>
      <w:snapToGrid w:val="0"/>
      <w:sz w:val="36"/>
      <w:lang w:eastAsia="en-US"/>
    </w:rPr>
  </w:style>
  <w:style w:type="character" w:customStyle="1" w:styleId="Heading5Char">
    <w:name w:val="Heading 5 Char"/>
    <w:link w:val="Heading5"/>
    <w:rsid w:val="0041039A"/>
    <w:rPr>
      <w:b/>
      <w:snapToGrid w:val="0"/>
      <w:sz w:val="24"/>
      <w:lang w:eastAsia="en-US"/>
    </w:rPr>
  </w:style>
  <w:style w:type="character" w:customStyle="1" w:styleId="Heading6Char">
    <w:name w:val="Heading 6 Char"/>
    <w:link w:val="Heading6"/>
    <w:rsid w:val="0041039A"/>
    <w:rPr>
      <w:b/>
      <w:snapToGrid w:val="0"/>
      <w:sz w:val="28"/>
      <w:lang w:eastAsia="en-US"/>
    </w:rPr>
  </w:style>
  <w:style w:type="character" w:customStyle="1" w:styleId="Heading8Char">
    <w:name w:val="Heading 8 Char"/>
    <w:link w:val="Heading8"/>
    <w:rsid w:val="0041039A"/>
    <w:rPr>
      <w:b/>
      <w:snapToGrid w:val="0"/>
      <w:lang w:eastAsia="en-US"/>
    </w:rPr>
  </w:style>
  <w:style w:type="character" w:customStyle="1" w:styleId="Heading9Char">
    <w:name w:val="Heading 9 Char"/>
    <w:link w:val="Heading9"/>
    <w:rsid w:val="0041039A"/>
    <w:rPr>
      <w:b/>
      <w:i/>
      <w:snapToGrid w:val="0"/>
      <w:lang w:eastAsia="en-US"/>
    </w:rPr>
  </w:style>
  <w:style w:type="character" w:customStyle="1" w:styleId="BodyTextChar">
    <w:name w:val="Body Text Char"/>
    <w:link w:val="BodyText"/>
    <w:rsid w:val="0041039A"/>
    <w:rPr>
      <w:rFonts w:ascii="CG Times" w:hAnsi="CG Times"/>
      <w:snapToGrid w:val="0"/>
      <w:sz w:val="24"/>
      <w:lang w:eastAsia="en-US"/>
    </w:rPr>
  </w:style>
  <w:style w:type="character" w:customStyle="1" w:styleId="BodyText2Char">
    <w:name w:val="Body Text 2 Char"/>
    <w:link w:val="BodyText2"/>
    <w:rsid w:val="0041039A"/>
    <w:rPr>
      <w:snapToGrid w:val="0"/>
      <w:lang w:eastAsia="en-US"/>
    </w:rPr>
  </w:style>
  <w:style w:type="character" w:customStyle="1" w:styleId="BodyText3Char">
    <w:name w:val="Body Text 3 Char"/>
    <w:link w:val="BodyText3"/>
    <w:rsid w:val="0041039A"/>
    <w:rPr>
      <w:b/>
      <w:snapToGrid w:val="0"/>
      <w:lang w:eastAsia="en-US"/>
    </w:rPr>
  </w:style>
  <w:style w:type="character" w:customStyle="1" w:styleId="BodyTextIndentChar">
    <w:name w:val="Body Text Indent Char"/>
    <w:link w:val="BodyTextIndent"/>
    <w:rsid w:val="0041039A"/>
    <w:rPr>
      <w:snapToGrid w:val="0"/>
      <w:lang w:eastAsia="en-US"/>
    </w:rPr>
  </w:style>
  <w:style w:type="character" w:customStyle="1" w:styleId="HeaderChar">
    <w:name w:val="Header Char"/>
    <w:link w:val="Header"/>
    <w:rsid w:val="0041039A"/>
    <w:rPr>
      <w:snapToGrid w:val="0"/>
      <w:sz w:val="24"/>
      <w:lang w:eastAsia="en-US"/>
    </w:rPr>
  </w:style>
  <w:style w:type="character" w:customStyle="1" w:styleId="FooterChar">
    <w:name w:val="Footer Char"/>
    <w:link w:val="Footer"/>
    <w:rsid w:val="0041039A"/>
    <w:rPr>
      <w:snapToGrid w:val="0"/>
      <w:sz w:val="24"/>
      <w:lang w:eastAsia="en-US"/>
    </w:rPr>
  </w:style>
  <w:style w:type="character" w:customStyle="1" w:styleId="BodyTextIndent2Char">
    <w:name w:val="Body Text Indent 2 Char"/>
    <w:link w:val="BodyTextIndent2"/>
    <w:rsid w:val="0041039A"/>
    <w:rPr>
      <w:snapToGrid w:val="0"/>
      <w:lang w:eastAsia="en-US"/>
    </w:rPr>
  </w:style>
  <w:style w:type="character" w:customStyle="1" w:styleId="TitleChar">
    <w:name w:val="Title Char"/>
    <w:link w:val="Title"/>
    <w:rsid w:val="0041039A"/>
    <w:rPr>
      <w:b/>
      <w:sz w:val="28"/>
      <w:u w:val="single"/>
      <w:lang w:eastAsia="en-US"/>
    </w:rPr>
  </w:style>
  <w:style w:type="character" w:customStyle="1" w:styleId="BodyTextIndent3Char">
    <w:name w:val="Body Text Indent 3 Char"/>
    <w:link w:val="BodyTextIndent3"/>
    <w:rsid w:val="0041039A"/>
    <w:rPr>
      <w:rFonts w:ascii="Arial" w:hAnsi="Arial"/>
      <w:lang w:eastAsia="en-US"/>
    </w:rPr>
  </w:style>
  <w:style w:type="character" w:customStyle="1" w:styleId="BalloonTextChar">
    <w:name w:val="Balloon Text Char"/>
    <w:link w:val="BalloonText"/>
    <w:semiHidden/>
    <w:rsid w:val="0041039A"/>
    <w:rPr>
      <w:rFonts w:ascii="Tahoma" w:hAnsi="Tahoma" w:cs="Tahoma"/>
      <w:snapToGrid w:val="0"/>
      <w:sz w:val="16"/>
      <w:szCs w:val="16"/>
      <w:lang w:eastAsia="en-US"/>
    </w:rPr>
  </w:style>
  <w:style w:type="character" w:customStyle="1" w:styleId="SubtitleChar">
    <w:name w:val="Subtitle Char"/>
    <w:link w:val="Subtitle"/>
    <w:rsid w:val="0041039A"/>
    <w:rPr>
      <w:rFonts w:ascii="Arial" w:hAnsi="Arial"/>
      <w:sz w:val="24"/>
      <w:szCs w:val="24"/>
      <w:u w:val="single"/>
      <w:lang w:eastAsia="en-US"/>
    </w:rPr>
  </w:style>
  <w:style w:type="character" w:styleId="Strong">
    <w:name w:val="Strong"/>
    <w:uiPriority w:val="22"/>
    <w:qFormat/>
    <w:rsid w:val="001C3559"/>
    <w:rPr>
      <w:b/>
      <w:bCs/>
    </w:rPr>
  </w:style>
  <w:style w:type="table" w:styleId="GridTable1Light-Accent1">
    <w:name w:val="Grid Table 1 Light Accent 1"/>
    <w:basedOn w:val="TableNormal"/>
    <w:uiPriority w:val="46"/>
    <w:rsid w:val="000708E5"/>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C955E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955E6"/>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8123">
      <w:bodyDiv w:val="1"/>
      <w:marLeft w:val="0"/>
      <w:marRight w:val="0"/>
      <w:marTop w:val="0"/>
      <w:marBottom w:val="0"/>
      <w:divBdr>
        <w:top w:val="none" w:sz="0" w:space="0" w:color="auto"/>
        <w:left w:val="none" w:sz="0" w:space="0" w:color="auto"/>
        <w:bottom w:val="none" w:sz="0" w:space="0" w:color="auto"/>
        <w:right w:val="none" w:sz="0" w:space="0" w:color="auto"/>
      </w:divBdr>
    </w:div>
    <w:div w:id="18312799">
      <w:bodyDiv w:val="1"/>
      <w:marLeft w:val="0"/>
      <w:marRight w:val="0"/>
      <w:marTop w:val="0"/>
      <w:marBottom w:val="0"/>
      <w:divBdr>
        <w:top w:val="none" w:sz="0" w:space="0" w:color="auto"/>
        <w:left w:val="none" w:sz="0" w:space="0" w:color="auto"/>
        <w:bottom w:val="none" w:sz="0" w:space="0" w:color="auto"/>
        <w:right w:val="none" w:sz="0" w:space="0" w:color="auto"/>
      </w:divBdr>
    </w:div>
    <w:div w:id="31660825">
      <w:bodyDiv w:val="1"/>
      <w:marLeft w:val="0"/>
      <w:marRight w:val="0"/>
      <w:marTop w:val="0"/>
      <w:marBottom w:val="0"/>
      <w:divBdr>
        <w:top w:val="none" w:sz="0" w:space="0" w:color="auto"/>
        <w:left w:val="none" w:sz="0" w:space="0" w:color="auto"/>
        <w:bottom w:val="none" w:sz="0" w:space="0" w:color="auto"/>
        <w:right w:val="none" w:sz="0" w:space="0" w:color="auto"/>
      </w:divBdr>
    </w:div>
    <w:div w:id="40444025">
      <w:bodyDiv w:val="1"/>
      <w:marLeft w:val="0"/>
      <w:marRight w:val="0"/>
      <w:marTop w:val="0"/>
      <w:marBottom w:val="0"/>
      <w:divBdr>
        <w:top w:val="none" w:sz="0" w:space="0" w:color="auto"/>
        <w:left w:val="none" w:sz="0" w:space="0" w:color="auto"/>
        <w:bottom w:val="none" w:sz="0" w:space="0" w:color="auto"/>
        <w:right w:val="none" w:sz="0" w:space="0" w:color="auto"/>
      </w:divBdr>
    </w:div>
    <w:div w:id="101269086">
      <w:bodyDiv w:val="1"/>
      <w:marLeft w:val="0"/>
      <w:marRight w:val="0"/>
      <w:marTop w:val="0"/>
      <w:marBottom w:val="0"/>
      <w:divBdr>
        <w:top w:val="none" w:sz="0" w:space="0" w:color="auto"/>
        <w:left w:val="none" w:sz="0" w:space="0" w:color="auto"/>
        <w:bottom w:val="none" w:sz="0" w:space="0" w:color="auto"/>
        <w:right w:val="none" w:sz="0" w:space="0" w:color="auto"/>
      </w:divBdr>
    </w:div>
    <w:div w:id="173350719">
      <w:bodyDiv w:val="1"/>
      <w:marLeft w:val="0"/>
      <w:marRight w:val="0"/>
      <w:marTop w:val="0"/>
      <w:marBottom w:val="0"/>
      <w:divBdr>
        <w:top w:val="none" w:sz="0" w:space="0" w:color="auto"/>
        <w:left w:val="none" w:sz="0" w:space="0" w:color="auto"/>
        <w:bottom w:val="none" w:sz="0" w:space="0" w:color="auto"/>
        <w:right w:val="none" w:sz="0" w:space="0" w:color="auto"/>
      </w:divBdr>
    </w:div>
    <w:div w:id="175537914">
      <w:bodyDiv w:val="1"/>
      <w:marLeft w:val="0"/>
      <w:marRight w:val="0"/>
      <w:marTop w:val="0"/>
      <w:marBottom w:val="0"/>
      <w:divBdr>
        <w:top w:val="none" w:sz="0" w:space="0" w:color="auto"/>
        <w:left w:val="none" w:sz="0" w:space="0" w:color="auto"/>
        <w:bottom w:val="none" w:sz="0" w:space="0" w:color="auto"/>
        <w:right w:val="none" w:sz="0" w:space="0" w:color="auto"/>
      </w:divBdr>
    </w:div>
    <w:div w:id="296572046">
      <w:bodyDiv w:val="1"/>
      <w:marLeft w:val="0"/>
      <w:marRight w:val="0"/>
      <w:marTop w:val="0"/>
      <w:marBottom w:val="0"/>
      <w:divBdr>
        <w:top w:val="none" w:sz="0" w:space="0" w:color="auto"/>
        <w:left w:val="none" w:sz="0" w:space="0" w:color="auto"/>
        <w:bottom w:val="none" w:sz="0" w:space="0" w:color="auto"/>
        <w:right w:val="none" w:sz="0" w:space="0" w:color="auto"/>
      </w:divBdr>
    </w:div>
    <w:div w:id="342317016">
      <w:bodyDiv w:val="1"/>
      <w:marLeft w:val="0"/>
      <w:marRight w:val="0"/>
      <w:marTop w:val="0"/>
      <w:marBottom w:val="0"/>
      <w:divBdr>
        <w:top w:val="none" w:sz="0" w:space="0" w:color="auto"/>
        <w:left w:val="none" w:sz="0" w:space="0" w:color="auto"/>
        <w:bottom w:val="none" w:sz="0" w:space="0" w:color="auto"/>
        <w:right w:val="none" w:sz="0" w:space="0" w:color="auto"/>
      </w:divBdr>
    </w:div>
    <w:div w:id="353310229">
      <w:bodyDiv w:val="1"/>
      <w:marLeft w:val="0"/>
      <w:marRight w:val="0"/>
      <w:marTop w:val="0"/>
      <w:marBottom w:val="0"/>
      <w:divBdr>
        <w:top w:val="none" w:sz="0" w:space="0" w:color="auto"/>
        <w:left w:val="none" w:sz="0" w:space="0" w:color="auto"/>
        <w:bottom w:val="none" w:sz="0" w:space="0" w:color="auto"/>
        <w:right w:val="none" w:sz="0" w:space="0" w:color="auto"/>
      </w:divBdr>
    </w:div>
    <w:div w:id="386337470">
      <w:bodyDiv w:val="1"/>
      <w:marLeft w:val="0"/>
      <w:marRight w:val="0"/>
      <w:marTop w:val="0"/>
      <w:marBottom w:val="0"/>
      <w:divBdr>
        <w:top w:val="none" w:sz="0" w:space="0" w:color="auto"/>
        <w:left w:val="none" w:sz="0" w:space="0" w:color="auto"/>
        <w:bottom w:val="none" w:sz="0" w:space="0" w:color="auto"/>
        <w:right w:val="none" w:sz="0" w:space="0" w:color="auto"/>
      </w:divBdr>
    </w:div>
    <w:div w:id="413017636">
      <w:bodyDiv w:val="1"/>
      <w:marLeft w:val="0"/>
      <w:marRight w:val="0"/>
      <w:marTop w:val="0"/>
      <w:marBottom w:val="0"/>
      <w:divBdr>
        <w:top w:val="none" w:sz="0" w:space="0" w:color="auto"/>
        <w:left w:val="none" w:sz="0" w:space="0" w:color="auto"/>
        <w:bottom w:val="none" w:sz="0" w:space="0" w:color="auto"/>
        <w:right w:val="none" w:sz="0" w:space="0" w:color="auto"/>
      </w:divBdr>
    </w:div>
    <w:div w:id="567886118">
      <w:bodyDiv w:val="1"/>
      <w:marLeft w:val="0"/>
      <w:marRight w:val="0"/>
      <w:marTop w:val="0"/>
      <w:marBottom w:val="0"/>
      <w:divBdr>
        <w:top w:val="none" w:sz="0" w:space="0" w:color="auto"/>
        <w:left w:val="none" w:sz="0" w:space="0" w:color="auto"/>
        <w:bottom w:val="none" w:sz="0" w:space="0" w:color="auto"/>
        <w:right w:val="none" w:sz="0" w:space="0" w:color="auto"/>
      </w:divBdr>
    </w:div>
    <w:div w:id="582225896">
      <w:bodyDiv w:val="1"/>
      <w:marLeft w:val="0"/>
      <w:marRight w:val="0"/>
      <w:marTop w:val="0"/>
      <w:marBottom w:val="0"/>
      <w:divBdr>
        <w:top w:val="none" w:sz="0" w:space="0" w:color="auto"/>
        <w:left w:val="none" w:sz="0" w:space="0" w:color="auto"/>
        <w:bottom w:val="none" w:sz="0" w:space="0" w:color="auto"/>
        <w:right w:val="none" w:sz="0" w:space="0" w:color="auto"/>
      </w:divBdr>
    </w:div>
    <w:div w:id="632447606">
      <w:bodyDiv w:val="1"/>
      <w:marLeft w:val="0"/>
      <w:marRight w:val="0"/>
      <w:marTop w:val="0"/>
      <w:marBottom w:val="0"/>
      <w:divBdr>
        <w:top w:val="none" w:sz="0" w:space="0" w:color="auto"/>
        <w:left w:val="none" w:sz="0" w:space="0" w:color="auto"/>
        <w:bottom w:val="none" w:sz="0" w:space="0" w:color="auto"/>
        <w:right w:val="none" w:sz="0" w:space="0" w:color="auto"/>
      </w:divBdr>
    </w:div>
    <w:div w:id="654838899">
      <w:bodyDiv w:val="1"/>
      <w:marLeft w:val="0"/>
      <w:marRight w:val="0"/>
      <w:marTop w:val="0"/>
      <w:marBottom w:val="0"/>
      <w:divBdr>
        <w:top w:val="none" w:sz="0" w:space="0" w:color="auto"/>
        <w:left w:val="none" w:sz="0" w:space="0" w:color="auto"/>
        <w:bottom w:val="none" w:sz="0" w:space="0" w:color="auto"/>
        <w:right w:val="none" w:sz="0" w:space="0" w:color="auto"/>
      </w:divBdr>
    </w:div>
    <w:div w:id="764686939">
      <w:bodyDiv w:val="1"/>
      <w:marLeft w:val="0"/>
      <w:marRight w:val="0"/>
      <w:marTop w:val="0"/>
      <w:marBottom w:val="0"/>
      <w:divBdr>
        <w:top w:val="none" w:sz="0" w:space="0" w:color="auto"/>
        <w:left w:val="none" w:sz="0" w:space="0" w:color="auto"/>
        <w:bottom w:val="none" w:sz="0" w:space="0" w:color="auto"/>
        <w:right w:val="none" w:sz="0" w:space="0" w:color="auto"/>
      </w:divBdr>
    </w:div>
    <w:div w:id="916019651">
      <w:bodyDiv w:val="1"/>
      <w:marLeft w:val="0"/>
      <w:marRight w:val="0"/>
      <w:marTop w:val="0"/>
      <w:marBottom w:val="0"/>
      <w:divBdr>
        <w:top w:val="none" w:sz="0" w:space="0" w:color="auto"/>
        <w:left w:val="none" w:sz="0" w:space="0" w:color="auto"/>
        <w:bottom w:val="none" w:sz="0" w:space="0" w:color="auto"/>
        <w:right w:val="none" w:sz="0" w:space="0" w:color="auto"/>
      </w:divBdr>
      <w:divsChild>
        <w:div w:id="1130169372">
          <w:marLeft w:val="0"/>
          <w:marRight w:val="1"/>
          <w:marTop w:val="0"/>
          <w:marBottom w:val="0"/>
          <w:divBdr>
            <w:top w:val="none" w:sz="0" w:space="0" w:color="auto"/>
            <w:left w:val="none" w:sz="0" w:space="0" w:color="auto"/>
            <w:bottom w:val="none" w:sz="0" w:space="0" w:color="auto"/>
            <w:right w:val="none" w:sz="0" w:space="0" w:color="auto"/>
          </w:divBdr>
          <w:divsChild>
            <w:div w:id="597756977">
              <w:marLeft w:val="0"/>
              <w:marRight w:val="0"/>
              <w:marTop w:val="0"/>
              <w:marBottom w:val="0"/>
              <w:divBdr>
                <w:top w:val="none" w:sz="0" w:space="0" w:color="auto"/>
                <w:left w:val="none" w:sz="0" w:space="0" w:color="auto"/>
                <w:bottom w:val="none" w:sz="0" w:space="0" w:color="auto"/>
                <w:right w:val="none" w:sz="0" w:space="0" w:color="auto"/>
              </w:divBdr>
              <w:divsChild>
                <w:div w:id="891618619">
                  <w:marLeft w:val="0"/>
                  <w:marRight w:val="1"/>
                  <w:marTop w:val="0"/>
                  <w:marBottom w:val="0"/>
                  <w:divBdr>
                    <w:top w:val="none" w:sz="0" w:space="0" w:color="auto"/>
                    <w:left w:val="none" w:sz="0" w:space="0" w:color="auto"/>
                    <w:bottom w:val="none" w:sz="0" w:space="0" w:color="auto"/>
                    <w:right w:val="none" w:sz="0" w:space="0" w:color="auto"/>
                  </w:divBdr>
                  <w:divsChild>
                    <w:div w:id="1992439917">
                      <w:marLeft w:val="0"/>
                      <w:marRight w:val="0"/>
                      <w:marTop w:val="0"/>
                      <w:marBottom w:val="0"/>
                      <w:divBdr>
                        <w:top w:val="none" w:sz="0" w:space="0" w:color="auto"/>
                        <w:left w:val="none" w:sz="0" w:space="0" w:color="auto"/>
                        <w:bottom w:val="none" w:sz="0" w:space="0" w:color="auto"/>
                        <w:right w:val="none" w:sz="0" w:space="0" w:color="auto"/>
                      </w:divBdr>
                      <w:divsChild>
                        <w:div w:id="1807311542">
                          <w:marLeft w:val="0"/>
                          <w:marRight w:val="0"/>
                          <w:marTop w:val="0"/>
                          <w:marBottom w:val="0"/>
                          <w:divBdr>
                            <w:top w:val="none" w:sz="0" w:space="0" w:color="auto"/>
                            <w:left w:val="none" w:sz="0" w:space="0" w:color="auto"/>
                            <w:bottom w:val="none" w:sz="0" w:space="0" w:color="auto"/>
                            <w:right w:val="none" w:sz="0" w:space="0" w:color="auto"/>
                          </w:divBdr>
                          <w:divsChild>
                            <w:div w:id="802968114">
                              <w:marLeft w:val="0"/>
                              <w:marRight w:val="0"/>
                              <w:marTop w:val="120"/>
                              <w:marBottom w:val="360"/>
                              <w:divBdr>
                                <w:top w:val="none" w:sz="0" w:space="0" w:color="auto"/>
                                <w:left w:val="none" w:sz="0" w:space="0" w:color="auto"/>
                                <w:bottom w:val="none" w:sz="0" w:space="0" w:color="auto"/>
                                <w:right w:val="none" w:sz="0" w:space="0" w:color="auto"/>
                              </w:divBdr>
                              <w:divsChild>
                                <w:div w:id="1475562366">
                                  <w:marLeft w:val="420"/>
                                  <w:marRight w:val="0"/>
                                  <w:marTop w:val="0"/>
                                  <w:marBottom w:val="0"/>
                                  <w:divBdr>
                                    <w:top w:val="none" w:sz="0" w:space="0" w:color="auto"/>
                                    <w:left w:val="none" w:sz="0" w:space="0" w:color="auto"/>
                                    <w:bottom w:val="none" w:sz="0" w:space="0" w:color="auto"/>
                                    <w:right w:val="none" w:sz="0" w:space="0" w:color="auto"/>
                                  </w:divBdr>
                                  <w:divsChild>
                                    <w:div w:id="128858915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236142">
      <w:bodyDiv w:val="1"/>
      <w:marLeft w:val="0"/>
      <w:marRight w:val="0"/>
      <w:marTop w:val="0"/>
      <w:marBottom w:val="0"/>
      <w:divBdr>
        <w:top w:val="none" w:sz="0" w:space="0" w:color="auto"/>
        <w:left w:val="none" w:sz="0" w:space="0" w:color="auto"/>
        <w:bottom w:val="none" w:sz="0" w:space="0" w:color="auto"/>
        <w:right w:val="none" w:sz="0" w:space="0" w:color="auto"/>
      </w:divBdr>
    </w:div>
    <w:div w:id="971711049">
      <w:bodyDiv w:val="1"/>
      <w:marLeft w:val="0"/>
      <w:marRight w:val="0"/>
      <w:marTop w:val="0"/>
      <w:marBottom w:val="0"/>
      <w:divBdr>
        <w:top w:val="none" w:sz="0" w:space="0" w:color="auto"/>
        <w:left w:val="none" w:sz="0" w:space="0" w:color="auto"/>
        <w:bottom w:val="none" w:sz="0" w:space="0" w:color="auto"/>
        <w:right w:val="none" w:sz="0" w:space="0" w:color="auto"/>
      </w:divBdr>
    </w:div>
    <w:div w:id="977415474">
      <w:bodyDiv w:val="1"/>
      <w:marLeft w:val="0"/>
      <w:marRight w:val="0"/>
      <w:marTop w:val="0"/>
      <w:marBottom w:val="0"/>
      <w:divBdr>
        <w:top w:val="none" w:sz="0" w:space="0" w:color="auto"/>
        <w:left w:val="none" w:sz="0" w:space="0" w:color="auto"/>
        <w:bottom w:val="none" w:sz="0" w:space="0" w:color="auto"/>
        <w:right w:val="none" w:sz="0" w:space="0" w:color="auto"/>
      </w:divBdr>
    </w:div>
    <w:div w:id="980381345">
      <w:bodyDiv w:val="1"/>
      <w:marLeft w:val="0"/>
      <w:marRight w:val="0"/>
      <w:marTop w:val="0"/>
      <w:marBottom w:val="0"/>
      <w:divBdr>
        <w:top w:val="none" w:sz="0" w:space="0" w:color="auto"/>
        <w:left w:val="none" w:sz="0" w:space="0" w:color="auto"/>
        <w:bottom w:val="none" w:sz="0" w:space="0" w:color="auto"/>
        <w:right w:val="none" w:sz="0" w:space="0" w:color="auto"/>
      </w:divBdr>
    </w:div>
    <w:div w:id="1000474258">
      <w:bodyDiv w:val="1"/>
      <w:marLeft w:val="0"/>
      <w:marRight w:val="0"/>
      <w:marTop w:val="0"/>
      <w:marBottom w:val="0"/>
      <w:divBdr>
        <w:top w:val="none" w:sz="0" w:space="0" w:color="auto"/>
        <w:left w:val="none" w:sz="0" w:space="0" w:color="auto"/>
        <w:bottom w:val="none" w:sz="0" w:space="0" w:color="auto"/>
        <w:right w:val="none" w:sz="0" w:space="0" w:color="auto"/>
      </w:divBdr>
    </w:div>
    <w:div w:id="1120876495">
      <w:bodyDiv w:val="1"/>
      <w:marLeft w:val="0"/>
      <w:marRight w:val="0"/>
      <w:marTop w:val="0"/>
      <w:marBottom w:val="0"/>
      <w:divBdr>
        <w:top w:val="none" w:sz="0" w:space="0" w:color="auto"/>
        <w:left w:val="none" w:sz="0" w:space="0" w:color="auto"/>
        <w:bottom w:val="none" w:sz="0" w:space="0" w:color="auto"/>
        <w:right w:val="none" w:sz="0" w:space="0" w:color="auto"/>
      </w:divBdr>
      <w:divsChild>
        <w:div w:id="1215849003">
          <w:marLeft w:val="0"/>
          <w:marRight w:val="0"/>
          <w:marTop w:val="0"/>
          <w:marBottom w:val="0"/>
          <w:divBdr>
            <w:top w:val="none" w:sz="0" w:space="0" w:color="auto"/>
            <w:left w:val="none" w:sz="0" w:space="0" w:color="auto"/>
            <w:bottom w:val="none" w:sz="0" w:space="0" w:color="auto"/>
            <w:right w:val="none" w:sz="0" w:space="0" w:color="auto"/>
          </w:divBdr>
          <w:divsChild>
            <w:div w:id="469784507">
              <w:marLeft w:val="0"/>
              <w:marRight w:val="0"/>
              <w:marTop w:val="0"/>
              <w:marBottom w:val="0"/>
              <w:divBdr>
                <w:top w:val="none" w:sz="0" w:space="0" w:color="auto"/>
                <w:left w:val="none" w:sz="0" w:space="0" w:color="auto"/>
                <w:bottom w:val="none" w:sz="0" w:space="0" w:color="auto"/>
                <w:right w:val="none" w:sz="0" w:space="0" w:color="auto"/>
              </w:divBdr>
              <w:divsChild>
                <w:div w:id="2131048950">
                  <w:marLeft w:val="0"/>
                  <w:marRight w:val="0"/>
                  <w:marTop w:val="0"/>
                  <w:marBottom w:val="0"/>
                  <w:divBdr>
                    <w:top w:val="none" w:sz="0" w:space="0" w:color="auto"/>
                    <w:left w:val="none" w:sz="0" w:space="0" w:color="auto"/>
                    <w:bottom w:val="none" w:sz="0" w:space="0" w:color="auto"/>
                    <w:right w:val="none" w:sz="0" w:space="0" w:color="auto"/>
                  </w:divBdr>
                  <w:divsChild>
                    <w:div w:id="1430154661">
                      <w:marLeft w:val="0"/>
                      <w:marRight w:val="0"/>
                      <w:marTop w:val="0"/>
                      <w:marBottom w:val="0"/>
                      <w:divBdr>
                        <w:top w:val="none" w:sz="0" w:space="0" w:color="auto"/>
                        <w:left w:val="none" w:sz="0" w:space="0" w:color="auto"/>
                        <w:bottom w:val="none" w:sz="0" w:space="0" w:color="auto"/>
                        <w:right w:val="none" w:sz="0" w:space="0" w:color="auto"/>
                      </w:divBdr>
                      <w:divsChild>
                        <w:div w:id="276719272">
                          <w:marLeft w:val="0"/>
                          <w:marRight w:val="0"/>
                          <w:marTop w:val="0"/>
                          <w:marBottom w:val="32"/>
                          <w:divBdr>
                            <w:top w:val="none" w:sz="0" w:space="0" w:color="auto"/>
                            <w:left w:val="none" w:sz="0" w:space="0" w:color="auto"/>
                            <w:bottom w:val="none" w:sz="0" w:space="0" w:color="auto"/>
                            <w:right w:val="none" w:sz="0" w:space="0" w:color="auto"/>
                          </w:divBdr>
                          <w:divsChild>
                            <w:div w:id="1889144226">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067294">
      <w:bodyDiv w:val="1"/>
      <w:marLeft w:val="0"/>
      <w:marRight w:val="0"/>
      <w:marTop w:val="0"/>
      <w:marBottom w:val="0"/>
      <w:divBdr>
        <w:top w:val="none" w:sz="0" w:space="0" w:color="auto"/>
        <w:left w:val="none" w:sz="0" w:space="0" w:color="auto"/>
        <w:bottom w:val="none" w:sz="0" w:space="0" w:color="auto"/>
        <w:right w:val="none" w:sz="0" w:space="0" w:color="auto"/>
      </w:divBdr>
    </w:div>
    <w:div w:id="1179664774">
      <w:bodyDiv w:val="1"/>
      <w:marLeft w:val="0"/>
      <w:marRight w:val="0"/>
      <w:marTop w:val="0"/>
      <w:marBottom w:val="0"/>
      <w:divBdr>
        <w:top w:val="none" w:sz="0" w:space="0" w:color="auto"/>
        <w:left w:val="none" w:sz="0" w:space="0" w:color="auto"/>
        <w:bottom w:val="none" w:sz="0" w:space="0" w:color="auto"/>
        <w:right w:val="none" w:sz="0" w:space="0" w:color="auto"/>
      </w:divBdr>
    </w:div>
    <w:div w:id="1294020488">
      <w:bodyDiv w:val="1"/>
      <w:marLeft w:val="0"/>
      <w:marRight w:val="0"/>
      <w:marTop w:val="0"/>
      <w:marBottom w:val="0"/>
      <w:divBdr>
        <w:top w:val="none" w:sz="0" w:space="0" w:color="auto"/>
        <w:left w:val="none" w:sz="0" w:space="0" w:color="auto"/>
        <w:bottom w:val="none" w:sz="0" w:space="0" w:color="auto"/>
        <w:right w:val="none" w:sz="0" w:space="0" w:color="auto"/>
      </w:divBdr>
    </w:div>
    <w:div w:id="1450467463">
      <w:bodyDiv w:val="1"/>
      <w:marLeft w:val="0"/>
      <w:marRight w:val="0"/>
      <w:marTop w:val="0"/>
      <w:marBottom w:val="0"/>
      <w:divBdr>
        <w:top w:val="none" w:sz="0" w:space="0" w:color="auto"/>
        <w:left w:val="none" w:sz="0" w:space="0" w:color="auto"/>
        <w:bottom w:val="none" w:sz="0" w:space="0" w:color="auto"/>
        <w:right w:val="none" w:sz="0" w:space="0" w:color="auto"/>
      </w:divBdr>
    </w:div>
    <w:div w:id="1452288238">
      <w:bodyDiv w:val="1"/>
      <w:marLeft w:val="0"/>
      <w:marRight w:val="0"/>
      <w:marTop w:val="0"/>
      <w:marBottom w:val="0"/>
      <w:divBdr>
        <w:top w:val="none" w:sz="0" w:space="0" w:color="auto"/>
        <w:left w:val="none" w:sz="0" w:space="0" w:color="auto"/>
        <w:bottom w:val="none" w:sz="0" w:space="0" w:color="auto"/>
        <w:right w:val="none" w:sz="0" w:space="0" w:color="auto"/>
      </w:divBdr>
    </w:div>
    <w:div w:id="1454441121">
      <w:bodyDiv w:val="1"/>
      <w:marLeft w:val="0"/>
      <w:marRight w:val="0"/>
      <w:marTop w:val="0"/>
      <w:marBottom w:val="0"/>
      <w:divBdr>
        <w:top w:val="none" w:sz="0" w:space="0" w:color="auto"/>
        <w:left w:val="none" w:sz="0" w:space="0" w:color="auto"/>
        <w:bottom w:val="none" w:sz="0" w:space="0" w:color="auto"/>
        <w:right w:val="none" w:sz="0" w:space="0" w:color="auto"/>
      </w:divBdr>
    </w:div>
    <w:div w:id="1523666268">
      <w:bodyDiv w:val="1"/>
      <w:marLeft w:val="0"/>
      <w:marRight w:val="0"/>
      <w:marTop w:val="0"/>
      <w:marBottom w:val="0"/>
      <w:divBdr>
        <w:top w:val="none" w:sz="0" w:space="0" w:color="auto"/>
        <w:left w:val="none" w:sz="0" w:space="0" w:color="auto"/>
        <w:bottom w:val="none" w:sz="0" w:space="0" w:color="auto"/>
        <w:right w:val="none" w:sz="0" w:space="0" w:color="auto"/>
      </w:divBdr>
    </w:div>
    <w:div w:id="1531718935">
      <w:bodyDiv w:val="1"/>
      <w:marLeft w:val="0"/>
      <w:marRight w:val="0"/>
      <w:marTop w:val="0"/>
      <w:marBottom w:val="0"/>
      <w:divBdr>
        <w:top w:val="none" w:sz="0" w:space="0" w:color="auto"/>
        <w:left w:val="none" w:sz="0" w:space="0" w:color="auto"/>
        <w:bottom w:val="none" w:sz="0" w:space="0" w:color="auto"/>
        <w:right w:val="none" w:sz="0" w:space="0" w:color="auto"/>
      </w:divBdr>
    </w:div>
    <w:div w:id="1585872367">
      <w:bodyDiv w:val="1"/>
      <w:marLeft w:val="0"/>
      <w:marRight w:val="0"/>
      <w:marTop w:val="0"/>
      <w:marBottom w:val="0"/>
      <w:divBdr>
        <w:top w:val="none" w:sz="0" w:space="0" w:color="auto"/>
        <w:left w:val="none" w:sz="0" w:space="0" w:color="auto"/>
        <w:bottom w:val="none" w:sz="0" w:space="0" w:color="auto"/>
        <w:right w:val="none" w:sz="0" w:space="0" w:color="auto"/>
      </w:divBdr>
    </w:div>
    <w:div w:id="1642538489">
      <w:bodyDiv w:val="1"/>
      <w:marLeft w:val="0"/>
      <w:marRight w:val="0"/>
      <w:marTop w:val="0"/>
      <w:marBottom w:val="0"/>
      <w:divBdr>
        <w:top w:val="none" w:sz="0" w:space="0" w:color="auto"/>
        <w:left w:val="none" w:sz="0" w:space="0" w:color="auto"/>
        <w:bottom w:val="none" w:sz="0" w:space="0" w:color="auto"/>
        <w:right w:val="none" w:sz="0" w:space="0" w:color="auto"/>
      </w:divBdr>
    </w:div>
    <w:div w:id="1647083113">
      <w:bodyDiv w:val="1"/>
      <w:marLeft w:val="0"/>
      <w:marRight w:val="0"/>
      <w:marTop w:val="0"/>
      <w:marBottom w:val="0"/>
      <w:divBdr>
        <w:top w:val="none" w:sz="0" w:space="0" w:color="auto"/>
        <w:left w:val="none" w:sz="0" w:space="0" w:color="auto"/>
        <w:bottom w:val="none" w:sz="0" w:space="0" w:color="auto"/>
        <w:right w:val="none" w:sz="0" w:space="0" w:color="auto"/>
      </w:divBdr>
    </w:div>
    <w:div w:id="1676416109">
      <w:bodyDiv w:val="1"/>
      <w:marLeft w:val="0"/>
      <w:marRight w:val="0"/>
      <w:marTop w:val="0"/>
      <w:marBottom w:val="0"/>
      <w:divBdr>
        <w:top w:val="none" w:sz="0" w:space="0" w:color="auto"/>
        <w:left w:val="none" w:sz="0" w:space="0" w:color="auto"/>
        <w:bottom w:val="none" w:sz="0" w:space="0" w:color="auto"/>
        <w:right w:val="none" w:sz="0" w:space="0" w:color="auto"/>
      </w:divBdr>
    </w:div>
    <w:div w:id="1677608313">
      <w:bodyDiv w:val="1"/>
      <w:marLeft w:val="0"/>
      <w:marRight w:val="0"/>
      <w:marTop w:val="0"/>
      <w:marBottom w:val="0"/>
      <w:divBdr>
        <w:top w:val="none" w:sz="0" w:space="0" w:color="auto"/>
        <w:left w:val="none" w:sz="0" w:space="0" w:color="auto"/>
        <w:bottom w:val="none" w:sz="0" w:space="0" w:color="auto"/>
        <w:right w:val="none" w:sz="0" w:space="0" w:color="auto"/>
      </w:divBdr>
    </w:div>
    <w:div w:id="1679892634">
      <w:bodyDiv w:val="1"/>
      <w:marLeft w:val="0"/>
      <w:marRight w:val="0"/>
      <w:marTop w:val="0"/>
      <w:marBottom w:val="0"/>
      <w:divBdr>
        <w:top w:val="none" w:sz="0" w:space="0" w:color="auto"/>
        <w:left w:val="none" w:sz="0" w:space="0" w:color="auto"/>
        <w:bottom w:val="none" w:sz="0" w:space="0" w:color="auto"/>
        <w:right w:val="none" w:sz="0" w:space="0" w:color="auto"/>
      </w:divBdr>
    </w:div>
    <w:div w:id="1723476180">
      <w:bodyDiv w:val="1"/>
      <w:marLeft w:val="0"/>
      <w:marRight w:val="0"/>
      <w:marTop w:val="0"/>
      <w:marBottom w:val="0"/>
      <w:divBdr>
        <w:top w:val="none" w:sz="0" w:space="0" w:color="auto"/>
        <w:left w:val="none" w:sz="0" w:space="0" w:color="auto"/>
        <w:bottom w:val="none" w:sz="0" w:space="0" w:color="auto"/>
        <w:right w:val="none" w:sz="0" w:space="0" w:color="auto"/>
      </w:divBdr>
    </w:div>
    <w:div w:id="1765808872">
      <w:bodyDiv w:val="1"/>
      <w:marLeft w:val="0"/>
      <w:marRight w:val="0"/>
      <w:marTop w:val="0"/>
      <w:marBottom w:val="0"/>
      <w:divBdr>
        <w:top w:val="none" w:sz="0" w:space="0" w:color="auto"/>
        <w:left w:val="none" w:sz="0" w:space="0" w:color="auto"/>
        <w:bottom w:val="none" w:sz="0" w:space="0" w:color="auto"/>
        <w:right w:val="none" w:sz="0" w:space="0" w:color="auto"/>
      </w:divBdr>
    </w:div>
    <w:div w:id="1774933819">
      <w:bodyDiv w:val="1"/>
      <w:marLeft w:val="0"/>
      <w:marRight w:val="0"/>
      <w:marTop w:val="0"/>
      <w:marBottom w:val="0"/>
      <w:divBdr>
        <w:top w:val="none" w:sz="0" w:space="0" w:color="auto"/>
        <w:left w:val="none" w:sz="0" w:space="0" w:color="auto"/>
        <w:bottom w:val="none" w:sz="0" w:space="0" w:color="auto"/>
        <w:right w:val="none" w:sz="0" w:space="0" w:color="auto"/>
      </w:divBdr>
    </w:div>
    <w:div w:id="1780252132">
      <w:bodyDiv w:val="1"/>
      <w:marLeft w:val="0"/>
      <w:marRight w:val="0"/>
      <w:marTop w:val="0"/>
      <w:marBottom w:val="0"/>
      <w:divBdr>
        <w:top w:val="none" w:sz="0" w:space="0" w:color="auto"/>
        <w:left w:val="none" w:sz="0" w:space="0" w:color="auto"/>
        <w:bottom w:val="none" w:sz="0" w:space="0" w:color="auto"/>
        <w:right w:val="none" w:sz="0" w:space="0" w:color="auto"/>
      </w:divBdr>
    </w:div>
    <w:div w:id="1812165931">
      <w:bodyDiv w:val="1"/>
      <w:marLeft w:val="0"/>
      <w:marRight w:val="0"/>
      <w:marTop w:val="0"/>
      <w:marBottom w:val="0"/>
      <w:divBdr>
        <w:top w:val="none" w:sz="0" w:space="0" w:color="auto"/>
        <w:left w:val="none" w:sz="0" w:space="0" w:color="auto"/>
        <w:bottom w:val="none" w:sz="0" w:space="0" w:color="auto"/>
        <w:right w:val="none" w:sz="0" w:space="0" w:color="auto"/>
      </w:divBdr>
    </w:div>
    <w:div w:id="1897007623">
      <w:bodyDiv w:val="1"/>
      <w:marLeft w:val="0"/>
      <w:marRight w:val="0"/>
      <w:marTop w:val="0"/>
      <w:marBottom w:val="0"/>
      <w:divBdr>
        <w:top w:val="none" w:sz="0" w:space="0" w:color="auto"/>
        <w:left w:val="none" w:sz="0" w:space="0" w:color="auto"/>
        <w:bottom w:val="none" w:sz="0" w:space="0" w:color="auto"/>
        <w:right w:val="none" w:sz="0" w:space="0" w:color="auto"/>
      </w:divBdr>
    </w:div>
    <w:div w:id="1931767175">
      <w:bodyDiv w:val="1"/>
      <w:marLeft w:val="0"/>
      <w:marRight w:val="0"/>
      <w:marTop w:val="0"/>
      <w:marBottom w:val="0"/>
      <w:divBdr>
        <w:top w:val="none" w:sz="0" w:space="0" w:color="auto"/>
        <w:left w:val="none" w:sz="0" w:space="0" w:color="auto"/>
        <w:bottom w:val="none" w:sz="0" w:space="0" w:color="auto"/>
        <w:right w:val="none" w:sz="0" w:space="0" w:color="auto"/>
      </w:divBdr>
    </w:div>
    <w:div w:id="2021354547">
      <w:bodyDiv w:val="1"/>
      <w:marLeft w:val="0"/>
      <w:marRight w:val="0"/>
      <w:marTop w:val="0"/>
      <w:marBottom w:val="0"/>
      <w:divBdr>
        <w:top w:val="none" w:sz="0" w:space="0" w:color="auto"/>
        <w:left w:val="none" w:sz="0" w:space="0" w:color="auto"/>
        <w:bottom w:val="none" w:sz="0" w:space="0" w:color="auto"/>
        <w:right w:val="none" w:sz="0" w:space="0" w:color="auto"/>
      </w:divBdr>
    </w:div>
    <w:div w:id="2064987084">
      <w:bodyDiv w:val="1"/>
      <w:marLeft w:val="0"/>
      <w:marRight w:val="0"/>
      <w:marTop w:val="0"/>
      <w:marBottom w:val="0"/>
      <w:divBdr>
        <w:top w:val="none" w:sz="0" w:space="0" w:color="auto"/>
        <w:left w:val="none" w:sz="0" w:space="0" w:color="auto"/>
        <w:bottom w:val="none" w:sz="0" w:space="0" w:color="auto"/>
        <w:right w:val="none" w:sz="0" w:space="0" w:color="auto"/>
      </w:divBdr>
    </w:div>
    <w:div w:id="2069759488">
      <w:bodyDiv w:val="1"/>
      <w:marLeft w:val="0"/>
      <w:marRight w:val="0"/>
      <w:marTop w:val="0"/>
      <w:marBottom w:val="0"/>
      <w:divBdr>
        <w:top w:val="none" w:sz="0" w:space="0" w:color="auto"/>
        <w:left w:val="none" w:sz="0" w:space="0" w:color="auto"/>
        <w:bottom w:val="none" w:sz="0" w:space="0" w:color="auto"/>
        <w:right w:val="none" w:sz="0" w:space="0" w:color="auto"/>
      </w:divBdr>
    </w:div>
    <w:div w:id="2096854794">
      <w:bodyDiv w:val="1"/>
      <w:marLeft w:val="0"/>
      <w:marRight w:val="0"/>
      <w:marTop w:val="0"/>
      <w:marBottom w:val="0"/>
      <w:divBdr>
        <w:top w:val="none" w:sz="0" w:space="0" w:color="auto"/>
        <w:left w:val="none" w:sz="0" w:space="0" w:color="auto"/>
        <w:bottom w:val="none" w:sz="0" w:space="0" w:color="auto"/>
        <w:right w:val="none" w:sz="0" w:space="0" w:color="auto"/>
      </w:divBdr>
      <w:divsChild>
        <w:div w:id="905262727">
          <w:marLeft w:val="0"/>
          <w:marRight w:val="0"/>
          <w:marTop w:val="0"/>
          <w:marBottom w:val="0"/>
          <w:divBdr>
            <w:top w:val="none" w:sz="0" w:space="0" w:color="auto"/>
            <w:left w:val="none" w:sz="0" w:space="0" w:color="auto"/>
            <w:bottom w:val="none" w:sz="0" w:space="0" w:color="auto"/>
            <w:right w:val="none" w:sz="0" w:space="0" w:color="auto"/>
          </w:divBdr>
          <w:divsChild>
            <w:div w:id="1428958659">
              <w:marLeft w:val="0"/>
              <w:marRight w:val="0"/>
              <w:marTop w:val="0"/>
              <w:marBottom w:val="0"/>
              <w:divBdr>
                <w:top w:val="none" w:sz="0" w:space="0" w:color="auto"/>
                <w:left w:val="none" w:sz="0" w:space="0" w:color="auto"/>
                <w:bottom w:val="none" w:sz="0" w:space="0" w:color="auto"/>
                <w:right w:val="none" w:sz="0" w:space="0" w:color="auto"/>
              </w:divBdr>
              <w:divsChild>
                <w:div w:id="1957565293">
                  <w:marLeft w:val="0"/>
                  <w:marRight w:val="0"/>
                  <w:marTop w:val="0"/>
                  <w:marBottom w:val="0"/>
                  <w:divBdr>
                    <w:top w:val="none" w:sz="0" w:space="0" w:color="auto"/>
                    <w:left w:val="none" w:sz="0" w:space="0" w:color="auto"/>
                    <w:bottom w:val="none" w:sz="0" w:space="0" w:color="auto"/>
                    <w:right w:val="none" w:sz="0" w:space="0" w:color="auto"/>
                  </w:divBdr>
                  <w:divsChild>
                    <w:div w:id="1216090306">
                      <w:marLeft w:val="0"/>
                      <w:marRight w:val="0"/>
                      <w:marTop w:val="0"/>
                      <w:marBottom w:val="0"/>
                      <w:divBdr>
                        <w:top w:val="none" w:sz="0" w:space="0" w:color="auto"/>
                        <w:left w:val="none" w:sz="0" w:space="0" w:color="auto"/>
                        <w:bottom w:val="none" w:sz="0" w:space="0" w:color="auto"/>
                        <w:right w:val="none" w:sz="0" w:space="0" w:color="auto"/>
                      </w:divBdr>
                      <w:divsChild>
                        <w:div w:id="1657958169">
                          <w:marLeft w:val="0"/>
                          <w:marRight w:val="0"/>
                          <w:marTop w:val="0"/>
                          <w:marBottom w:val="0"/>
                          <w:divBdr>
                            <w:top w:val="none" w:sz="0" w:space="0" w:color="auto"/>
                            <w:left w:val="none" w:sz="0" w:space="0" w:color="auto"/>
                            <w:bottom w:val="none" w:sz="0" w:space="0" w:color="auto"/>
                            <w:right w:val="none" w:sz="0" w:space="0" w:color="auto"/>
                          </w:divBdr>
                          <w:divsChild>
                            <w:div w:id="296423054">
                              <w:marLeft w:val="0"/>
                              <w:marRight w:val="0"/>
                              <w:marTop w:val="0"/>
                              <w:marBottom w:val="0"/>
                              <w:divBdr>
                                <w:top w:val="none" w:sz="0" w:space="0" w:color="auto"/>
                                <w:left w:val="none" w:sz="0" w:space="0" w:color="auto"/>
                                <w:bottom w:val="none" w:sz="0" w:space="0" w:color="auto"/>
                                <w:right w:val="none" w:sz="0" w:space="0" w:color="auto"/>
                              </w:divBdr>
                              <w:divsChild>
                                <w:div w:id="845898272">
                                  <w:marLeft w:val="360"/>
                                  <w:marRight w:val="360"/>
                                  <w:marTop w:val="0"/>
                                  <w:marBottom w:val="0"/>
                                  <w:divBdr>
                                    <w:top w:val="none" w:sz="0" w:space="0" w:color="auto"/>
                                    <w:left w:val="none" w:sz="0" w:space="0" w:color="auto"/>
                                    <w:bottom w:val="none" w:sz="0" w:space="0" w:color="auto"/>
                                    <w:right w:val="none" w:sz="0" w:space="0" w:color="auto"/>
                                  </w:divBdr>
                                  <w:divsChild>
                                    <w:div w:id="1117530910">
                                      <w:marLeft w:val="0"/>
                                      <w:marRight w:val="0"/>
                                      <w:marTop w:val="0"/>
                                      <w:marBottom w:val="0"/>
                                      <w:divBdr>
                                        <w:top w:val="none" w:sz="0" w:space="0" w:color="auto"/>
                                        <w:left w:val="none" w:sz="0" w:space="0" w:color="auto"/>
                                        <w:bottom w:val="none" w:sz="0" w:space="0" w:color="auto"/>
                                        <w:right w:val="none" w:sz="0" w:space="0" w:color="auto"/>
                                      </w:divBdr>
                                      <w:divsChild>
                                        <w:div w:id="1449855492">
                                          <w:marLeft w:val="0"/>
                                          <w:marRight w:val="0"/>
                                          <w:marTop w:val="0"/>
                                          <w:marBottom w:val="300"/>
                                          <w:divBdr>
                                            <w:top w:val="none" w:sz="0" w:space="0" w:color="auto"/>
                                            <w:left w:val="none" w:sz="0" w:space="0" w:color="auto"/>
                                            <w:bottom w:val="none" w:sz="0" w:space="0" w:color="auto"/>
                                            <w:right w:val="none" w:sz="0" w:space="0" w:color="auto"/>
                                          </w:divBdr>
                                          <w:divsChild>
                                            <w:div w:id="1530872482">
                                              <w:marLeft w:val="0"/>
                                              <w:marRight w:val="0"/>
                                              <w:marTop w:val="0"/>
                                              <w:marBottom w:val="0"/>
                                              <w:divBdr>
                                                <w:top w:val="none" w:sz="0" w:space="0" w:color="auto"/>
                                                <w:left w:val="none" w:sz="0" w:space="0" w:color="auto"/>
                                                <w:bottom w:val="none" w:sz="0" w:space="0" w:color="auto"/>
                                                <w:right w:val="none" w:sz="0" w:space="0" w:color="auto"/>
                                              </w:divBdr>
                                              <w:divsChild>
                                                <w:div w:id="486240266">
                                                  <w:marLeft w:val="0"/>
                                                  <w:marRight w:val="0"/>
                                                  <w:marTop w:val="0"/>
                                                  <w:marBottom w:val="0"/>
                                                  <w:divBdr>
                                                    <w:top w:val="none" w:sz="0" w:space="0" w:color="auto"/>
                                                    <w:left w:val="none" w:sz="0" w:space="0" w:color="auto"/>
                                                    <w:bottom w:val="none" w:sz="0" w:space="0" w:color="auto"/>
                                                    <w:right w:val="none" w:sz="0" w:space="0" w:color="auto"/>
                                                  </w:divBdr>
                                                  <w:divsChild>
                                                    <w:div w:id="1031996934">
                                                      <w:marLeft w:val="0"/>
                                                      <w:marRight w:val="0"/>
                                                      <w:marTop w:val="0"/>
                                                      <w:marBottom w:val="0"/>
                                                      <w:divBdr>
                                                        <w:top w:val="none" w:sz="0" w:space="0" w:color="auto"/>
                                                        <w:left w:val="none" w:sz="0" w:space="0" w:color="auto"/>
                                                        <w:bottom w:val="none" w:sz="0" w:space="0" w:color="auto"/>
                                                        <w:right w:val="none" w:sz="0" w:space="0" w:color="auto"/>
                                                      </w:divBdr>
                                                      <w:divsChild>
                                                        <w:div w:id="281230970">
                                                          <w:marLeft w:val="0"/>
                                                          <w:marRight w:val="0"/>
                                                          <w:marTop w:val="0"/>
                                                          <w:marBottom w:val="0"/>
                                                          <w:divBdr>
                                                            <w:top w:val="none" w:sz="0" w:space="0" w:color="auto"/>
                                                            <w:left w:val="none" w:sz="0" w:space="0" w:color="auto"/>
                                                            <w:bottom w:val="none" w:sz="0" w:space="0" w:color="auto"/>
                                                            <w:right w:val="none" w:sz="0" w:space="0" w:color="auto"/>
                                                          </w:divBdr>
                                                        </w:div>
                                                        <w:div w:id="205431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318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khuft.nhs.uk/book-a-service-online/blood-tests/" TargetMode="External"/><Relationship Id="rId18" Type="http://schemas.openxmlformats.org/officeDocument/2006/relationships/image" Target="media/image6.jpeg"/><Relationship Id="rId26" Type="http://schemas.openxmlformats.org/officeDocument/2006/relationships/hyperlink" Target="mailto:ekh-tr.pals@nhs.net" TargetMode="External"/><Relationship Id="rId39" Type="http://schemas.openxmlformats.org/officeDocument/2006/relationships/hyperlink" Target="https://viewer.microguide.global/guide/1000000446/content/pathology-guidelines"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nice.org.uk/cg181" TargetMode="External"/><Relationship Id="rId42" Type="http://schemas.openxmlformats.org/officeDocument/2006/relationships/hyperlink" Target="https://viewer.microguide.global/guide/1000000446/content/pathology-guidelines" TargetMode="External"/><Relationship Id="rId7" Type="http://schemas.openxmlformats.org/officeDocument/2006/relationships/endnotes" Target="endnotes.xml"/><Relationship Id="rId12" Type="http://schemas.openxmlformats.org/officeDocument/2006/relationships/hyperlink" Target="https://www.ekhuft.nhs.uk/book-a-service-online/blood-tests/" TargetMode="External"/><Relationship Id="rId17" Type="http://schemas.openxmlformats.org/officeDocument/2006/relationships/image" Target="media/image5.jpeg"/><Relationship Id="rId25" Type="http://schemas.openxmlformats.org/officeDocument/2006/relationships/hyperlink" Target="mailto:sally.stock@nhs.net" TargetMode="External"/><Relationship Id="rId33" Type="http://schemas.openxmlformats.org/officeDocument/2006/relationships/hyperlink" Target="https://www.nice.org.uk/guidance/ng203" TargetMode="External"/><Relationship Id="rId38" Type="http://schemas.openxmlformats.org/officeDocument/2006/relationships/hyperlink" Target="https://viewer.microguide.global/guide/1000000446/content/pathology-guideline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s://www.nice.org.uk/guidance/ng28" TargetMode="External"/><Relationship Id="rId41" Type="http://schemas.openxmlformats.org/officeDocument/2006/relationships/hyperlink" Target="https://viewer.microguide.global/guide/1000000446/content/pathology-guideli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philipbates@nhs.net" TargetMode="External"/><Relationship Id="rId32" Type="http://schemas.openxmlformats.org/officeDocument/2006/relationships/hyperlink" Target="https://www.nice.org.uk/guidance/ng203" TargetMode="External"/><Relationship Id="rId37" Type="http://schemas.openxmlformats.org/officeDocument/2006/relationships/hyperlink" Target="http://www.toxbase.org" TargetMode="External"/><Relationship Id="rId40" Type="http://schemas.openxmlformats.org/officeDocument/2006/relationships/hyperlink" Target="https://viewer.microguide.global/guide/1000000446/content/pathology-guideline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khuft.biochemistryekhuft@nhs.net" TargetMode="External"/><Relationship Id="rId23" Type="http://schemas.openxmlformats.org/officeDocument/2006/relationships/hyperlink" Target="https://southeastgenomics.nhs.uk/glh/" TargetMode="External"/><Relationship Id="rId28" Type="http://schemas.openxmlformats.org/officeDocument/2006/relationships/hyperlink" Target="https://www.ekhuft.nhs.uk/information-for-patients/patient-information/?i=leaflets&amp;categories=pathology-blood-tests" TargetMode="External"/><Relationship Id="rId36" Type="http://schemas.openxmlformats.org/officeDocument/2006/relationships/hyperlink" Target="https://www.ncbi.nlm.nih.gov/pubmed/24477115" TargetMode="External"/><Relationship Id="rId10" Type="http://schemas.openxmlformats.org/officeDocument/2006/relationships/hyperlink" Target="https://www.ukas.com/" TargetMode="External"/><Relationship Id="rId19" Type="http://schemas.openxmlformats.org/officeDocument/2006/relationships/image" Target="media/image7.jpeg"/><Relationship Id="rId31" Type="http://schemas.openxmlformats.org/officeDocument/2006/relationships/hyperlink" Target="https://www.thinkkidneys.nhs.uk"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khuft.biochemistryekhuft@nhs.net" TargetMode="External"/><Relationship Id="rId22" Type="http://schemas.openxmlformats.org/officeDocument/2006/relationships/image" Target="media/image10.png"/><Relationship Id="rId27" Type="http://schemas.openxmlformats.org/officeDocument/2006/relationships/hyperlink" Target="mailto:ekhuft.complaints@nhs.net" TargetMode="External"/><Relationship Id="rId30" Type="http://schemas.openxmlformats.org/officeDocument/2006/relationships/hyperlink" Target="https://www.nice.org.uk/guidance/ng17" TargetMode="External"/><Relationship Id="rId35" Type="http://schemas.openxmlformats.org/officeDocument/2006/relationships/hyperlink" Target="http://www.nice.org.uk/guidance/cg71"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C11C1-8DF5-434E-9A96-4550EB996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18750</Words>
  <Characters>108226</Characters>
  <Application>Microsoft Office Word</Application>
  <DocSecurity>4</DocSecurity>
  <Lines>901</Lines>
  <Paragraphs>253</Paragraphs>
  <ScaleCrop>false</ScaleCrop>
  <HeadingPairs>
    <vt:vector size="2" baseType="variant">
      <vt:variant>
        <vt:lpstr>Title</vt:lpstr>
      </vt:variant>
      <vt:variant>
        <vt:i4>1</vt:i4>
      </vt:variant>
    </vt:vector>
  </HeadingPairs>
  <TitlesOfParts>
    <vt:vector size="1" baseType="lpstr">
      <vt:lpstr> </vt:lpstr>
    </vt:vector>
  </TitlesOfParts>
  <Company>Kent &amp; Canterbury Hospital</Company>
  <LinksUpToDate>false</LinksUpToDate>
  <CharactersWithSpaces>126723</CharactersWithSpaces>
  <SharedDoc>false</SharedDoc>
  <HLinks>
    <vt:vector size="150" baseType="variant">
      <vt:variant>
        <vt:i4>2424868</vt:i4>
      </vt:variant>
      <vt:variant>
        <vt:i4>72</vt:i4>
      </vt:variant>
      <vt:variant>
        <vt:i4>0</vt:i4>
      </vt:variant>
      <vt:variant>
        <vt:i4>5</vt:i4>
      </vt:variant>
      <vt:variant>
        <vt:lpwstr>https://viewer.microguide.global/guide/1000000446/content/pathology-guidelines</vt:lpwstr>
      </vt:variant>
      <vt:variant>
        <vt:lpwstr/>
      </vt:variant>
      <vt:variant>
        <vt:i4>2424868</vt:i4>
      </vt:variant>
      <vt:variant>
        <vt:i4>69</vt:i4>
      </vt:variant>
      <vt:variant>
        <vt:i4>0</vt:i4>
      </vt:variant>
      <vt:variant>
        <vt:i4>5</vt:i4>
      </vt:variant>
      <vt:variant>
        <vt:lpwstr>https://viewer.microguide.global/guide/1000000446/content/pathology-guidelines</vt:lpwstr>
      </vt:variant>
      <vt:variant>
        <vt:lpwstr/>
      </vt:variant>
      <vt:variant>
        <vt:i4>2424868</vt:i4>
      </vt:variant>
      <vt:variant>
        <vt:i4>66</vt:i4>
      </vt:variant>
      <vt:variant>
        <vt:i4>0</vt:i4>
      </vt:variant>
      <vt:variant>
        <vt:i4>5</vt:i4>
      </vt:variant>
      <vt:variant>
        <vt:lpwstr>https://viewer.microguide.global/guide/1000000446/content/pathology-guidelines</vt:lpwstr>
      </vt:variant>
      <vt:variant>
        <vt:lpwstr/>
      </vt:variant>
      <vt:variant>
        <vt:i4>2424868</vt:i4>
      </vt:variant>
      <vt:variant>
        <vt:i4>63</vt:i4>
      </vt:variant>
      <vt:variant>
        <vt:i4>0</vt:i4>
      </vt:variant>
      <vt:variant>
        <vt:i4>5</vt:i4>
      </vt:variant>
      <vt:variant>
        <vt:lpwstr>https://viewer.microguide.global/guide/1000000446/content/pathology-guidelines</vt:lpwstr>
      </vt:variant>
      <vt:variant>
        <vt:lpwstr/>
      </vt:variant>
      <vt:variant>
        <vt:i4>2424868</vt:i4>
      </vt:variant>
      <vt:variant>
        <vt:i4>60</vt:i4>
      </vt:variant>
      <vt:variant>
        <vt:i4>0</vt:i4>
      </vt:variant>
      <vt:variant>
        <vt:i4>5</vt:i4>
      </vt:variant>
      <vt:variant>
        <vt:lpwstr>https://viewer.microguide.global/guide/1000000446/content/pathology-guidelines</vt:lpwstr>
      </vt:variant>
      <vt:variant>
        <vt:lpwstr/>
      </vt:variant>
      <vt:variant>
        <vt:i4>2818162</vt:i4>
      </vt:variant>
      <vt:variant>
        <vt:i4>57</vt:i4>
      </vt:variant>
      <vt:variant>
        <vt:i4>0</vt:i4>
      </vt:variant>
      <vt:variant>
        <vt:i4>5</vt:i4>
      </vt:variant>
      <vt:variant>
        <vt:lpwstr>http://www.toxbase.org/</vt:lpwstr>
      </vt:variant>
      <vt:variant>
        <vt:lpwstr/>
      </vt:variant>
      <vt:variant>
        <vt:i4>589915</vt:i4>
      </vt:variant>
      <vt:variant>
        <vt:i4>54</vt:i4>
      </vt:variant>
      <vt:variant>
        <vt:i4>0</vt:i4>
      </vt:variant>
      <vt:variant>
        <vt:i4>5</vt:i4>
      </vt:variant>
      <vt:variant>
        <vt:lpwstr>https://www.ncbi.nlm.nih.gov/pubmed/24477115</vt:lpwstr>
      </vt:variant>
      <vt:variant>
        <vt:lpwstr/>
      </vt:variant>
      <vt:variant>
        <vt:i4>4849728</vt:i4>
      </vt:variant>
      <vt:variant>
        <vt:i4>51</vt:i4>
      </vt:variant>
      <vt:variant>
        <vt:i4>0</vt:i4>
      </vt:variant>
      <vt:variant>
        <vt:i4>5</vt:i4>
      </vt:variant>
      <vt:variant>
        <vt:lpwstr>http://www.nice.org.uk/guidance/cg71</vt:lpwstr>
      </vt:variant>
      <vt:variant>
        <vt:lpwstr/>
      </vt:variant>
      <vt:variant>
        <vt:i4>6029393</vt:i4>
      </vt:variant>
      <vt:variant>
        <vt:i4>48</vt:i4>
      </vt:variant>
      <vt:variant>
        <vt:i4>0</vt:i4>
      </vt:variant>
      <vt:variant>
        <vt:i4>5</vt:i4>
      </vt:variant>
      <vt:variant>
        <vt:lpwstr>http://www.nice.org.uk/cg181</vt:lpwstr>
      </vt:variant>
      <vt:variant>
        <vt:lpwstr/>
      </vt:variant>
      <vt:variant>
        <vt:i4>6488096</vt:i4>
      </vt:variant>
      <vt:variant>
        <vt:i4>45</vt:i4>
      </vt:variant>
      <vt:variant>
        <vt:i4>0</vt:i4>
      </vt:variant>
      <vt:variant>
        <vt:i4>5</vt:i4>
      </vt:variant>
      <vt:variant>
        <vt:lpwstr>https://www.nice.org.uk/guidance/ng203</vt:lpwstr>
      </vt:variant>
      <vt:variant>
        <vt:lpwstr/>
      </vt:variant>
      <vt:variant>
        <vt:i4>6488096</vt:i4>
      </vt:variant>
      <vt:variant>
        <vt:i4>42</vt:i4>
      </vt:variant>
      <vt:variant>
        <vt:i4>0</vt:i4>
      </vt:variant>
      <vt:variant>
        <vt:i4>5</vt:i4>
      </vt:variant>
      <vt:variant>
        <vt:lpwstr>https://www.nice.org.uk/guidance/ng203</vt:lpwstr>
      </vt:variant>
      <vt:variant>
        <vt:lpwstr/>
      </vt:variant>
      <vt:variant>
        <vt:i4>1048651</vt:i4>
      </vt:variant>
      <vt:variant>
        <vt:i4>39</vt:i4>
      </vt:variant>
      <vt:variant>
        <vt:i4>0</vt:i4>
      </vt:variant>
      <vt:variant>
        <vt:i4>5</vt:i4>
      </vt:variant>
      <vt:variant>
        <vt:lpwstr>https://www.thinkkidneys.nhs.uk/</vt:lpwstr>
      </vt:variant>
      <vt:variant>
        <vt:lpwstr/>
      </vt:variant>
      <vt:variant>
        <vt:i4>5439504</vt:i4>
      </vt:variant>
      <vt:variant>
        <vt:i4>36</vt:i4>
      </vt:variant>
      <vt:variant>
        <vt:i4>0</vt:i4>
      </vt:variant>
      <vt:variant>
        <vt:i4>5</vt:i4>
      </vt:variant>
      <vt:variant>
        <vt:lpwstr>https://www.nice.org.uk/guidance/ng17</vt:lpwstr>
      </vt:variant>
      <vt:variant>
        <vt:lpwstr/>
      </vt:variant>
      <vt:variant>
        <vt:i4>5242896</vt:i4>
      </vt:variant>
      <vt:variant>
        <vt:i4>33</vt:i4>
      </vt:variant>
      <vt:variant>
        <vt:i4>0</vt:i4>
      </vt:variant>
      <vt:variant>
        <vt:i4>5</vt:i4>
      </vt:variant>
      <vt:variant>
        <vt:lpwstr>https://www.nice.org.uk/guidance/ng28</vt:lpwstr>
      </vt:variant>
      <vt:variant>
        <vt:lpwstr/>
      </vt:variant>
      <vt:variant>
        <vt:i4>3866678</vt:i4>
      </vt:variant>
      <vt:variant>
        <vt:i4>30</vt:i4>
      </vt:variant>
      <vt:variant>
        <vt:i4>0</vt:i4>
      </vt:variant>
      <vt:variant>
        <vt:i4>5</vt:i4>
      </vt:variant>
      <vt:variant>
        <vt:lpwstr>https://www.ekhuft.nhs.uk/information-for-patients/patient-information/?i=leaflets&amp;categories=pathology-blood-tests</vt:lpwstr>
      </vt:variant>
      <vt:variant>
        <vt:lpwstr/>
      </vt:variant>
      <vt:variant>
        <vt:i4>4390972</vt:i4>
      </vt:variant>
      <vt:variant>
        <vt:i4>27</vt:i4>
      </vt:variant>
      <vt:variant>
        <vt:i4>0</vt:i4>
      </vt:variant>
      <vt:variant>
        <vt:i4>5</vt:i4>
      </vt:variant>
      <vt:variant>
        <vt:lpwstr>mailto:ekhuft.complaints@nhs.net</vt:lpwstr>
      </vt:variant>
      <vt:variant>
        <vt:lpwstr/>
      </vt:variant>
      <vt:variant>
        <vt:i4>2097153</vt:i4>
      </vt:variant>
      <vt:variant>
        <vt:i4>24</vt:i4>
      </vt:variant>
      <vt:variant>
        <vt:i4>0</vt:i4>
      </vt:variant>
      <vt:variant>
        <vt:i4>5</vt:i4>
      </vt:variant>
      <vt:variant>
        <vt:lpwstr>mailto:ekh-tr.pals@nhs.net</vt:lpwstr>
      </vt:variant>
      <vt:variant>
        <vt:lpwstr/>
      </vt:variant>
      <vt:variant>
        <vt:i4>7602205</vt:i4>
      </vt:variant>
      <vt:variant>
        <vt:i4>21</vt:i4>
      </vt:variant>
      <vt:variant>
        <vt:i4>0</vt:i4>
      </vt:variant>
      <vt:variant>
        <vt:i4>5</vt:i4>
      </vt:variant>
      <vt:variant>
        <vt:lpwstr>mailto:sally.stock@nhs.net</vt:lpwstr>
      </vt:variant>
      <vt:variant>
        <vt:lpwstr/>
      </vt:variant>
      <vt:variant>
        <vt:i4>7340121</vt:i4>
      </vt:variant>
      <vt:variant>
        <vt:i4>18</vt:i4>
      </vt:variant>
      <vt:variant>
        <vt:i4>0</vt:i4>
      </vt:variant>
      <vt:variant>
        <vt:i4>5</vt:i4>
      </vt:variant>
      <vt:variant>
        <vt:lpwstr>mailto:philipbates@nhs.net</vt:lpwstr>
      </vt:variant>
      <vt:variant>
        <vt:lpwstr/>
      </vt:variant>
      <vt:variant>
        <vt:i4>1114143</vt:i4>
      </vt:variant>
      <vt:variant>
        <vt:i4>15</vt:i4>
      </vt:variant>
      <vt:variant>
        <vt:i4>0</vt:i4>
      </vt:variant>
      <vt:variant>
        <vt:i4>5</vt:i4>
      </vt:variant>
      <vt:variant>
        <vt:lpwstr>https://southeastgenomics.nhs.uk/glh/</vt:lpwstr>
      </vt:variant>
      <vt:variant>
        <vt:lpwstr>order-a-test</vt:lpwstr>
      </vt:variant>
      <vt:variant>
        <vt:i4>4259873</vt:i4>
      </vt:variant>
      <vt:variant>
        <vt:i4>12</vt:i4>
      </vt:variant>
      <vt:variant>
        <vt:i4>0</vt:i4>
      </vt:variant>
      <vt:variant>
        <vt:i4>5</vt:i4>
      </vt:variant>
      <vt:variant>
        <vt:lpwstr>mailto:ekhuft.biochemistryekhuft@nhs.net</vt:lpwstr>
      </vt:variant>
      <vt:variant>
        <vt:lpwstr/>
      </vt:variant>
      <vt:variant>
        <vt:i4>4259873</vt:i4>
      </vt:variant>
      <vt:variant>
        <vt:i4>9</vt:i4>
      </vt:variant>
      <vt:variant>
        <vt:i4>0</vt:i4>
      </vt:variant>
      <vt:variant>
        <vt:i4>5</vt:i4>
      </vt:variant>
      <vt:variant>
        <vt:lpwstr>mailto:ekhuft.biochemistryekhuft@nhs.net</vt:lpwstr>
      </vt:variant>
      <vt:variant>
        <vt:lpwstr/>
      </vt:variant>
      <vt:variant>
        <vt:i4>6225927</vt:i4>
      </vt:variant>
      <vt:variant>
        <vt:i4>6</vt:i4>
      </vt:variant>
      <vt:variant>
        <vt:i4>0</vt:i4>
      </vt:variant>
      <vt:variant>
        <vt:i4>5</vt:i4>
      </vt:variant>
      <vt:variant>
        <vt:lpwstr>https://www.ekhuft.nhs.uk/book-a-service-online/blood-tests/</vt:lpwstr>
      </vt:variant>
      <vt:variant>
        <vt:lpwstr/>
      </vt:variant>
      <vt:variant>
        <vt:i4>6225927</vt:i4>
      </vt:variant>
      <vt:variant>
        <vt:i4>3</vt:i4>
      </vt:variant>
      <vt:variant>
        <vt:i4>0</vt:i4>
      </vt:variant>
      <vt:variant>
        <vt:i4>5</vt:i4>
      </vt:variant>
      <vt:variant>
        <vt:lpwstr>https://www.ekhuft.nhs.uk/book-a-service-online/blood-tests/</vt:lpwstr>
      </vt:variant>
      <vt:variant>
        <vt:lpwstr/>
      </vt:variant>
      <vt:variant>
        <vt:i4>6160405</vt:i4>
      </vt:variant>
      <vt:variant>
        <vt:i4>0</vt:i4>
      </vt:variant>
      <vt:variant>
        <vt:i4>0</vt:i4>
      </vt:variant>
      <vt:variant>
        <vt:i4>5</vt:i4>
      </vt:variant>
      <vt:variant>
        <vt:lpwstr>https://www.ukas.com/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East Kent Hospitals NHS Trust</dc:creator>
  <cp:keywords/>
  <cp:lastModifiedBy>Naomi Rogers</cp:lastModifiedBy>
  <cp:revision>2</cp:revision>
  <cp:lastPrinted>2019-07-12T13:58:00Z</cp:lastPrinted>
  <dcterms:created xsi:type="dcterms:W3CDTF">2025-04-16T12:03:00Z</dcterms:created>
  <dcterms:modified xsi:type="dcterms:W3CDTF">2025-04-16T12:03:00Z</dcterms:modified>
</cp:coreProperties>
</file>