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2484" w14:textId="77777777" w:rsidR="0071366A" w:rsidRDefault="002E6354" w:rsidP="006F7C0C">
      <w:pPr>
        <w:spacing w:before="200" w:after="200"/>
        <w:ind w:right="-23"/>
        <w:jc w:val="right"/>
        <w:rPr>
          <w:rFonts w:cs="Arial"/>
          <w:sz w:val="40"/>
          <w:szCs w:val="40"/>
        </w:rPr>
      </w:pPr>
      <w:r>
        <w:rPr>
          <w:noProof/>
        </w:rPr>
        <w:drawing>
          <wp:inline distT="0" distB="0" distL="0" distR="0" wp14:anchorId="5B85A775" wp14:editId="5D897DB4">
            <wp:extent cx="2220595" cy="1004570"/>
            <wp:effectExtent l="0" t="0" r="8255" b="5080"/>
            <wp:docPr id="116" name="Picture 3" descr="East Kent Hospitals University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Kent Hospitals University NHS Foundation Trust RGB 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0595" cy="1004570"/>
                    </a:xfrm>
                    <a:prstGeom prst="rect">
                      <a:avLst/>
                    </a:prstGeom>
                    <a:noFill/>
                    <a:ln>
                      <a:noFill/>
                    </a:ln>
                  </pic:spPr>
                </pic:pic>
              </a:graphicData>
            </a:graphic>
          </wp:inline>
        </w:drawing>
      </w:r>
    </w:p>
    <w:p w14:paraId="5969A4B5" w14:textId="77777777" w:rsidR="0071366A" w:rsidRDefault="0071366A" w:rsidP="0026425C">
      <w:pPr>
        <w:spacing w:before="200" w:after="200"/>
        <w:ind w:right="-23"/>
        <w:jc w:val="center"/>
        <w:rPr>
          <w:rFonts w:cs="Arial"/>
          <w:sz w:val="40"/>
          <w:szCs w:val="40"/>
        </w:rPr>
      </w:pPr>
    </w:p>
    <w:p w14:paraId="44E09BE7" w14:textId="77777777" w:rsidR="008970DA" w:rsidRDefault="0022378C" w:rsidP="0026425C">
      <w:pPr>
        <w:spacing w:before="200" w:after="200"/>
        <w:ind w:right="-23"/>
        <w:jc w:val="center"/>
        <w:rPr>
          <w:rFonts w:cs="Arial"/>
          <w:sz w:val="40"/>
          <w:szCs w:val="40"/>
        </w:rPr>
      </w:pPr>
      <w:r>
        <w:rPr>
          <w:rFonts w:cs="Arial"/>
          <w:sz w:val="40"/>
          <w:szCs w:val="40"/>
        </w:rPr>
        <w:t>East Kent Hospitals University</w:t>
      </w:r>
    </w:p>
    <w:p w14:paraId="77C9D930" w14:textId="77777777" w:rsidR="0022378C" w:rsidRDefault="0022378C" w:rsidP="0026425C">
      <w:pPr>
        <w:spacing w:before="200" w:after="200"/>
        <w:ind w:right="-23"/>
        <w:jc w:val="center"/>
        <w:rPr>
          <w:rFonts w:cs="Arial"/>
          <w:sz w:val="40"/>
          <w:szCs w:val="40"/>
        </w:rPr>
      </w:pPr>
      <w:r>
        <w:rPr>
          <w:rFonts w:cs="Arial"/>
          <w:sz w:val="40"/>
          <w:szCs w:val="40"/>
        </w:rPr>
        <w:t>NHS</w:t>
      </w:r>
      <w:r w:rsidR="008970DA">
        <w:rPr>
          <w:rFonts w:cs="Arial"/>
          <w:sz w:val="40"/>
          <w:szCs w:val="40"/>
        </w:rPr>
        <w:t xml:space="preserve"> </w:t>
      </w:r>
      <w:r>
        <w:rPr>
          <w:rFonts w:cs="Arial"/>
          <w:sz w:val="40"/>
          <w:szCs w:val="40"/>
        </w:rPr>
        <w:t>Foundation Trust</w:t>
      </w:r>
    </w:p>
    <w:p w14:paraId="159DF256" w14:textId="77777777" w:rsidR="0022378C" w:rsidRDefault="0022378C" w:rsidP="0026425C">
      <w:pPr>
        <w:spacing w:before="200" w:after="200"/>
        <w:ind w:right="-23"/>
        <w:rPr>
          <w:rFonts w:cs="Arial"/>
          <w:szCs w:val="22"/>
        </w:rPr>
      </w:pPr>
    </w:p>
    <w:p w14:paraId="65A0BF45" w14:textId="41076205" w:rsidR="008716F0" w:rsidRDefault="00FC74F2" w:rsidP="0026425C">
      <w:pPr>
        <w:spacing w:before="200" w:after="200"/>
        <w:ind w:right="-23"/>
        <w:jc w:val="center"/>
        <w:rPr>
          <w:rFonts w:cs="Arial"/>
          <w:b/>
          <w:sz w:val="28"/>
          <w:szCs w:val="28"/>
        </w:rPr>
      </w:pPr>
      <w:r w:rsidRPr="00FC74F2">
        <w:rPr>
          <w:rFonts w:cs="Arial"/>
          <w:b/>
          <w:sz w:val="28"/>
          <w:szCs w:val="28"/>
        </w:rPr>
        <w:t>TRUST POLICY</w:t>
      </w:r>
    </w:p>
    <w:p w14:paraId="03DBF51D" w14:textId="77777777" w:rsidR="00C27DB1" w:rsidRDefault="00612AF1" w:rsidP="00FC74F2">
      <w:pPr>
        <w:spacing w:before="200" w:after="200"/>
        <w:ind w:right="-23"/>
        <w:contextualSpacing/>
        <w:jc w:val="center"/>
        <w:rPr>
          <w:rFonts w:cs="Arial"/>
          <w:b/>
          <w:sz w:val="32"/>
          <w:szCs w:val="40"/>
        </w:rPr>
      </w:pPr>
      <w:bookmarkStart w:id="0" w:name="_GoBack"/>
      <w:r w:rsidRPr="00C27DB1">
        <w:rPr>
          <w:rFonts w:cs="Arial"/>
          <w:b/>
          <w:sz w:val="32"/>
          <w:szCs w:val="40"/>
        </w:rPr>
        <w:t>F</w:t>
      </w:r>
      <w:r w:rsidR="0088656B" w:rsidRPr="00C27DB1">
        <w:rPr>
          <w:rFonts w:cs="Arial"/>
          <w:b/>
          <w:sz w:val="32"/>
          <w:szCs w:val="40"/>
        </w:rPr>
        <w:t xml:space="preserve">reedom of Information Act 2000 </w:t>
      </w:r>
      <w:r w:rsidR="00C27DB1" w:rsidRPr="00C27DB1">
        <w:rPr>
          <w:rFonts w:cs="Arial"/>
          <w:b/>
          <w:sz w:val="32"/>
          <w:szCs w:val="40"/>
        </w:rPr>
        <w:t xml:space="preserve">and </w:t>
      </w:r>
    </w:p>
    <w:p w14:paraId="62D695DA" w14:textId="5DDF29E2" w:rsidR="0022378C" w:rsidRDefault="00C27DB1" w:rsidP="00FC74F2">
      <w:pPr>
        <w:spacing w:before="200" w:after="200"/>
        <w:ind w:right="-23"/>
        <w:contextualSpacing/>
        <w:jc w:val="center"/>
        <w:rPr>
          <w:rFonts w:cs="Arial"/>
          <w:b/>
          <w:sz w:val="32"/>
          <w:szCs w:val="40"/>
        </w:rPr>
      </w:pPr>
      <w:r w:rsidRPr="00C27DB1">
        <w:rPr>
          <w:rFonts w:cs="Arial"/>
          <w:b/>
          <w:sz w:val="32"/>
          <w:szCs w:val="40"/>
        </w:rPr>
        <w:t xml:space="preserve">Environmental Information Regulations 2004 </w:t>
      </w:r>
      <w:r w:rsidR="0088656B" w:rsidRPr="00C27DB1">
        <w:rPr>
          <w:rFonts w:cs="Arial"/>
          <w:b/>
          <w:sz w:val="32"/>
          <w:szCs w:val="40"/>
        </w:rPr>
        <w:t>Policy</w:t>
      </w:r>
    </w:p>
    <w:bookmarkEnd w:id="0"/>
    <w:p w14:paraId="55569CDD" w14:textId="76CCBB59" w:rsidR="00AD285B" w:rsidRDefault="00AD285B" w:rsidP="00FC74F2">
      <w:pPr>
        <w:spacing w:before="200" w:after="200"/>
        <w:ind w:right="-23"/>
        <w:contextualSpacing/>
        <w:jc w:val="center"/>
        <w:rPr>
          <w:rFonts w:cs="Arial"/>
          <w:b/>
          <w:sz w:val="32"/>
          <w:szCs w:val="40"/>
        </w:rPr>
      </w:pPr>
    </w:p>
    <w:tbl>
      <w:tblPr>
        <w:tblStyle w:val="TableGrid"/>
        <w:tblW w:w="9639" w:type="dxa"/>
        <w:tblLayout w:type="fixed"/>
        <w:tblLook w:val="0620" w:firstRow="1" w:lastRow="0" w:firstColumn="0" w:lastColumn="0" w:noHBand="1" w:noVBand="1"/>
      </w:tblPr>
      <w:tblGrid>
        <w:gridCol w:w="5382"/>
        <w:gridCol w:w="4257"/>
      </w:tblGrid>
      <w:tr w:rsidR="00AD285B" w:rsidRPr="00F54910" w14:paraId="0E33F937" w14:textId="77777777" w:rsidTr="00AD285B">
        <w:tc>
          <w:tcPr>
            <w:tcW w:w="5382" w:type="dxa"/>
          </w:tcPr>
          <w:p w14:paraId="4ED1441B" w14:textId="77777777" w:rsidR="00AD285B" w:rsidRPr="00BC6BD1" w:rsidRDefault="00AD285B" w:rsidP="00AD285B">
            <w:pPr>
              <w:spacing w:before="80" w:after="80"/>
              <w:rPr>
                <w:b/>
              </w:rPr>
            </w:pPr>
            <w:r>
              <w:rPr>
                <w:b/>
              </w:rPr>
              <w:t>Document properties:</w:t>
            </w:r>
          </w:p>
        </w:tc>
        <w:tc>
          <w:tcPr>
            <w:tcW w:w="4257" w:type="dxa"/>
          </w:tcPr>
          <w:p w14:paraId="4D2E8F15" w14:textId="77777777" w:rsidR="00AD285B" w:rsidRPr="00BC6BD1" w:rsidRDefault="00AD285B" w:rsidP="00AD285B">
            <w:pPr>
              <w:spacing w:before="80" w:after="80"/>
              <w:rPr>
                <w:b/>
              </w:rPr>
            </w:pPr>
            <w:r>
              <w:rPr>
                <w:b/>
              </w:rPr>
              <w:t>Detail:</w:t>
            </w:r>
          </w:p>
        </w:tc>
      </w:tr>
      <w:tr w:rsidR="00AD285B" w:rsidRPr="00F54910" w14:paraId="545AEA44" w14:textId="77777777" w:rsidTr="00AD285B">
        <w:tc>
          <w:tcPr>
            <w:tcW w:w="5382" w:type="dxa"/>
          </w:tcPr>
          <w:p w14:paraId="7AEC6B9F" w14:textId="77777777" w:rsidR="00AD285B" w:rsidRPr="00F54910" w:rsidRDefault="00AD285B" w:rsidP="00AD285B">
            <w:pPr>
              <w:spacing w:before="80" w:after="80"/>
              <w:rPr>
                <w:b/>
              </w:rPr>
            </w:pPr>
            <w:r w:rsidRPr="00F54910">
              <w:rPr>
                <w:b/>
              </w:rPr>
              <w:t>Version</w:t>
            </w:r>
          </w:p>
        </w:tc>
        <w:tc>
          <w:tcPr>
            <w:tcW w:w="4257" w:type="dxa"/>
            <w:shd w:val="clear" w:color="auto" w:fill="auto"/>
          </w:tcPr>
          <w:p w14:paraId="5AE9BF40" w14:textId="3C5BF39C" w:rsidR="00AD285B" w:rsidRDefault="00AD285B" w:rsidP="00AD285B">
            <w:pPr>
              <w:spacing w:before="80" w:after="80"/>
            </w:pPr>
            <w:r>
              <w:t>7.</w:t>
            </w:r>
            <w:r w:rsidR="00823EB1">
              <w:t>2</w:t>
            </w:r>
          </w:p>
        </w:tc>
      </w:tr>
      <w:tr w:rsidR="00AD285B" w:rsidRPr="00F54910" w14:paraId="24D71412" w14:textId="77777777" w:rsidTr="00AD285B">
        <w:tc>
          <w:tcPr>
            <w:tcW w:w="5382" w:type="dxa"/>
          </w:tcPr>
          <w:p w14:paraId="3EDA21BF" w14:textId="77777777" w:rsidR="00AD285B" w:rsidRPr="00F54910" w:rsidRDefault="00AD285B" w:rsidP="00AD285B">
            <w:pPr>
              <w:spacing w:before="80" w:after="80"/>
              <w:rPr>
                <w:b/>
              </w:rPr>
            </w:pPr>
            <w:r w:rsidRPr="00F54910">
              <w:rPr>
                <w:b/>
              </w:rPr>
              <w:t>Author</w:t>
            </w:r>
          </w:p>
        </w:tc>
        <w:tc>
          <w:tcPr>
            <w:tcW w:w="4257" w:type="dxa"/>
            <w:shd w:val="clear" w:color="auto" w:fill="auto"/>
          </w:tcPr>
          <w:p w14:paraId="514D7D91" w14:textId="1220A751" w:rsidR="00AD285B" w:rsidRDefault="00742741" w:rsidP="00AD285B">
            <w:pPr>
              <w:spacing w:before="80" w:after="80"/>
            </w:pPr>
            <w:r>
              <w:rPr>
                <w:rFonts w:cs="Arial"/>
              </w:rPr>
              <w:t>Trust Policy and FOI Manager</w:t>
            </w:r>
          </w:p>
        </w:tc>
      </w:tr>
      <w:tr w:rsidR="00AD285B" w:rsidRPr="00F54910" w14:paraId="08F59C37" w14:textId="77777777" w:rsidTr="00AD285B">
        <w:tc>
          <w:tcPr>
            <w:tcW w:w="5382" w:type="dxa"/>
            <w:tcBorders>
              <w:top w:val="single" w:sz="4" w:space="0" w:color="auto"/>
              <w:left w:val="single" w:sz="4" w:space="0" w:color="auto"/>
              <w:bottom w:val="single" w:sz="4" w:space="0" w:color="auto"/>
              <w:right w:val="single" w:sz="4" w:space="0" w:color="auto"/>
            </w:tcBorders>
            <w:vAlign w:val="center"/>
          </w:tcPr>
          <w:p w14:paraId="6A29BBB2" w14:textId="77777777" w:rsidR="00AD285B" w:rsidRPr="00F56A43" w:rsidRDefault="00AD285B" w:rsidP="00AD285B">
            <w:pPr>
              <w:rPr>
                <w:b/>
              </w:rPr>
            </w:pPr>
            <w:r w:rsidRPr="00F56A43">
              <w:rPr>
                <w:b/>
              </w:rPr>
              <w:t>Policy Owner</w:t>
            </w:r>
          </w:p>
        </w:tc>
        <w:tc>
          <w:tcPr>
            <w:tcW w:w="4257" w:type="dxa"/>
          </w:tcPr>
          <w:p w14:paraId="5E128E9A" w14:textId="5E9A0699" w:rsidR="00AD285B" w:rsidRDefault="0067492E" w:rsidP="00AD285B">
            <w:pPr>
              <w:spacing w:before="80" w:after="80"/>
            </w:pPr>
            <w:r w:rsidRPr="004D4AC2">
              <w:rPr>
                <w:color w:val="000000" w:themeColor="text1"/>
              </w:rPr>
              <w:t>Director of Corporate Governance</w:t>
            </w:r>
          </w:p>
        </w:tc>
      </w:tr>
      <w:tr w:rsidR="00AD285B" w:rsidRPr="00F54910" w14:paraId="0FC6F8A2" w14:textId="77777777" w:rsidTr="00AD285B">
        <w:tc>
          <w:tcPr>
            <w:tcW w:w="5382" w:type="dxa"/>
            <w:tcBorders>
              <w:top w:val="single" w:sz="4" w:space="0" w:color="auto"/>
              <w:left w:val="single" w:sz="4" w:space="0" w:color="auto"/>
              <w:bottom w:val="single" w:sz="4" w:space="0" w:color="auto"/>
              <w:right w:val="single" w:sz="4" w:space="0" w:color="auto"/>
            </w:tcBorders>
            <w:vAlign w:val="center"/>
          </w:tcPr>
          <w:p w14:paraId="51769D88" w14:textId="77777777" w:rsidR="00AD285B" w:rsidRDefault="00AD285B" w:rsidP="00AD285B">
            <w:pPr>
              <w:rPr>
                <w:b/>
              </w:rPr>
            </w:pPr>
            <w:r>
              <w:rPr>
                <w:b/>
              </w:rPr>
              <w:t>Executive Director Responsible for Policy</w:t>
            </w:r>
          </w:p>
        </w:tc>
        <w:tc>
          <w:tcPr>
            <w:tcW w:w="4257" w:type="dxa"/>
          </w:tcPr>
          <w:p w14:paraId="4E86430C" w14:textId="345E8314" w:rsidR="00AD285B" w:rsidRDefault="0067492E" w:rsidP="00AD285B">
            <w:pPr>
              <w:spacing w:before="80" w:after="80"/>
            </w:pPr>
            <w:r>
              <w:rPr>
                <w:color w:val="000000" w:themeColor="text1"/>
              </w:rPr>
              <w:t>Chief Executive Officer</w:t>
            </w:r>
          </w:p>
        </w:tc>
      </w:tr>
      <w:tr w:rsidR="00AD285B" w:rsidRPr="00F54910" w14:paraId="66B9E93A" w14:textId="77777777" w:rsidTr="00AD285B">
        <w:tc>
          <w:tcPr>
            <w:tcW w:w="5382" w:type="dxa"/>
          </w:tcPr>
          <w:p w14:paraId="5F3D0716" w14:textId="77777777" w:rsidR="00AD285B" w:rsidRPr="00F54910" w:rsidRDefault="00AD285B" w:rsidP="00AD285B">
            <w:pPr>
              <w:spacing w:before="80" w:after="80"/>
              <w:rPr>
                <w:b/>
              </w:rPr>
            </w:pPr>
            <w:r w:rsidRPr="00F54910">
              <w:rPr>
                <w:b/>
              </w:rPr>
              <w:t>Approving committee</w:t>
            </w:r>
          </w:p>
        </w:tc>
        <w:tc>
          <w:tcPr>
            <w:tcW w:w="4257" w:type="dxa"/>
          </w:tcPr>
          <w:p w14:paraId="4345C596" w14:textId="4AAAEC88" w:rsidR="00AD285B" w:rsidRDefault="00742741" w:rsidP="00AD285B">
            <w:pPr>
              <w:spacing w:before="80" w:after="80"/>
            </w:pPr>
            <w:r>
              <w:rPr>
                <w:rFonts w:cs="Arial"/>
              </w:rPr>
              <w:t xml:space="preserve">Regulatory </w:t>
            </w:r>
            <w:r w:rsidR="0067492E">
              <w:rPr>
                <w:rFonts w:cs="Arial"/>
              </w:rPr>
              <w:t xml:space="preserve">Oversight </w:t>
            </w:r>
            <w:r>
              <w:rPr>
                <w:rFonts w:cs="Arial"/>
              </w:rPr>
              <w:t>Group</w:t>
            </w:r>
          </w:p>
        </w:tc>
      </w:tr>
      <w:tr w:rsidR="00AD285B" w:rsidRPr="00F54910" w14:paraId="3F8868CE" w14:textId="77777777" w:rsidTr="00AD285B">
        <w:tc>
          <w:tcPr>
            <w:tcW w:w="5382" w:type="dxa"/>
          </w:tcPr>
          <w:p w14:paraId="053538D4" w14:textId="77777777" w:rsidR="00AD285B" w:rsidRPr="00F54910" w:rsidRDefault="00AD285B" w:rsidP="00AD285B">
            <w:pPr>
              <w:spacing w:before="80" w:after="80"/>
              <w:rPr>
                <w:b/>
              </w:rPr>
            </w:pPr>
            <w:r w:rsidRPr="00F54910">
              <w:rPr>
                <w:b/>
              </w:rPr>
              <w:t>Date approved</w:t>
            </w:r>
          </w:p>
        </w:tc>
        <w:tc>
          <w:tcPr>
            <w:tcW w:w="4257" w:type="dxa"/>
          </w:tcPr>
          <w:p w14:paraId="65D1DFED" w14:textId="68E51715" w:rsidR="008F4721" w:rsidRPr="00F54910" w:rsidRDefault="008F4721" w:rsidP="00AD285B">
            <w:pPr>
              <w:spacing w:before="80" w:after="80"/>
            </w:pPr>
            <w:r>
              <w:t xml:space="preserve">27 August 2024 </w:t>
            </w:r>
          </w:p>
        </w:tc>
      </w:tr>
      <w:tr w:rsidR="00AD285B" w:rsidRPr="00F54910" w14:paraId="1FAF85BB" w14:textId="77777777" w:rsidTr="00AD285B">
        <w:tc>
          <w:tcPr>
            <w:tcW w:w="5382" w:type="dxa"/>
            <w:tcBorders>
              <w:bottom w:val="single" w:sz="4" w:space="0" w:color="auto"/>
            </w:tcBorders>
          </w:tcPr>
          <w:p w14:paraId="6F297B47" w14:textId="77777777" w:rsidR="00AD285B" w:rsidRPr="00F54910" w:rsidRDefault="00AD285B" w:rsidP="00AD285B">
            <w:pPr>
              <w:spacing w:before="80" w:after="80"/>
              <w:rPr>
                <w:b/>
              </w:rPr>
            </w:pPr>
            <w:r w:rsidRPr="00F54910">
              <w:rPr>
                <w:b/>
              </w:rPr>
              <w:t xml:space="preserve">Date ratified by Policy </w:t>
            </w:r>
            <w:r>
              <w:rPr>
                <w:b/>
              </w:rPr>
              <w:t>Authorisation</w:t>
            </w:r>
            <w:r w:rsidRPr="00F54910">
              <w:rPr>
                <w:b/>
              </w:rPr>
              <w:t xml:space="preserve"> Group</w:t>
            </w:r>
          </w:p>
        </w:tc>
        <w:tc>
          <w:tcPr>
            <w:tcW w:w="4257" w:type="dxa"/>
            <w:tcBorders>
              <w:bottom w:val="single" w:sz="4" w:space="0" w:color="auto"/>
            </w:tcBorders>
          </w:tcPr>
          <w:p w14:paraId="256B47D5" w14:textId="16C4134A" w:rsidR="00AD285B" w:rsidRPr="00F54910" w:rsidRDefault="00742741" w:rsidP="00AD285B">
            <w:pPr>
              <w:spacing w:before="80" w:after="80"/>
            </w:pPr>
            <w:r>
              <w:rPr>
                <w:rFonts w:cs="Arial"/>
              </w:rPr>
              <w:t>19 October 2022</w:t>
            </w:r>
          </w:p>
        </w:tc>
      </w:tr>
      <w:tr w:rsidR="00AD285B" w:rsidRPr="00F54910" w14:paraId="4DB2F04E" w14:textId="77777777" w:rsidTr="00AD285B">
        <w:tc>
          <w:tcPr>
            <w:tcW w:w="5382" w:type="dxa"/>
            <w:tcBorders>
              <w:bottom w:val="single" w:sz="4" w:space="0" w:color="auto"/>
            </w:tcBorders>
          </w:tcPr>
          <w:p w14:paraId="2BAA181F" w14:textId="77777777" w:rsidR="00AD285B" w:rsidRPr="00F54910" w:rsidRDefault="00AD285B" w:rsidP="00AD285B">
            <w:pPr>
              <w:spacing w:before="80" w:after="80"/>
              <w:rPr>
                <w:b/>
              </w:rPr>
            </w:pPr>
            <w:r w:rsidRPr="00F54910">
              <w:rPr>
                <w:b/>
              </w:rPr>
              <w:t>Date issued</w:t>
            </w:r>
          </w:p>
        </w:tc>
        <w:tc>
          <w:tcPr>
            <w:tcW w:w="4257" w:type="dxa"/>
            <w:tcBorders>
              <w:bottom w:val="single" w:sz="4" w:space="0" w:color="auto"/>
            </w:tcBorders>
          </w:tcPr>
          <w:p w14:paraId="376C3827" w14:textId="429F008E" w:rsidR="00AD285B" w:rsidRPr="00F54910" w:rsidRDefault="00F95141" w:rsidP="00AD285B">
            <w:pPr>
              <w:spacing w:before="80" w:after="80"/>
            </w:pPr>
            <w:r>
              <w:t xml:space="preserve">06 September 2024 </w:t>
            </w:r>
          </w:p>
        </w:tc>
      </w:tr>
      <w:tr w:rsidR="00AD285B" w:rsidRPr="00F54910" w14:paraId="26E48818" w14:textId="77777777" w:rsidTr="00AD285B">
        <w:tc>
          <w:tcPr>
            <w:tcW w:w="5382" w:type="dxa"/>
            <w:tcBorders>
              <w:bottom w:val="single" w:sz="4" w:space="0" w:color="auto"/>
            </w:tcBorders>
          </w:tcPr>
          <w:p w14:paraId="64B9CCC1" w14:textId="77777777" w:rsidR="00AD285B" w:rsidRPr="00F54910" w:rsidRDefault="00AD285B" w:rsidP="00AD285B">
            <w:pPr>
              <w:spacing w:before="80" w:after="80"/>
              <w:rPr>
                <w:b/>
              </w:rPr>
            </w:pPr>
            <w:r>
              <w:rPr>
                <w:b/>
              </w:rPr>
              <w:t>Next scheduled review date</w:t>
            </w:r>
          </w:p>
        </w:tc>
        <w:tc>
          <w:tcPr>
            <w:tcW w:w="4257" w:type="dxa"/>
            <w:tcBorders>
              <w:bottom w:val="single" w:sz="4" w:space="0" w:color="auto"/>
            </w:tcBorders>
          </w:tcPr>
          <w:p w14:paraId="46F101F2" w14:textId="6FD62A1A" w:rsidR="00AD285B" w:rsidRPr="00F54910" w:rsidRDefault="00742741" w:rsidP="00AD285B">
            <w:pPr>
              <w:spacing w:before="80" w:after="80"/>
            </w:pPr>
            <w:r>
              <w:rPr>
                <w:rFonts w:cs="Arial"/>
              </w:rPr>
              <w:t>September 2025</w:t>
            </w:r>
          </w:p>
        </w:tc>
      </w:tr>
    </w:tbl>
    <w:p w14:paraId="2845B8C4" w14:textId="77777777" w:rsidR="00AD285B" w:rsidRDefault="00AD285B" w:rsidP="00AD285B"/>
    <w:tbl>
      <w:tblPr>
        <w:tblStyle w:val="TableGrid"/>
        <w:tblW w:w="9639" w:type="dxa"/>
        <w:tblLayout w:type="fixed"/>
        <w:tblLook w:val="0620" w:firstRow="1" w:lastRow="0" w:firstColumn="0" w:lastColumn="0" w:noHBand="1" w:noVBand="1"/>
      </w:tblPr>
      <w:tblGrid>
        <w:gridCol w:w="5382"/>
        <w:gridCol w:w="4257"/>
      </w:tblGrid>
      <w:tr w:rsidR="00AD285B" w:rsidRPr="00F54910" w14:paraId="3AB5ECF2" w14:textId="77777777" w:rsidTr="00AD285B">
        <w:tc>
          <w:tcPr>
            <w:tcW w:w="5382" w:type="dxa"/>
            <w:tcBorders>
              <w:top w:val="single" w:sz="4" w:space="0" w:color="auto"/>
            </w:tcBorders>
          </w:tcPr>
          <w:p w14:paraId="15CE0BF3" w14:textId="77777777" w:rsidR="00AD285B" w:rsidRPr="00814569" w:rsidRDefault="00AD285B" w:rsidP="00AD285B">
            <w:pPr>
              <w:spacing w:before="80" w:after="80"/>
              <w:rPr>
                <w:b/>
              </w:rPr>
            </w:pPr>
            <w:r>
              <w:rPr>
                <w:b/>
              </w:rPr>
              <w:t>Applies to:</w:t>
            </w:r>
          </w:p>
        </w:tc>
        <w:tc>
          <w:tcPr>
            <w:tcW w:w="4257" w:type="dxa"/>
            <w:tcBorders>
              <w:top w:val="single" w:sz="4" w:space="0" w:color="auto"/>
            </w:tcBorders>
          </w:tcPr>
          <w:p w14:paraId="1CAD2D77" w14:textId="77777777" w:rsidR="00AD285B" w:rsidRPr="00BC6BD1" w:rsidRDefault="00AD285B" w:rsidP="00AD285B">
            <w:pPr>
              <w:spacing w:before="80" w:after="80"/>
              <w:rPr>
                <w:b/>
              </w:rPr>
            </w:pPr>
            <w:r>
              <w:rPr>
                <w:b/>
              </w:rPr>
              <w:t>Yes/No</w:t>
            </w:r>
          </w:p>
        </w:tc>
      </w:tr>
      <w:tr w:rsidR="00AD285B" w:rsidRPr="008259FE" w14:paraId="06F60AA1" w14:textId="77777777" w:rsidTr="00AD285B">
        <w:tc>
          <w:tcPr>
            <w:tcW w:w="5382" w:type="dxa"/>
          </w:tcPr>
          <w:p w14:paraId="704FDB06" w14:textId="77777777" w:rsidR="00AD285B" w:rsidRPr="008259FE" w:rsidRDefault="00AD285B" w:rsidP="00AD285B">
            <w:pPr>
              <w:spacing w:before="80" w:after="80"/>
              <w:rPr>
                <w:b/>
              </w:rPr>
            </w:pPr>
            <w:r w:rsidRPr="008259FE">
              <w:rPr>
                <w:b/>
              </w:rPr>
              <w:t>Trust staff (specify groups e.g</w:t>
            </w:r>
            <w:r>
              <w:rPr>
                <w:b/>
              </w:rPr>
              <w:t xml:space="preserve">.  </w:t>
            </w:r>
            <w:r w:rsidRPr="008259FE">
              <w:rPr>
                <w:b/>
              </w:rPr>
              <w:t>clinical/non-clinical)</w:t>
            </w:r>
          </w:p>
        </w:tc>
        <w:tc>
          <w:tcPr>
            <w:tcW w:w="4257" w:type="dxa"/>
          </w:tcPr>
          <w:p w14:paraId="42927096" w14:textId="627F7966" w:rsidR="00AD285B" w:rsidRPr="009B422F" w:rsidRDefault="00742741" w:rsidP="00AD285B">
            <w:pPr>
              <w:spacing w:before="80" w:after="80"/>
            </w:pPr>
            <w:r>
              <w:t>All</w:t>
            </w:r>
          </w:p>
        </w:tc>
      </w:tr>
      <w:tr w:rsidR="00AD285B" w:rsidRPr="008259FE" w14:paraId="4F770A4B" w14:textId="77777777" w:rsidTr="00AD285B">
        <w:trPr>
          <w:trHeight w:val="485"/>
        </w:trPr>
        <w:tc>
          <w:tcPr>
            <w:tcW w:w="5382" w:type="dxa"/>
          </w:tcPr>
          <w:p w14:paraId="280277B0" w14:textId="77777777" w:rsidR="00AD285B" w:rsidRPr="008259FE" w:rsidRDefault="00AD285B" w:rsidP="00AD285B">
            <w:pPr>
              <w:spacing w:before="80" w:after="80"/>
              <w:rPr>
                <w:b/>
              </w:rPr>
            </w:pPr>
            <w:r w:rsidRPr="008259FE">
              <w:rPr>
                <w:b/>
              </w:rPr>
              <w:t>Subsidiaries</w:t>
            </w:r>
          </w:p>
        </w:tc>
        <w:tc>
          <w:tcPr>
            <w:tcW w:w="4257" w:type="dxa"/>
          </w:tcPr>
          <w:p w14:paraId="01B6736F" w14:textId="6022A135" w:rsidR="00AD285B" w:rsidRPr="009B422F" w:rsidRDefault="00742741" w:rsidP="00AD285B">
            <w:pPr>
              <w:spacing w:before="80" w:after="80"/>
            </w:pPr>
            <w:r>
              <w:t>No</w:t>
            </w:r>
          </w:p>
        </w:tc>
      </w:tr>
      <w:tr w:rsidR="00AD285B" w:rsidRPr="008259FE" w14:paraId="1FC909D2" w14:textId="77777777" w:rsidTr="00AD285B">
        <w:tc>
          <w:tcPr>
            <w:tcW w:w="5382" w:type="dxa"/>
          </w:tcPr>
          <w:p w14:paraId="24D2B618" w14:textId="77777777" w:rsidR="00AD285B" w:rsidRPr="008259FE" w:rsidRDefault="00AD285B" w:rsidP="00AD285B">
            <w:pPr>
              <w:spacing w:before="80" w:after="80"/>
              <w:rPr>
                <w:b/>
              </w:rPr>
            </w:pPr>
            <w:r w:rsidRPr="008259FE">
              <w:rPr>
                <w:b/>
              </w:rPr>
              <w:t>2gether Support Solutions Ltd</w:t>
            </w:r>
            <w:r>
              <w:rPr>
                <w:b/>
              </w:rPr>
              <w:t xml:space="preserve">.  </w:t>
            </w:r>
            <w:r w:rsidRPr="008259FE">
              <w:rPr>
                <w:b/>
              </w:rPr>
              <w:t>as a service provider (hard and soft facilities services)</w:t>
            </w:r>
          </w:p>
        </w:tc>
        <w:tc>
          <w:tcPr>
            <w:tcW w:w="4257" w:type="dxa"/>
          </w:tcPr>
          <w:p w14:paraId="42A06ED7" w14:textId="6639BE76" w:rsidR="00AD285B" w:rsidRPr="009B422F" w:rsidRDefault="00742741" w:rsidP="00AD285B">
            <w:pPr>
              <w:spacing w:before="80" w:after="80"/>
            </w:pPr>
            <w:r>
              <w:t>Yes</w:t>
            </w:r>
            <w:r w:rsidR="00AD285B">
              <w:t xml:space="preserve"> </w:t>
            </w:r>
          </w:p>
        </w:tc>
      </w:tr>
    </w:tbl>
    <w:p w14:paraId="273C4935" w14:textId="77777777" w:rsidR="00AD285B" w:rsidRDefault="00AD285B" w:rsidP="00FC74F2">
      <w:pPr>
        <w:spacing w:before="200" w:after="200"/>
        <w:ind w:right="-23"/>
        <w:contextualSpacing/>
        <w:jc w:val="center"/>
        <w:rPr>
          <w:rFonts w:cs="Arial"/>
          <w:b/>
          <w:sz w:val="32"/>
          <w:szCs w:val="40"/>
        </w:rPr>
      </w:pPr>
    </w:p>
    <w:p w14:paraId="46D456E5" w14:textId="77777777" w:rsidR="00FC74F2" w:rsidRPr="00C27DB1" w:rsidRDefault="00FC74F2" w:rsidP="00FC74F2">
      <w:pPr>
        <w:spacing w:before="200" w:after="200"/>
        <w:ind w:right="-23"/>
        <w:contextualSpacing/>
        <w:jc w:val="center"/>
        <w:rPr>
          <w:rFonts w:cs="Arial"/>
          <w:b/>
          <w:sz w:val="32"/>
          <w:szCs w:val="40"/>
        </w:rPr>
      </w:pPr>
    </w:p>
    <w:p w14:paraId="5C1F50B8" w14:textId="5EDC2C2B" w:rsidR="00986A3F" w:rsidRDefault="00986A3F" w:rsidP="0026425C">
      <w:pPr>
        <w:spacing w:before="200" w:after="200"/>
        <w:ind w:right="-23"/>
        <w:rPr>
          <w:rFonts w:cs="Arial"/>
          <w:b/>
        </w:rPr>
      </w:pPr>
    </w:p>
    <w:p w14:paraId="13C253A1" w14:textId="77777777" w:rsidR="0022378C" w:rsidRPr="007A6A04" w:rsidRDefault="00CC3728" w:rsidP="0026425C">
      <w:pPr>
        <w:pStyle w:val="SectionTitle"/>
        <w:ind w:right="-23"/>
      </w:pPr>
      <w:r>
        <w:br w:type="page"/>
      </w:r>
      <w:r w:rsidR="00C900D2">
        <w:lastRenderedPageBreak/>
        <w:t>V</w:t>
      </w:r>
      <w:r w:rsidR="0022378C" w:rsidRPr="0071366A">
        <w:t>ersion Control Schedule</w:t>
      </w:r>
    </w:p>
    <w:tbl>
      <w:tblPr>
        <w:tblStyle w:val="TableGrid"/>
        <w:tblW w:w="0" w:type="auto"/>
        <w:tblLook w:val="01E0" w:firstRow="1" w:lastRow="1" w:firstColumn="1" w:lastColumn="1" w:noHBand="0" w:noVBand="0"/>
      </w:tblPr>
      <w:tblGrid>
        <w:gridCol w:w="1100"/>
        <w:gridCol w:w="2003"/>
        <w:gridCol w:w="1870"/>
        <w:gridCol w:w="1511"/>
        <w:gridCol w:w="2981"/>
      </w:tblGrid>
      <w:tr w:rsidR="0022378C" w:rsidRPr="00F54910" w14:paraId="5C4FE89B" w14:textId="77777777" w:rsidTr="006F11E6">
        <w:tc>
          <w:tcPr>
            <w:tcW w:w="1100" w:type="dxa"/>
          </w:tcPr>
          <w:p w14:paraId="210F08AE" w14:textId="77777777" w:rsidR="0022378C" w:rsidRPr="00F54910" w:rsidRDefault="0022378C" w:rsidP="0026425C">
            <w:pPr>
              <w:ind w:right="-23"/>
              <w:rPr>
                <w:b/>
              </w:rPr>
            </w:pPr>
            <w:r w:rsidRPr="00F54910">
              <w:rPr>
                <w:b/>
              </w:rPr>
              <w:t>Version</w:t>
            </w:r>
          </w:p>
        </w:tc>
        <w:tc>
          <w:tcPr>
            <w:tcW w:w="2003" w:type="dxa"/>
          </w:tcPr>
          <w:p w14:paraId="58CCBE1A" w14:textId="77777777" w:rsidR="0022378C" w:rsidRPr="00F54910" w:rsidRDefault="0022378C" w:rsidP="0026425C">
            <w:pPr>
              <w:ind w:right="-23"/>
              <w:rPr>
                <w:b/>
              </w:rPr>
            </w:pPr>
            <w:r w:rsidRPr="00F54910">
              <w:rPr>
                <w:b/>
              </w:rPr>
              <w:t>Date</w:t>
            </w:r>
          </w:p>
        </w:tc>
        <w:tc>
          <w:tcPr>
            <w:tcW w:w="1870" w:type="dxa"/>
          </w:tcPr>
          <w:p w14:paraId="41A5D505" w14:textId="77777777" w:rsidR="0022378C" w:rsidRPr="00F54910" w:rsidRDefault="0022378C" w:rsidP="0026425C">
            <w:pPr>
              <w:ind w:right="-23"/>
              <w:rPr>
                <w:b/>
              </w:rPr>
            </w:pPr>
            <w:r w:rsidRPr="00F54910">
              <w:rPr>
                <w:b/>
              </w:rPr>
              <w:t>Author</w:t>
            </w:r>
          </w:p>
        </w:tc>
        <w:tc>
          <w:tcPr>
            <w:tcW w:w="1511" w:type="dxa"/>
          </w:tcPr>
          <w:p w14:paraId="11E9F809" w14:textId="77777777" w:rsidR="0022378C" w:rsidRPr="00F54910" w:rsidRDefault="0022378C" w:rsidP="0026425C">
            <w:pPr>
              <w:ind w:right="-23"/>
              <w:rPr>
                <w:b/>
              </w:rPr>
            </w:pPr>
            <w:r w:rsidRPr="00F54910">
              <w:rPr>
                <w:b/>
              </w:rPr>
              <w:t>Status</w:t>
            </w:r>
          </w:p>
        </w:tc>
        <w:tc>
          <w:tcPr>
            <w:tcW w:w="2981" w:type="dxa"/>
          </w:tcPr>
          <w:p w14:paraId="57DD353A" w14:textId="77777777" w:rsidR="0022378C" w:rsidRPr="00F54910" w:rsidRDefault="0022378C" w:rsidP="0026425C">
            <w:pPr>
              <w:ind w:right="-23"/>
              <w:rPr>
                <w:b/>
              </w:rPr>
            </w:pPr>
            <w:r w:rsidRPr="00F54910">
              <w:rPr>
                <w:b/>
              </w:rPr>
              <w:t>Comment</w:t>
            </w:r>
          </w:p>
        </w:tc>
      </w:tr>
      <w:tr w:rsidR="00103D90" w:rsidRPr="00F54910" w14:paraId="2D79066E" w14:textId="77777777" w:rsidTr="006F11E6">
        <w:tc>
          <w:tcPr>
            <w:tcW w:w="1100" w:type="dxa"/>
          </w:tcPr>
          <w:p w14:paraId="009B69CA" w14:textId="77777777" w:rsidR="00103D90" w:rsidRPr="007D4351" w:rsidRDefault="00103D90" w:rsidP="0026425C">
            <w:pPr>
              <w:ind w:right="-23"/>
            </w:pPr>
            <w:r w:rsidRPr="007D4351">
              <w:t>1.0</w:t>
            </w:r>
          </w:p>
        </w:tc>
        <w:tc>
          <w:tcPr>
            <w:tcW w:w="2003" w:type="dxa"/>
          </w:tcPr>
          <w:p w14:paraId="653617F0" w14:textId="77777777" w:rsidR="00103D90" w:rsidRPr="007D4351" w:rsidRDefault="00103D90" w:rsidP="0026425C">
            <w:pPr>
              <w:ind w:right="-23"/>
            </w:pPr>
            <w:r w:rsidRPr="007D4351">
              <w:t>21 January 2005</w:t>
            </w:r>
          </w:p>
        </w:tc>
        <w:tc>
          <w:tcPr>
            <w:tcW w:w="1870" w:type="dxa"/>
          </w:tcPr>
          <w:p w14:paraId="67413CCF" w14:textId="77777777" w:rsidR="00103D90" w:rsidRPr="007D4351" w:rsidRDefault="00103D90" w:rsidP="0026425C">
            <w:pPr>
              <w:ind w:right="-23"/>
            </w:pPr>
            <w:r w:rsidRPr="007D4351">
              <w:t xml:space="preserve">Trust Secretary </w:t>
            </w:r>
          </w:p>
        </w:tc>
        <w:tc>
          <w:tcPr>
            <w:tcW w:w="1511" w:type="dxa"/>
          </w:tcPr>
          <w:p w14:paraId="4CC6C8B6" w14:textId="77777777" w:rsidR="00103D90" w:rsidRPr="007D4351" w:rsidRDefault="00103D90" w:rsidP="0026425C">
            <w:pPr>
              <w:ind w:right="-23"/>
            </w:pPr>
            <w:r w:rsidRPr="007D4351">
              <w:t>Final</w:t>
            </w:r>
          </w:p>
        </w:tc>
        <w:tc>
          <w:tcPr>
            <w:tcW w:w="2981" w:type="dxa"/>
          </w:tcPr>
          <w:p w14:paraId="010EBD19" w14:textId="77777777" w:rsidR="00103D90" w:rsidRPr="007D4351" w:rsidRDefault="00103D90" w:rsidP="0026425C">
            <w:pPr>
              <w:ind w:right="-23"/>
            </w:pPr>
          </w:p>
        </w:tc>
      </w:tr>
      <w:tr w:rsidR="00103D90" w:rsidRPr="00F54910" w14:paraId="75C82BEC" w14:textId="77777777" w:rsidTr="006F11E6">
        <w:tc>
          <w:tcPr>
            <w:tcW w:w="1100" w:type="dxa"/>
          </w:tcPr>
          <w:p w14:paraId="16F87318" w14:textId="77777777" w:rsidR="00103D90" w:rsidRPr="007D4351" w:rsidRDefault="00103D90" w:rsidP="0026425C">
            <w:pPr>
              <w:ind w:right="-23"/>
            </w:pPr>
            <w:r w:rsidRPr="007D4351">
              <w:t>2.0</w:t>
            </w:r>
          </w:p>
        </w:tc>
        <w:tc>
          <w:tcPr>
            <w:tcW w:w="2003" w:type="dxa"/>
          </w:tcPr>
          <w:p w14:paraId="5464297C" w14:textId="77777777" w:rsidR="00103D90" w:rsidRPr="007D4351" w:rsidRDefault="00103D90" w:rsidP="0026425C">
            <w:pPr>
              <w:ind w:right="-23"/>
            </w:pPr>
            <w:r w:rsidRPr="007D4351">
              <w:t>18 March 2010</w:t>
            </w:r>
          </w:p>
        </w:tc>
        <w:tc>
          <w:tcPr>
            <w:tcW w:w="1870" w:type="dxa"/>
          </w:tcPr>
          <w:p w14:paraId="2198605D" w14:textId="77777777" w:rsidR="00103D90" w:rsidRPr="007D4351" w:rsidRDefault="00103D90" w:rsidP="0026425C">
            <w:pPr>
              <w:ind w:right="-23"/>
            </w:pPr>
            <w:r w:rsidRPr="007D4351">
              <w:t>Assistant Trust Secretary</w:t>
            </w:r>
          </w:p>
        </w:tc>
        <w:tc>
          <w:tcPr>
            <w:tcW w:w="1511" w:type="dxa"/>
          </w:tcPr>
          <w:p w14:paraId="6DB59790" w14:textId="77777777" w:rsidR="00103D90" w:rsidRPr="007D4351" w:rsidRDefault="00103D90" w:rsidP="0026425C">
            <w:pPr>
              <w:ind w:right="-23"/>
            </w:pPr>
            <w:r w:rsidRPr="007D4351">
              <w:t>Draft</w:t>
            </w:r>
          </w:p>
        </w:tc>
        <w:tc>
          <w:tcPr>
            <w:tcW w:w="2981" w:type="dxa"/>
          </w:tcPr>
          <w:p w14:paraId="6A846FF6" w14:textId="77777777" w:rsidR="00103D90" w:rsidRPr="007D4351" w:rsidRDefault="00103D90" w:rsidP="0026425C">
            <w:pPr>
              <w:ind w:right="-23"/>
            </w:pPr>
          </w:p>
        </w:tc>
      </w:tr>
      <w:tr w:rsidR="00103D90" w:rsidRPr="00F54910" w14:paraId="7536B0B5" w14:textId="77777777" w:rsidTr="006F11E6">
        <w:tc>
          <w:tcPr>
            <w:tcW w:w="1100" w:type="dxa"/>
          </w:tcPr>
          <w:p w14:paraId="1B49EABB" w14:textId="77777777" w:rsidR="00103D90" w:rsidRPr="007D4351" w:rsidRDefault="00103D90" w:rsidP="0026425C">
            <w:pPr>
              <w:ind w:right="-23"/>
            </w:pPr>
            <w:r w:rsidRPr="007D4351">
              <w:t>2.0</w:t>
            </w:r>
          </w:p>
        </w:tc>
        <w:tc>
          <w:tcPr>
            <w:tcW w:w="2003" w:type="dxa"/>
          </w:tcPr>
          <w:p w14:paraId="7DBED448" w14:textId="77777777" w:rsidR="00103D90" w:rsidRPr="007D4351" w:rsidRDefault="00103D90" w:rsidP="0026425C">
            <w:pPr>
              <w:ind w:right="-23"/>
            </w:pPr>
            <w:r w:rsidRPr="007D4351">
              <w:t>28 June 2010</w:t>
            </w:r>
          </w:p>
        </w:tc>
        <w:tc>
          <w:tcPr>
            <w:tcW w:w="1870" w:type="dxa"/>
          </w:tcPr>
          <w:p w14:paraId="1CE2D1E2" w14:textId="77777777" w:rsidR="00103D90" w:rsidRPr="007D4351" w:rsidRDefault="00103D90" w:rsidP="0026425C">
            <w:pPr>
              <w:ind w:right="-23"/>
            </w:pPr>
            <w:r w:rsidRPr="007D4351">
              <w:t>Assistant Trust Secretary</w:t>
            </w:r>
          </w:p>
        </w:tc>
        <w:tc>
          <w:tcPr>
            <w:tcW w:w="1511" w:type="dxa"/>
          </w:tcPr>
          <w:p w14:paraId="449A8B2A" w14:textId="77777777" w:rsidR="00103D90" w:rsidRPr="007D4351" w:rsidRDefault="00103D90" w:rsidP="0026425C">
            <w:pPr>
              <w:ind w:right="-23"/>
            </w:pPr>
            <w:r w:rsidRPr="007D4351">
              <w:t>Final</w:t>
            </w:r>
          </w:p>
        </w:tc>
        <w:tc>
          <w:tcPr>
            <w:tcW w:w="2981" w:type="dxa"/>
          </w:tcPr>
          <w:p w14:paraId="77D9AFB5" w14:textId="77777777" w:rsidR="00103D90" w:rsidRPr="007D4351" w:rsidRDefault="00103D90" w:rsidP="0026425C">
            <w:pPr>
              <w:ind w:right="-23"/>
            </w:pPr>
          </w:p>
        </w:tc>
      </w:tr>
      <w:tr w:rsidR="00103D90" w:rsidRPr="00F54910" w14:paraId="277327D1" w14:textId="77777777" w:rsidTr="006F11E6">
        <w:tc>
          <w:tcPr>
            <w:tcW w:w="1100" w:type="dxa"/>
          </w:tcPr>
          <w:p w14:paraId="4E25F6A1" w14:textId="77777777" w:rsidR="00103D90" w:rsidRPr="007D4351" w:rsidRDefault="00103D90" w:rsidP="0026425C">
            <w:pPr>
              <w:ind w:right="-23"/>
            </w:pPr>
            <w:r w:rsidRPr="007D4351">
              <w:t>3.0</w:t>
            </w:r>
          </w:p>
        </w:tc>
        <w:tc>
          <w:tcPr>
            <w:tcW w:w="2003" w:type="dxa"/>
          </w:tcPr>
          <w:p w14:paraId="21736777" w14:textId="77777777" w:rsidR="00103D90" w:rsidRPr="007D4351" w:rsidRDefault="00103D90" w:rsidP="0026425C">
            <w:pPr>
              <w:ind w:right="-23"/>
            </w:pPr>
            <w:r w:rsidRPr="007D4351">
              <w:t>March 2012</w:t>
            </w:r>
          </w:p>
        </w:tc>
        <w:tc>
          <w:tcPr>
            <w:tcW w:w="1870" w:type="dxa"/>
          </w:tcPr>
          <w:p w14:paraId="63550610" w14:textId="77777777" w:rsidR="00103D90" w:rsidRPr="007D4351" w:rsidRDefault="00103D90" w:rsidP="0026425C">
            <w:pPr>
              <w:ind w:right="-23"/>
            </w:pPr>
            <w:r w:rsidRPr="007D4351">
              <w:t>Assistant Trust Secretary</w:t>
            </w:r>
          </w:p>
        </w:tc>
        <w:tc>
          <w:tcPr>
            <w:tcW w:w="1511" w:type="dxa"/>
          </w:tcPr>
          <w:p w14:paraId="4FD678BE" w14:textId="77777777" w:rsidR="00103D90" w:rsidRPr="007D4351" w:rsidRDefault="00103D90" w:rsidP="0026425C">
            <w:pPr>
              <w:ind w:right="-23"/>
            </w:pPr>
            <w:r w:rsidRPr="007D4351">
              <w:t>Final</w:t>
            </w:r>
          </w:p>
        </w:tc>
        <w:tc>
          <w:tcPr>
            <w:tcW w:w="2981" w:type="dxa"/>
          </w:tcPr>
          <w:p w14:paraId="71E2DE32" w14:textId="77777777" w:rsidR="00103D90" w:rsidRPr="007D4351" w:rsidRDefault="00103D90" w:rsidP="0026425C">
            <w:pPr>
              <w:ind w:right="-23"/>
            </w:pPr>
          </w:p>
        </w:tc>
      </w:tr>
      <w:tr w:rsidR="00103D90" w:rsidRPr="00F54910" w14:paraId="469A7F2E" w14:textId="77777777" w:rsidTr="006F11E6">
        <w:tc>
          <w:tcPr>
            <w:tcW w:w="1100" w:type="dxa"/>
          </w:tcPr>
          <w:p w14:paraId="07CB35F3" w14:textId="77777777" w:rsidR="00103D90" w:rsidRPr="007D4351" w:rsidRDefault="00103D90" w:rsidP="0026425C">
            <w:pPr>
              <w:ind w:right="-23"/>
            </w:pPr>
            <w:r w:rsidRPr="007D4351">
              <w:t>4.0</w:t>
            </w:r>
          </w:p>
        </w:tc>
        <w:tc>
          <w:tcPr>
            <w:tcW w:w="2003" w:type="dxa"/>
          </w:tcPr>
          <w:p w14:paraId="19E16786" w14:textId="77777777" w:rsidR="00103D90" w:rsidRPr="007D4351" w:rsidRDefault="00103D90" w:rsidP="0026425C">
            <w:pPr>
              <w:ind w:right="-23"/>
            </w:pPr>
            <w:r w:rsidRPr="007D4351">
              <w:t>April 2014</w:t>
            </w:r>
          </w:p>
        </w:tc>
        <w:tc>
          <w:tcPr>
            <w:tcW w:w="1870" w:type="dxa"/>
          </w:tcPr>
          <w:p w14:paraId="774D34A7" w14:textId="77777777" w:rsidR="00103D90" w:rsidRPr="007D4351" w:rsidRDefault="00103D90" w:rsidP="0026425C">
            <w:pPr>
              <w:ind w:right="-23"/>
            </w:pPr>
            <w:r w:rsidRPr="007D4351">
              <w:t>Assistant Trust Secretary</w:t>
            </w:r>
          </w:p>
        </w:tc>
        <w:tc>
          <w:tcPr>
            <w:tcW w:w="1511" w:type="dxa"/>
          </w:tcPr>
          <w:p w14:paraId="67E9D49D" w14:textId="77777777" w:rsidR="00103D90" w:rsidRPr="007D4351" w:rsidRDefault="00103D90" w:rsidP="0026425C">
            <w:pPr>
              <w:ind w:right="-23"/>
            </w:pPr>
            <w:r w:rsidRPr="007D4351">
              <w:t>Final</w:t>
            </w:r>
          </w:p>
        </w:tc>
        <w:tc>
          <w:tcPr>
            <w:tcW w:w="2981" w:type="dxa"/>
          </w:tcPr>
          <w:p w14:paraId="108E853F" w14:textId="77777777" w:rsidR="00103D90" w:rsidRPr="007D4351" w:rsidRDefault="00103D90" w:rsidP="0026425C">
            <w:pPr>
              <w:ind w:right="-23"/>
            </w:pPr>
          </w:p>
        </w:tc>
      </w:tr>
      <w:tr w:rsidR="00103D90" w:rsidRPr="00F54910" w14:paraId="21336290" w14:textId="77777777" w:rsidTr="006F11E6">
        <w:tc>
          <w:tcPr>
            <w:tcW w:w="1100" w:type="dxa"/>
          </w:tcPr>
          <w:p w14:paraId="300DD184" w14:textId="77777777" w:rsidR="00103D90" w:rsidRPr="007D4351" w:rsidRDefault="00103D90" w:rsidP="0026425C">
            <w:pPr>
              <w:ind w:right="-23"/>
            </w:pPr>
            <w:r w:rsidRPr="007D4351">
              <w:t>5.0</w:t>
            </w:r>
          </w:p>
        </w:tc>
        <w:tc>
          <w:tcPr>
            <w:tcW w:w="2003" w:type="dxa"/>
          </w:tcPr>
          <w:p w14:paraId="1D2B8B93" w14:textId="77777777" w:rsidR="00103D90" w:rsidRPr="007D4351" w:rsidRDefault="00103D90" w:rsidP="0026425C">
            <w:pPr>
              <w:ind w:right="-23"/>
            </w:pPr>
            <w:r w:rsidRPr="007D4351">
              <w:t>March 2016</w:t>
            </w:r>
          </w:p>
        </w:tc>
        <w:tc>
          <w:tcPr>
            <w:tcW w:w="1870" w:type="dxa"/>
          </w:tcPr>
          <w:p w14:paraId="2A9638FB" w14:textId="77777777" w:rsidR="00103D90" w:rsidRPr="007D4351" w:rsidRDefault="00103D90" w:rsidP="0026425C">
            <w:pPr>
              <w:ind w:right="-23"/>
            </w:pPr>
            <w:r w:rsidRPr="007D4351">
              <w:t>Assistant Trust Secretary</w:t>
            </w:r>
          </w:p>
        </w:tc>
        <w:tc>
          <w:tcPr>
            <w:tcW w:w="1511" w:type="dxa"/>
          </w:tcPr>
          <w:p w14:paraId="6014BFF6" w14:textId="77777777" w:rsidR="00103D90" w:rsidRPr="007D4351" w:rsidRDefault="00103D90" w:rsidP="0026425C">
            <w:pPr>
              <w:ind w:right="-23"/>
            </w:pPr>
            <w:r w:rsidRPr="007D4351">
              <w:t>Final</w:t>
            </w:r>
          </w:p>
        </w:tc>
        <w:tc>
          <w:tcPr>
            <w:tcW w:w="2981" w:type="dxa"/>
          </w:tcPr>
          <w:p w14:paraId="171524D9" w14:textId="77777777" w:rsidR="00103D90" w:rsidRPr="007D4351" w:rsidRDefault="00103D90" w:rsidP="0026425C">
            <w:pPr>
              <w:ind w:right="-23"/>
            </w:pPr>
            <w:r w:rsidRPr="007D4351">
              <w:t>Information Governance Steering Group</w:t>
            </w:r>
          </w:p>
        </w:tc>
      </w:tr>
      <w:tr w:rsidR="00103D90" w:rsidRPr="00F54910" w14:paraId="7BF399D5" w14:textId="77777777" w:rsidTr="006F11E6">
        <w:tc>
          <w:tcPr>
            <w:tcW w:w="1100" w:type="dxa"/>
          </w:tcPr>
          <w:p w14:paraId="4B58FDF6" w14:textId="77777777" w:rsidR="00103D90" w:rsidRPr="007D4351" w:rsidRDefault="00103D90" w:rsidP="0026425C">
            <w:pPr>
              <w:ind w:right="-23"/>
            </w:pPr>
            <w:r w:rsidRPr="007D4351">
              <w:t>6.0</w:t>
            </w:r>
          </w:p>
        </w:tc>
        <w:tc>
          <w:tcPr>
            <w:tcW w:w="2003" w:type="dxa"/>
          </w:tcPr>
          <w:p w14:paraId="3013A36E" w14:textId="77777777" w:rsidR="00103D90" w:rsidRPr="007D4351" w:rsidRDefault="002C6CCE" w:rsidP="0026425C">
            <w:pPr>
              <w:ind w:right="-23"/>
            </w:pPr>
            <w:r>
              <w:t>November</w:t>
            </w:r>
            <w:r w:rsidR="00103D90">
              <w:t xml:space="preserve"> 2019</w:t>
            </w:r>
          </w:p>
        </w:tc>
        <w:tc>
          <w:tcPr>
            <w:tcW w:w="1870" w:type="dxa"/>
          </w:tcPr>
          <w:p w14:paraId="7C717D5D" w14:textId="77777777" w:rsidR="00103D90" w:rsidRPr="007D4351" w:rsidRDefault="00103D90" w:rsidP="0026425C">
            <w:pPr>
              <w:ind w:right="-23"/>
            </w:pPr>
            <w:r>
              <w:t xml:space="preserve">IG </w:t>
            </w:r>
            <w:r w:rsidR="00612AF1">
              <w:t>Manager</w:t>
            </w:r>
          </w:p>
        </w:tc>
        <w:tc>
          <w:tcPr>
            <w:tcW w:w="1511" w:type="dxa"/>
          </w:tcPr>
          <w:p w14:paraId="28E340CA" w14:textId="77777777" w:rsidR="00103D90" w:rsidRPr="007D4351" w:rsidRDefault="002E6354" w:rsidP="0026425C">
            <w:pPr>
              <w:ind w:right="-23"/>
            </w:pPr>
            <w:r>
              <w:t>Approved</w:t>
            </w:r>
          </w:p>
        </w:tc>
        <w:tc>
          <w:tcPr>
            <w:tcW w:w="2981" w:type="dxa"/>
          </w:tcPr>
          <w:p w14:paraId="31393D5B" w14:textId="77777777" w:rsidR="00103D90" w:rsidRDefault="00612AF1" w:rsidP="0026425C">
            <w:pPr>
              <w:ind w:right="-23"/>
            </w:pPr>
            <w:r>
              <w:t>Information Governance Steering Group</w:t>
            </w:r>
          </w:p>
        </w:tc>
      </w:tr>
      <w:tr w:rsidR="00251DBC" w:rsidRPr="00F54910" w14:paraId="547B1A35" w14:textId="77777777" w:rsidTr="006F11E6">
        <w:tc>
          <w:tcPr>
            <w:tcW w:w="1100" w:type="dxa"/>
          </w:tcPr>
          <w:p w14:paraId="4B616F0C" w14:textId="77777777" w:rsidR="00251DBC" w:rsidRPr="00F54910" w:rsidRDefault="006A652B" w:rsidP="0026425C">
            <w:pPr>
              <w:spacing w:before="80" w:after="80"/>
              <w:ind w:right="-23"/>
              <w:rPr>
                <w:rFonts w:cs="Arial"/>
                <w:szCs w:val="22"/>
              </w:rPr>
            </w:pPr>
            <w:r>
              <w:rPr>
                <w:rFonts w:cs="Arial"/>
                <w:szCs w:val="22"/>
              </w:rPr>
              <w:t>6.1</w:t>
            </w:r>
          </w:p>
        </w:tc>
        <w:tc>
          <w:tcPr>
            <w:tcW w:w="2003" w:type="dxa"/>
          </w:tcPr>
          <w:p w14:paraId="73EE0423" w14:textId="77777777" w:rsidR="00251DBC" w:rsidRPr="00F54910" w:rsidRDefault="006A652B" w:rsidP="0026425C">
            <w:pPr>
              <w:spacing w:before="80" w:after="80"/>
              <w:ind w:right="-23"/>
              <w:rPr>
                <w:rFonts w:cs="Arial"/>
                <w:szCs w:val="22"/>
              </w:rPr>
            </w:pPr>
            <w:r>
              <w:rPr>
                <w:rFonts w:cs="Arial"/>
                <w:szCs w:val="22"/>
              </w:rPr>
              <w:t>July 2020</w:t>
            </w:r>
          </w:p>
        </w:tc>
        <w:tc>
          <w:tcPr>
            <w:tcW w:w="1870" w:type="dxa"/>
          </w:tcPr>
          <w:p w14:paraId="0D219852" w14:textId="77777777" w:rsidR="00251DBC" w:rsidRPr="00F54910" w:rsidRDefault="006A652B" w:rsidP="0026425C">
            <w:pPr>
              <w:spacing w:before="80" w:after="80"/>
              <w:ind w:right="-23"/>
              <w:rPr>
                <w:rFonts w:cs="Arial"/>
                <w:szCs w:val="22"/>
              </w:rPr>
            </w:pPr>
            <w:r>
              <w:rPr>
                <w:rFonts w:cs="Arial"/>
                <w:szCs w:val="22"/>
              </w:rPr>
              <w:t xml:space="preserve">IG </w:t>
            </w:r>
            <w:r w:rsidR="0043711C">
              <w:rPr>
                <w:rFonts w:cs="Arial"/>
                <w:szCs w:val="22"/>
              </w:rPr>
              <w:t>M</w:t>
            </w:r>
            <w:r>
              <w:rPr>
                <w:rFonts w:cs="Arial"/>
                <w:szCs w:val="22"/>
              </w:rPr>
              <w:t>anager</w:t>
            </w:r>
          </w:p>
        </w:tc>
        <w:tc>
          <w:tcPr>
            <w:tcW w:w="1511" w:type="dxa"/>
          </w:tcPr>
          <w:p w14:paraId="5CDD40F4" w14:textId="77777777" w:rsidR="00251DBC" w:rsidRPr="00F54910" w:rsidRDefault="006A652B" w:rsidP="0026425C">
            <w:pPr>
              <w:spacing w:before="80" w:after="80"/>
              <w:ind w:right="-23"/>
              <w:rPr>
                <w:rFonts w:cs="Arial"/>
                <w:szCs w:val="22"/>
              </w:rPr>
            </w:pPr>
            <w:r>
              <w:rPr>
                <w:rFonts w:cs="Arial"/>
                <w:szCs w:val="22"/>
              </w:rPr>
              <w:t>Final</w:t>
            </w:r>
          </w:p>
        </w:tc>
        <w:tc>
          <w:tcPr>
            <w:tcW w:w="2981" w:type="dxa"/>
          </w:tcPr>
          <w:p w14:paraId="2F11AF34" w14:textId="77777777" w:rsidR="00251DBC" w:rsidRPr="00F54910" w:rsidRDefault="00251DBC" w:rsidP="0026425C">
            <w:pPr>
              <w:spacing w:before="80" w:after="80"/>
              <w:ind w:right="-23"/>
              <w:rPr>
                <w:rFonts w:cs="Arial"/>
                <w:szCs w:val="22"/>
              </w:rPr>
            </w:pPr>
          </w:p>
        </w:tc>
      </w:tr>
      <w:tr w:rsidR="006A652B" w:rsidRPr="00F54910" w14:paraId="135AACA7" w14:textId="77777777" w:rsidTr="006F11E6">
        <w:tc>
          <w:tcPr>
            <w:tcW w:w="1100" w:type="dxa"/>
          </w:tcPr>
          <w:p w14:paraId="11A94590" w14:textId="77777777" w:rsidR="006A652B" w:rsidRDefault="006A652B" w:rsidP="0026425C">
            <w:pPr>
              <w:spacing w:before="80" w:after="80"/>
              <w:ind w:right="-23"/>
              <w:rPr>
                <w:rFonts w:cs="Arial"/>
                <w:szCs w:val="22"/>
              </w:rPr>
            </w:pPr>
            <w:r>
              <w:rPr>
                <w:rFonts w:cs="Arial"/>
                <w:szCs w:val="22"/>
              </w:rPr>
              <w:t>6.2</w:t>
            </w:r>
          </w:p>
        </w:tc>
        <w:tc>
          <w:tcPr>
            <w:tcW w:w="2003" w:type="dxa"/>
          </w:tcPr>
          <w:p w14:paraId="25DE64C7" w14:textId="77777777" w:rsidR="006A652B" w:rsidRDefault="0043711C" w:rsidP="0026425C">
            <w:pPr>
              <w:spacing w:before="80" w:after="80"/>
              <w:ind w:right="-23"/>
              <w:rPr>
                <w:rFonts w:cs="Arial"/>
                <w:szCs w:val="22"/>
              </w:rPr>
            </w:pPr>
            <w:r>
              <w:rPr>
                <w:rFonts w:cs="Arial"/>
                <w:szCs w:val="22"/>
              </w:rPr>
              <w:t>August 2021</w:t>
            </w:r>
          </w:p>
        </w:tc>
        <w:tc>
          <w:tcPr>
            <w:tcW w:w="1870" w:type="dxa"/>
          </w:tcPr>
          <w:p w14:paraId="5FCCFA5C" w14:textId="77777777" w:rsidR="006A652B" w:rsidRDefault="0043711C" w:rsidP="0026425C">
            <w:pPr>
              <w:spacing w:before="80" w:after="80"/>
              <w:ind w:right="-23"/>
              <w:rPr>
                <w:rFonts w:cs="Arial"/>
                <w:szCs w:val="22"/>
              </w:rPr>
            </w:pPr>
            <w:r>
              <w:rPr>
                <w:rFonts w:cs="Arial"/>
                <w:szCs w:val="22"/>
              </w:rPr>
              <w:t xml:space="preserve">Interim Group Company </w:t>
            </w:r>
            <w:r w:rsidR="006A652B">
              <w:rPr>
                <w:rFonts w:cs="Arial"/>
                <w:szCs w:val="22"/>
              </w:rPr>
              <w:t>Secretary</w:t>
            </w:r>
          </w:p>
        </w:tc>
        <w:tc>
          <w:tcPr>
            <w:tcW w:w="1511" w:type="dxa"/>
          </w:tcPr>
          <w:p w14:paraId="55AD93FB" w14:textId="26F247C8" w:rsidR="006A652B" w:rsidRDefault="003E607E" w:rsidP="0026425C">
            <w:pPr>
              <w:spacing w:before="80" w:after="80"/>
              <w:ind w:right="-23"/>
              <w:rPr>
                <w:rFonts w:cs="Arial"/>
                <w:szCs w:val="22"/>
              </w:rPr>
            </w:pPr>
            <w:r>
              <w:rPr>
                <w:rFonts w:cs="Arial"/>
                <w:szCs w:val="22"/>
              </w:rPr>
              <w:t>Superseded</w:t>
            </w:r>
          </w:p>
        </w:tc>
        <w:tc>
          <w:tcPr>
            <w:tcW w:w="2981" w:type="dxa"/>
          </w:tcPr>
          <w:p w14:paraId="7F12E7FC" w14:textId="77777777" w:rsidR="006A652B" w:rsidRPr="00F54910" w:rsidRDefault="0043711C" w:rsidP="0026425C">
            <w:pPr>
              <w:spacing w:before="80" w:after="80"/>
              <w:ind w:right="-23"/>
              <w:rPr>
                <w:rFonts w:cs="Arial"/>
                <w:szCs w:val="22"/>
              </w:rPr>
            </w:pPr>
            <w:r>
              <w:rPr>
                <w:rFonts w:cs="Arial"/>
                <w:szCs w:val="22"/>
              </w:rPr>
              <w:t>Change of ownership of policy from IG Manager to Interim Group Company Secretary</w:t>
            </w:r>
          </w:p>
        </w:tc>
      </w:tr>
      <w:tr w:rsidR="006D30AF" w:rsidRPr="00F54910" w14:paraId="28825E59" w14:textId="77777777" w:rsidTr="006F11E6">
        <w:tc>
          <w:tcPr>
            <w:tcW w:w="1100" w:type="dxa"/>
          </w:tcPr>
          <w:p w14:paraId="5428D67A" w14:textId="599EE3CB" w:rsidR="006D30AF" w:rsidRDefault="006907ED" w:rsidP="0026425C">
            <w:pPr>
              <w:spacing w:before="80" w:after="80"/>
              <w:ind w:right="-23"/>
              <w:rPr>
                <w:rFonts w:cs="Arial"/>
                <w:szCs w:val="22"/>
              </w:rPr>
            </w:pPr>
            <w:r>
              <w:rPr>
                <w:rFonts w:cs="Arial"/>
                <w:szCs w:val="22"/>
              </w:rPr>
              <w:t>7.0</w:t>
            </w:r>
          </w:p>
        </w:tc>
        <w:tc>
          <w:tcPr>
            <w:tcW w:w="2003" w:type="dxa"/>
          </w:tcPr>
          <w:p w14:paraId="3DB8E9C0" w14:textId="3291F919" w:rsidR="006D30AF" w:rsidRDefault="006D30AF" w:rsidP="0026425C">
            <w:pPr>
              <w:spacing w:before="80" w:after="80"/>
              <w:ind w:right="-23"/>
              <w:rPr>
                <w:rFonts w:cs="Arial"/>
                <w:szCs w:val="22"/>
              </w:rPr>
            </w:pPr>
            <w:r>
              <w:rPr>
                <w:rFonts w:cs="Arial"/>
                <w:szCs w:val="22"/>
              </w:rPr>
              <w:t>September 2022</w:t>
            </w:r>
          </w:p>
        </w:tc>
        <w:tc>
          <w:tcPr>
            <w:tcW w:w="1870" w:type="dxa"/>
          </w:tcPr>
          <w:p w14:paraId="79EC4602" w14:textId="7A7624E1" w:rsidR="006D30AF" w:rsidRDefault="006D30AF" w:rsidP="0026425C">
            <w:pPr>
              <w:spacing w:before="80" w:after="80"/>
              <w:ind w:right="-23"/>
              <w:rPr>
                <w:rFonts w:cs="Arial"/>
                <w:szCs w:val="22"/>
              </w:rPr>
            </w:pPr>
            <w:r>
              <w:rPr>
                <w:rFonts w:cs="Arial"/>
                <w:szCs w:val="22"/>
              </w:rPr>
              <w:t>Policy &amp; FOI Manager</w:t>
            </w:r>
          </w:p>
        </w:tc>
        <w:tc>
          <w:tcPr>
            <w:tcW w:w="1511" w:type="dxa"/>
          </w:tcPr>
          <w:p w14:paraId="7846C411" w14:textId="3BFEF6A5" w:rsidR="006D30AF" w:rsidRDefault="008F4721" w:rsidP="0026425C">
            <w:pPr>
              <w:spacing w:before="80" w:after="80"/>
              <w:ind w:right="-23"/>
              <w:rPr>
                <w:rFonts w:cs="Arial"/>
                <w:szCs w:val="22"/>
              </w:rPr>
            </w:pPr>
            <w:r>
              <w:rPr>
                <w:rFonts w:cs="Arial"/>
                <w:szCs w:val="22"/>
              </w:rPr>
              <w:t>Superseded</w:t>
            </w:r>
          </w:p>
        </w:tc>
        <w:tc>
          <w:tcPr>
            <w:tcW w:w="2981" w:type="dxa"/>
          </w:tcPr>
          <w:p w14:paraId="4DDCBE6E" w14:textId="67F82C55" w:rsidR="006D30AF" w:rsidRDefault="006D30AF" w:rsidP="0026425C">
            <w:pPr>
              <w:spacing w:before="80" w:after="80"/>
              <w:ind w:right="-23"/>
              <w:rPr>
                <w:rFonts w:cs="Arial"/>
                <w:szCs w:val="22"/>
              </w:rPr>
            </w:pPr>
          </w:p>
        </w:tc>
      </w:tr>
      <w:tr w:rsidR="00823EB1" w:rsidRPr="00F54910" w14:paraId="3AEA8814" w14:textId="77777777" w:rsidTr="006F11E6">
        <w:tc>
          <w:tcPr>
            <w:tcW w:w="1100" w:type="dxa"/>
          </w:tcPr>
          <w:p w14:paraId="45D5CE56" w14:textId="54DE897D" w:rsidR="00823EB1" w:rsidRDefault="00823EB1" w:rsidP="00823EB1">
            <w:pPr>
              <w:spacing w:before="80" w:after="80"/>
              <w:ind w:right="-23"/>
              <w:rPr>
                <w:rFonts w:cs="Arial"/>
                <w:szCs w:val="22"/>
              </w:rPr>
            </w:pPr>
            <w:r>
              <w:rPr>
                <w:rFonts w:cs="Arial"/>
                <w:szCs w:val="22"/>
              </w:rPr>
              <w:t>7.1</w:t>
            </w:r>
          </w:p>
        </w:tc>
        <w:tc>
          <w:tcPr>
            <w:tcW w:w="2003" w:type="dxa"/>
          </w:tcPr>
          <w:p w14:paraId="3659885E" w14:textId="2B6CCE40" w:rsidR="00823EB1" w:rsidRDefault="00823EB1" w:rsidP="00823EB1">
            <w:pPr>
              <w:spacing w:before="80" w:after="80"/>
              <w:ind w:right="-23"/>
              <w:rPr>
                <w:rFonts w:cs="Arial"/>
                <w:szCs w:val="22"/>
              </w:rPr>
            </w:pPr>
            <w:r>
              <w:rPr>
                <w:rFonts w:cs="Arial"/>
                <w:szCs w:val="22"/>
              </w:rPr>
              <w:t>June 2023</w:t>
            </w:r>
          </w:p>
        </w:tc>
        <w:tc>
          <w:tcPr>
            <w:tcW w:w="1870" w:type="dxa"/>
          </w:tcPr>
          <w:p w14:paraId="23D150CC" w14:textId="2ADA61CE" w:rsidR="00823EB1" w:rsidRDefault="00823EB1" w:rsidP="00823EB1">
            <w:pPr>
              <w:spacing w:before="80" w:after="80"/>
              <w:ind w:right="-23"/>
              <w:rPr>
                <w:rFonts w:cs="Arial"/>
                <w:szCs w:val="22"/>
              </w:rPr>
            </w:pPr>
            <w:r>
              <w:rPr>
                <w:rFonts w:cs="Arial"/>
                <w:szCs w:val="22"/>
              </w:rPr>
              <w:t>Policy &amp; FOI Manager</w:t>
            </w:r>
          </w:p>
        </w:tc>
        <w:tc>
          <w:tcPr>
            <w:tcW w:w="1511" w:type="dxa"/>
          </w:tcPr>
          <w:p w14:paraId="30156300" w14:textId="16E6F72D" w:rsidR="00823EB1" w:rsidRDefault="00823EB1" w:rsidP="00823EB1">
            <w:pPr>
              <w:spacing w:before="80" w:after="80"/>
              <w:ind w:right="-23"/>
              <w:rPr>
                <w:rFonts w:cs="Arial"/>
                <w:szCs w:val="22"/>
              </w:rPr>
            </w:pPr>
            <w:r>
              <w:rPr>
                <w:rFonts w:cs="Arial"/>
                <w:szCs w:val="22"/>
              </w:rPr>
              <w:t>Amended</w:t>
            </w:r>
          </w:p>
        </w:tc>
        <w:tc>
          <w:tcPr>
            <w:tcW w:w="2981" w:type="dxa"/>
          </w:tcPr>
          <w:p w14:paraId="3F83B604" w14:textId="626E83AC" w:rsidR="00823EB1" w:rsidRDefault="00823EB1" w:rsidP="00823EB1">
            <w:pPr>
              <w:spacing w:before="80" w:after="80"/>
              <w:ind w:right="-23"/>
              <w:rPr>
                <w:rFonts w:cs="Arial"/>
                <w:szCs w:val="22"/>
              </w:rPr>
            </w:pPr>
            <w:r>
              <w:rPr>
                <w:rFonts w:cs="Arial"/>
                <w:szCs w:val="22"/>
              </w:rPr>
              <w:t>Reference to appendix C in ‘Summary of Key Changes’ corrected and image in appendix A removed due to copyright and to meet accessibility standard</w:t>
            </w:r>
          </w:p>
        </w:tc>
      </w:tr>
      <w:tr w:rsidR="00823EB1" w:rsidRPr="00F54910" w14:paraId="1B42790F" w14:textId="77777777" w:rsidTr="006F11E6">
        <w:tc>
          <w:tcPr>
            <w:tcW w:w="1100" w:type="dxa"/>
          </w:tcPr>
          <w:p w14:paraId="525A1A81" w14:textId="39333062" w:rsidR="00823EB1" w:rsidRDefault="00823EB1" w:rsidP="00823EB1">
            <w:pPr>
              <w:spacing w:before="80" w:after="80"/>
              <w:ind w:right="-23"/>
              <w:rPr>
                <w:rFonts w:cs="Arial"/>
                <w:szCs w:val="22"/>
              </w:rPr>
            </w:pPr>
            <w:r>
              <w:rPr>
                <w:rFonts w:cs="Arial"/>
                <w:szCs w:val="22"/>
              </w:rPr>
              <w:t>7.2</w:t>
            </w:r>
          </w:p>
        </w:tc>
        <w:tc>
          <w:tcPr>
            <w:tcW w:w="2003" w:type="dxa"/>
          </w:tcPr>
          <w:p w14:paraId="65B7B71B" w14:textId="3825F07F" w:rsidR="00823EB1" w:rsidRDefault="00823EB1" w:rsidP="00823EB1">
            <w:pPr>
              <w:spacing w:before="80" w:after="80"/>
              <w:ind w:right="-23"/>
              <w:rPr>
                <w:rFonts w:cs="Arial"/>
                <w:szCs w:val="22"/>
              </w:rPr>
            </w:pPr>
            <w:r>
              <w:rPr>
                <w:rFonts w:cs="Arial"/>
                <w:szCs w:val="22"/>
              </w:rPr>
              <w:t>August 2024</w:t>
            </w:r>
          </w:p>
        </w:tc>
        <w:tc>
          <w:tcPr>
            <w:tcW w:w="1870" w:type="dxa"/>
          </w:tcPr>
          <w:p w14:paraId="53F86465" w14:textId="78438632" w:rsidR="00823EB1" w:rsidRDefault="00823EB1" w:rsidP="00823EB1">
            <w:pPr>
              <w:spacing w:before="80" w:after="80"/>
              <w:ind w:right="-23"/>
              <w:rPr>
                <w:rFonts w:cs="Arial"/>
                <w:szCs w:val="22"/>
              </w:rPr>
            </w:pPr>
            <w:r>
              <w:rPr>
                <w:rFonts w:cs="Arial"/>
                <w:szCs w:val="22"/>
              </w:rPr>
              <w:t>Policy &amp; FOI Manager</w:t>
            </w:r>
          </w:p>
        </w:tc>
        <w:tc>
          <w:tcPr>
            <w:tcW w:w="1511" w:type="dxa"/>
          </w:tcPr>
          <w:p w14:paraId="7B304B82" w14:textId="5180186F" w:rsidR="00823EB1" w:rsidRDefault="00823EB1" w:rsidP="00823EB1">
            <w:pPr>
              <w:spacing w:before="80" w:after="80"/>
              <w:ind w:right="-23"/>
              <w:rPr>
                <w:rFonts w:cs="Arial"/>
                <w:szCs w:val="22"/>
              </w:rPr>
            </w:pPr>
            <w:r>
              <w:rPr>
                <w:rFonts w:cs="Arial"/>
                <w:szCs w:val="22"/>
              </w:rPr>
              <w:t>Approved</w:t>
            </w:r>
          </w:p>
        </w:tc>
        <w:tc>
          <w:tcPr>
            <w:tcW w:w="2981" w:type="dxa"/>
          </w:tcPr>
          <w:p w14:paraId="06CDABBF" w14:textId="3A36464C" w:rsidR="00823EB1" w:rsidRDefault="00823EB1" w:rsidP="00823EB1">
            <w:pPr>
              <w:spacing w:before="80" w:after="80"/>
              <w:ind w:right="-23"/>
              <w:rPr>
                <w:rFonts w:cs="Arial"/>
                <w:szCs w:val="22"/>
              </w:rPr>
            </w:pPr>
            <w:r>
              <w:rPr>
                <w:rFonts w:cs="Arial"/>
                <w:szCs w:val="22"/>
              </w:rPr>
              <w:t>Minor update</w:t>
            </w:r>
          </w:p>
        </w:tc>
      </w:tr>
    </w:tbl>
    <w:p w14:paraId="0C9ACC8F" w14:textId="1183EE43" w:rsidR="00690EC6" w:rsidRDefault="006907ED" w:rsidP="0026425C">
      <w:pPr>
        <w:pStyle w:val="SectionTitle"/>
        <w:ind w:right="-23"/>
      </w:pPr>
      <w:r>
        <w:t>Policy Reviewers</w:t>
      </w:r>
    </w:p>
    <w:tbl>
      <w:tblPr>
        <w:tblStyle w:val="TableGrid"/>
        <w:tblW w:w="0" w:type="auto"/>
        <w:tblLook w:val="04A0" w:firstRow="1" w:lastRow="0" w:firstColumn="1" w:lastColumn="0" w:noHBand="0" w:noVBand="1"/>
      </w:tblPr>
      <w:tblGrid>
        <w:gridCol w:w="7266"/>
        <w:gridCol w:w="1976"/>
      </w:tblGrid>
      <w:tr w:rsidR="00690EC6" w:rsidRPr="00F54910" w14:paraId="029642BF" w14:textId="77777777" w:rsidTr="006F11E6">
        <w:trPr>
          <w:trHeight w:val="397"/>
        </w:trPr>
        <w:tc>
          <w:tcPr>
            <w:tcW w:w="7266" w:type="dxa"/>
          </w:tcPr>
          <w:p w14:paraId="29A64991" w14:textId="77777777" w:rsidR="00690EC6" w:rsidRPr="00F54910" w:rsidRDefault="00690EC6" w:rsidP="0026425C">
            <w:pPr>
              <w:ind w:right="-23"/>
              <w:contextualSpacing/>
              <w:rPr>
                <w:rFonts w:cs="Arial"/>
                <w:b/>
              </w:rPr>
            </w:pPr>
            <w:r w:rsidRPr="00F54910">
              <w:rPr>
                <w:rFonts w:cs="Arial"/>
                <w:b/>
              </w:rPr>
              <w:t>Name and Title of Individual</w:t>
            </w:r>
          </w:p>
        </w:tc>
        <w:tc>
          <w:tcPr>
            <w:tcW w:w="1976" w:type="dxa"/>
          </w:tcPr>
          <w:p w14:paraId="6B60FB51" w14:textId="77777777" w:rsidR="00690EC6" w:rsidRPr="00F54910" w:rsidRDefault="00690EC6" w:rsidP="0026425C">
            <w:pPr>
              <w:ind w:right="-23"/>
              <w:rPr>
                <w:rFonts w:cs="Arial"/>
                <w:b/>
              </w:rPr>
            </w:pPr>
            <w:r w:rsidRPr="00F54910">
              <w:rPr>
                <w:rFonts w:cs="Arial"/>
                <w:b/>
              </w:rPr>
              <w:t>Date Consulted</w:t>
            </w:r>
          </w:p>
        </w:tc>
      </w:tr>
      <w:tr w:rsidR="006D30AF" w:rsidRPr="00F54910" w14:paraId="19043A88" w14:textId="77777777" w:rsidTr="006F11E6">
        <w:trPr>
          <w:trHeight w:val="397"/>
        </w:trPr>
        <w:tc>
          <w:tcPr>
            <w:tcW w:w="7266" w:type="dxa"/>
          </w:tcPr>
          <w:p w14:paraId="7E78F969" w14:textId="48F1DC61" w:rsidR="006D30AF" w:rsidRPr="00251DBC" w:rsidRDefault="006D30AF" w:rsidP="006D30AF">
            <w:pPr>
              <w:ind w:right="-23"/>
              <w:rPr>
                <w:rFonts w:cs="Arial"/>
              </w:rPr>
            </w:pPr>
            <w:r>
              <w:rPr>
                <w:rFonts w:cs="Arial"/>
              </w:rPr>
              <w:t>Head of Information Governance</w:t>
            </w:r>
          </w:p>
        </w:tc>
        <w:tc>
          <w:tcPr>
            <w:tcW w:w="1976" w:type="dxa"/>
          </w:tcPr>
          <w:p w14:paraId="02051BB2" w14:textId="0108F9FB" w:rsidR="006D30AF" w:rsidRPr="00251DBC" w:rsidRDefault="006D30AF" w:rsidP="006D30AF">
            <w:pPr>
              <w:ind w:right="-23"/>
              <w:rPr>
                <w:rFonts w:cs="Arial"/>
              </w:rPr>
            </w:pPr>
            <w:r w:rsidRPr="00A31B99">
              <w:rPr>
                <w:rFonts w:cs="Arial"/>
              </w:rPr>
              <w:t>June 2022</w:t>
            </w:r>
          </w:p>
        </w:tc>
      </w:tr>
      <w:tr w:rsidR="006D30AF" w:rsidRPr="00F54910" w14:paraId="1B845E6C" w14:textId="77777777" w:rsidTr="006F11E6">
        <w:trPr>
          <w:trHeight w:val="397"/>
        </w:trPr>
        <w:tc>
          <w:tcPr>
            <w:tcW w:w="7266" w:type="dxa"/>
          </w:tcPr>
          <w:p w14:paraId="52463618" w14:textId="7D9D31EE" w:rsidR="006D30AF" w:rsidRPr="00251DBC" w:rsidRDefault="006D30AF" w:rsidP="006D30AF">
            <w:pPr>
              <w:ind w:right="-23"/>
              <w:rPr>
                <w:rFonts w:cs="Arial"/>
              </w:rPr>
            </w:pPr>
            <w:r>
              <w:rPr>
                <w:rFonts w:cs="Arial"/>
              </w:rPr>
              <w:t>FOI, Policy &amp; Risk Administrator</w:t>
            </w:r>
          </w:p>
        </w:tc>
        <w:tc>
          <w:tcPr>
            <w:tcW w:w="1976" w:type="dxa"/>
          </w:tcPr>
          <w:p w14:paraId="6A961A85" w14:textId="2AD49A14" w:rsidR="006D30AF" w:rsidRPr="00251DBC" w:rsidRDefault="006D30AF" w:rsidP="006D30AF">
            <w:pPr>
              <w:ind w:right="-23"/>
              <w:rPr>
                <w:rFonts w:cs="Arial"/>
              </w:rPr>
            </w:pPr>
            <w:r w:rsidRPr="00A31B99">
              <w:rPr>
                <w:rFonts w:cs="Arial"/>
              </w:rPr>
              <w:t>June 2022</w:t>
            </w:r>
          </w:p>
        </w:tc>
      </w:tr>
      <w:tr w:rsidR="006D30AF" w:rsidRPr="00F54910" w14:paraId="22DC3166" w14:textId="77777777" w:rsidTr="006F11E6">
        <w:trPr>
          <w:trHeight w:val="397"/>
        </w:trPr>
        <w:tc>
          <w:tcPr>
            <w:tcW w:w="7266" w:type="dxa"/>
          </w:tcPr>
          <w:p w14:paraId="410F2A78" w14:textId="19003322" w:rsidR="006D30AF" w:rsidRPr="00251DBC" w:rsidRDefault="006D30AF" w:rsidP="006D30AF">
            <w:pPr>
              <w:ind w:right="-23"/>
              <w:rPr>
                <w:rFonts w:cs="Arial"/>
              </w:rPr>
            </w:pPr>
            <w:r w:rsidRPr="006D30AF">
              <w:rPr>
                <w:rFonts w:cs="Arial"/>
              </w:rPr>
              <w:t>Head of Corporate Governance, 2gether Support Solutions</w:t>
            </w:r>
          </w:p>
        </w:tc>
        <w:tc>
          <w:tcPr>
            <w:tcW w:w="1976" w:type="dxa"/>
          </w:tcPr>
          <w:p w14:paraId="7DDD0380" w14:textId="447435D4" w:rsidR="006D30AF" w:rsidRPr="00251DBC" w:rsidRDefault="006D30AF" w:rsidP="006D30AF">
            <w:pPr>
              <w:ind w:right="-23"/>
              <w:rPr>
                <w:rFonts w:cs="Arial"/>
              </w:rPr>
            </w:pPr>
            <w:r w:rsidRPr="00A31B99">
              <w:rPr>
                <w:rFonts w:cs="Arial"/>
              </w:rPr>
              <w:t>June 2022</w:t>
            </w:r>
          </w:p>
        </w:tc>
      </w:tr>
      <w:tr w:rsidR="006D30AF" w:rsidRPr="00F54910" w14:paraId="331CACC9" w14:textId="77777777" w:rsidTr="006F11E6">
        <w:trPr>
          <w:trHeight w:val="397"/>
        </w:trPr>
        <w:tc>
          <w:tcPr>
            <w:tcW w:w="7266" w:type="dxa"/>
          </w:tcPr>
          <w:p w14:paraId="00825152" w14:textId="2D02EF0C" w:rsidR="006D30AF" w:rsidRPr="00251DBC" w:rsidRDefault="006D30AF" w:rsidP="0026425C">
            <w:pPr>
              <w:ind w:right="-23"/>
              <w:rPr>
                <w:rFonts w:cs="Arial"/>
              </w:rPr>
            </w:pPr>
            <w:r>
              <w:rPr>
                <w:rFonts w:cs="Arial"/>
              </w:rPr>
              <w:t>Risk Manager</w:t>
            </w:r>
          </w:p>
        </w:tc>
        <w:tc>
          <w:tcPr>
            <w:tcW w:w="1976" w:type="dxa"/>
          </w:tcPr>
          <w:p w14:paraId="22766566" w14:textId="1D8A9440" w:rsidR="006D30AF" w:rsidRPr="00251DBC" w:rsidRDefault="006D30AF" w:rsidP="0026425C">
            <w:pPr>
              <w:ind w:right="-23"/>
              <w:rPr>
                <w:rFonts w:cs="Arial"/>
              </w:rPr>
            </w:pPr>
            <w:r>
              <w:rPr>
                <w:rFonts w:cs="Arial"/>
              </w:rPr>
              <w:t>June 2022</w:t>
            </w:r>
          </w:p>
        </w:tc>
      </w:tr>
      <w:tr w:rsidR="006D30AF" w:rsidRPr="00F54910" w14:paraId="03A780B3" w14:textId="77777777" w:rsidTr="006F11E6">
        <w:trPr>
          <w:trHeight w:val="397"/>
        </w:trPr>
        <w:tc>
          <w:tcPr>
            <w:tcW w:w="7266" w:type="dxa"/>
          </w:tcPr>
          <w:p w14:paraId="22A43B8F" w14:textId="4176975B" w:rsidR="006D30AF" w:rsidRPr="00251DBC" w:rsidRDefault="006D30AF" w:rsidP="0026425C">
            <w:pPr>
              <w:ind w:right="-23"/>
              <w:rPr>
                <w:rFonts w:cs="Arial"/>
              </w:rPr>
            </w:pPr>
            <w:r>
              <w:rPr>
                <w:rFonts w:cs="Arial"/>
              </w:rPr>
              <w:t>Group Company Secretary</w:t>
            </w:r>
          </w:p>
        </w:tc>
        <w:tc>
          <w:tcPr>
            <w:tcW w:w="1976" w:type="dxa"/>
          </w:tcPr>
          <w:p w14:paraId="118DB00C" w14:textId="19CC6BC5" w:rsidR="006D30AF" w:rsidRPr="00251DBC" w:rsidRDefault="006D30AF" w:rsidP="0026425C">
            <w:pPr>
              <w:ind w:right="-23"/>
              <w:rPr>
                <w:rFonts w:cs="Arial"/>
              </w:rPr>
            </w:pPr>
            <w:r>
              <w:rPr>
                <w:rFonts w:cs="Arial"/>
              </w:rPr>
              <w:t>June 2022</w:t>
            </w:r>
          </w:p>
        </w:tc>
      </w:tr>
      <w:tr w:rsidR="006D30AF" w:rsidRPr="00F54910" w14:paraId="30D47412" w14:textId="77777777" w:rsidTr="006F11E6">
        <w:trPr>
          <w:trHeight w:val="397"/>
        </w:trPr>
        <w:tc>
          <w:tcPr>
            <w:tcW w:w="7266" w:type="dxa"/>
          </w:tcPr>
          <w:p w14:paraId="53461867" w14:textId="172E6174" w:rsidR="006D30AF" w:rsidRPr="00251DBC" w:rsidRDefault="006D30AF" w:rsidP="0026425C">
            <w:pPr>
              <w:ind w:right="-23"/>
              <w:rPr>
                <w:rFonts w:cs="Arial"/>
              </w:rPr>
            </w:pPr>
            <w:r>
              <w:rPr>
                <w:rFonts w:cs="Arial"/>
              </w:rPr>
              <w:t>Intelligent Client</w:t>
            </w:r>
          </w:p>
        </w:tc>
        <w:tc>
          <w:tcPr>
            <w:tcW w:w="1976" w:type="dxa"/>
          </w:tcPr>
          <w:p w14:paraId="4323006F" w14:textId="0024E5AA" w:rsidR="006D30AF" w:rsidRPr="00251DBC" w:rsidRDefault="006D30AF" w:rsidP="0026425C">
            <w:pPr>
              <w:ind w:right="-23"/>
              <w:rPr>
                <w:rFonts w:cs="Arial"/>
              </w:rPr>
            </w:pPr>
            <w:r>
              <w:rPr>
                <w:rFonts w:cs="Arial"/>
              </w:rPr>
              <w:t>June 2022</w:t>
            </w:r>
          </w:p>
        </w:tc>
      </w:tr>
      <w:tr w:rsidR="00485D56" w:rsidRPr="00F54910" w14:paraId="20A985FE" w14:textId="77777777" w:rsidTr="006F11E6">
        <w:trPr>
          <w:trHeight w:val="397"/>
        </w:trPr>
        <w:tc>
          <w:tcPr>
            <w:tcW w:w="7266" w:type="dxa"/>
          </w:tcPr>
          <w:p w14:paraId="35C0A286" w14:textId="4465F306" w:rsidR="00485D56" w:rsidRPr="00251DBC" w:rsidRDefault="00485D56" w:rsidP="00485D56">
            <w:pPr>
              <w:ind w:right="-23"/>
              <w:rPr>
                <w:rFonts w:cs="Arial"/>
              </w:rPr>
            </w:pPr>
            <w:r>
              <w:rPr>
                <w:rFonts w:cs="Arial"/>
              </w:rPr>
              <w:t>Director of Corporate Governance</w:t>
            </w:r>
          </w:p>
        </w:tc>
        <w:tc>
          <w:tcPr>
            <w:tcW w:w="1976" w:type="dxa"/>
          </w:tcPr>
          <w:p w14:paraId="3A27B723" w14:textId="162913AF" w:rsidR="00485D56" w:rsidRPr="00251DBC" w:rsidRDefault="00485D56" w:rsidP="00485D56">
            <w:pPr>
              <w:ind w:right="-23"/>
              <w:rPr>
                <w:rFonts w:cs="Arial"/>
              </w:rPr>
            </w:pPr>
            <w:r>
              <w:rPr>
                <w:rFonts w:cs="Arial"/>
              </w:rPr>
              <w:t>July 2024</w:t>
            </w:r>
          </w:p>
        </w:tc>
      </w:tr>
    </w:tbl>
    <w:p w14:paraId="4027239C" w14:textId="77777777" w:rsidR="00690EC6" w:rsidRDefault="00690EC6" w:rsidP="00F95141">
      <w:pPr>
        <w:ind w:right="-23" w:firstLine="180"/>
        <w:rPr>
          <w:rFonts w:cs="Arial"/>
          <w:b/>
        </w:rPr>
      </w:pPr>
    </w:p>
    <w:tbl>
      <w:tblPr>
        <w:tblStyle w:val="TableGrid"/>
        <w:tblW w:w="9322" w:type="dxa"/>
        <w:tblLook w:val="04A0" w:firstRow="1" w:lastRow="0" w:firstColumn="1" w:lastColumn="0" w:noHBand="0" w:noVBand="1"/>
      </w:tblPr>
      <w:tblGrid>
        <w:gridCol w:w="7338"/>
        <w:gridCol w:w="1984"/>
      </w:tblGrid>
      <w:tr w:rsidR="00690EC6" w:rsidRPr="00F54910" w14:paraId="6BC50FF2" w14:textId="77777777" w:rsidTr="006F11E6">
        <w:trPr>
          <w:trHeight w:val="397"/>
        </w:trPr>
        <w:tc>
          <w:tcPr>
            <w:tcW w:w="7338" w:type="dxa"/>
          </w:tcPr>
          <w:p w14:paraId="388DF15D" w14:textId="77777777" w:rsidR="00690EC6" w:rsidRPr="00F54910" w:rsidRDefault="00690EC6" w:rsidP="0026425C">
            <w:pPr>
              <w:ind w:right="-23"/>
              <w:contextualSpacing/>
              <w:rPr>
                <w:rFonts w:cs="Arial"/>
                <w:b/>
              </w:rPr>
            </w:pPr>
            <w:r w:rsidRPr="00F54910">
              <w:rPr>
                <w:rFonts w:cs="Arial"/>
                <w:b/>
              </w:rPr>
              <w:lastRenderedPageBreak/>
              <w:t>Name of Committee</w:t>
            </w:r>
          </w:p>
        </w:tc>
        <w:tc>
          <w:tcPr>
            <w:tcW w:w="1984" w:type="dxa"/>
          </w:tcPr>
          <w:p w14:paraId="38714085" w14:textId="77777777" w:rsidR="00690EC6" w:rsidRPr="00F54910" w:rsidRDefault="00690EC6" w:rsidP="0026425C">
            <w:pPr>
              <w:ind w:right="-23"/>
              <w:rPr>
                <w:rFonts w:cs="Arial"/>
                <w:b/>
              </w:rPr>
            </w:pPr>
            <w:r w:rsidRPr="00F54910">
              <w:rPr>
                <w:rFonts w:cs="Arial"/>
                <w:b/>
              </w:rPr>
              <w:t>Date Reviewed</w:t>
            </w:r>
          </w:p>
        </w:tc>
      </w:tr>
      <w:tr w:rsidR="00690EC6" w:rsidRPr="00F54910" w14:paraId="4F63F936" w14:textId="77777777" w:rsidTr="006F11E6">
        <w:trPr>
          <w:trHeight w:val="397"/>
        </w:trPr>
        <w:tc>
          <w:tcPr>
            <w:tcW w:w="7338" w:type="dxa"/>
          </w:tcPr>
          <w:p w14:paraId="0201AAC2" w14:textId="50B269EA" w:rsidR="00690EC6" w:rsidRPr="00251DBC" w:rsidRDefault="006D30AF" w:rsidP="0026425C">
            <w:pPr>
              <w:ind w:right="-23"/>
              <w:rPr>
                <w:rFonts w:cs="Arial"/>
              </w:rPr>
            </w:pPr>
            <w:r>
              <w:rPr>
                <w:rFonts w:cs="Arial"/>
              </w:rPr>
              <w:t>Regulatory Compliance Group</w:t>
            </w:r>
          </w:p>
        </w:tc>
        <w:tc>
          <w:tcPr>
            <w:tcW w:w="1984" w:type="dxa"/>
          </w:tcPr>
          <w:p w14:paraId="15008110" w14:textId="049EA3C0" w:rsidR="00690EC6" w:rsidRPr="00251DBC" w:rsidRDefault="006D30AF" w:rsidP="0026425C">
            <w:pPr>
              <w:ind w:right="-23"/>
              <w:rPr>
                <w:rFonts w:cs="Arial"/>
              </w:rPr>
            </w:pPr>
            <w:r>
              <w:rPr>
                <w:rFonts w:cs="Arial"/>
              </w:rPr>
              <w:t>September 2022</w:t>
            </w:r>
          </w:p>
        </w:tc>
      </w:tr>
      <w:tr w:rsidR="00690EC6" w:rsidRPr="00F54910" w14:paraId="319A0F63" w14:textId="77777777" w:rsidTr="006F11E6">
        <w:trPr>
          <w:trHeight w:val="397"/>
        </w:trPr>
        <w:tc>
          <w:tcPr>
            <w:tcW w:w="7338" w:type="dxa"/>
          </w:tcPr>
          <w:p w14:paraId="495C7884" w14:textId="536F1DD0" w:rsidR="00690EC6" w:rsidRPr="00251DBC" w:rsidRDefault="003E607E" w:rsidP="0026425C">
            <w:pPr>
              <w:ind w:right="-23"/>
              <w:rPr>
                <w:rFonts w:cs="Arial"/>
              </w:rPr>
            </w:pPr>
            <w:r>
              <w:rPr>
                <w:rFonts w:cs="Arial"/>
              </w:rPr>
              <w:t>Policy Authorisation Group</w:t>
            </w:r>
          </w:p>
        </w:tc>
        <w:tc>
          <w:tcPr>
            <w:tcW w:w="1984" w:type="dxa"/>
          </w:tcPr>
          <w:p w14:paraId="7B882901" w14:textId="62BBB789" w:rsidR="00690EC6" w:rsidRPr="00251DBC" w:rsidRDefault="003E607E" w:rsidP="0026425C">
            <w:pPr>
              <w:ind w:right="-23"/>
              <w:rPr>
                <w:rFonts w:cs="Arial"/>
              </w:rPr>
            </w:pPr>
            <w:r>
              <w:rPr>
                <w:rFonts w:cs="Arial"/>
              </w:rPr>
              <w:t>October 2022</w:t>
            </w:r>
          </w:p>
        </w:tc>
      </w:tr>
      <w:tr w:rsidR="00690EC6" w:rsidRPr="00F54910" w14:paraId="007C8BB5" w14:textId="77777777" w:rsidTr="006F11E6">
        <w:trPr>
          <w:trHeight w:val="397"/>
        </w:trPr>
        <w:tc>
          <w:tcPr>
            <w:tcW w:w="7338" w:type="dxa"/>
          </w:tcPr>
          <w:p w14:paraId="7E4D24E6" w14:textId="6E2784E4" w:rsidR="00690EC6" w:rsidRPr="00251DBC" w:rsidRDefault="00ED760A" w:rsidP="0026425C">
            <w:pPr>
              <w:ind w:right="-23"/>
              <w:rPr>
                <w:rFonts w:cs="Arial"/>
              </w:rPr>
            </w:pPr>
            <w:r>
              <w:rPr>
                <w:rFonts w:cs="Arial"/>
              </w:rPr>
              <w:t>Regulatory Oversight Group</w:t>
            </w:r>
          </w:p>
        </w:tc>
        <w:tc>
          <w:tcPr>
            <w:tcW w:w="1984" w:type="dxa"/>
          </w:tcPr>
          <w:p w14:paraId="708D86E2" w14:textId="6995FD5C" w:rsidR="00690EC6" w:rsidRPr="00251DBC" w:rsidRDefault="008F4721" w:rsidP="0026425C">
            <w:pPr>
              <w:ind w:right="-23"/>
              <w:rPr>
                <w:rFonts w:cs="Arial"/>
              </w:rPr>
            </w:pPr>
            <w:r>
              <w:rPr>
                <w:rFonts w:cs="Arial"/>
              </w:rPr>
              <w:t>August 2024</w:t>
            </w:r>
          </w:p>
        </w:tc>
      </w:tr>
    </w:tbl>
    <w:p w14:paraId="223F940B" w14:textId="40F64A42" w:rsidR="006907ED" w:rsidRDefault="006907ED" w:rsidP="0026425C">
      <w:pPr>
        <w:pStyle w:val="SectionTitle"/>
        <w:spacing w:before="360"/>
        <w:ind w:right="-23"/>
      </w:pPr>
      <w:r>
        <w:t>Summary of Key Changes Since Last Approved Version</w:t>
      </w:r>
    </w:p>
    <w:p w14:paraId="55048B3A" w14:textId="103AFE1A" w:rsidR="006907ED" w:rsidRDefault="006907ED" w:rsidP="004D4AC2">
      <w:pPr>
        <w:spacing w:before="60"/>
      </w:pPr>
      <w:r>
        <w:t>Title change</w:t>
      </w:r>
      <w:r w:rsidR="003E607E">
        <w:t xml:space="preserve"> to include EIR</w:t>
      </w:r>
      <w:r w:rsidR="00ED760A">
        <w:t xml:space="preserve"> [v7.0]</w:t>
      </w:r>
    </w:p>
    <w:p w14:paraId="36558A84" w14:textId="63BE10FE" w:rsidR="006907ED" w:rsidRDefault="006907ED" w:rsidP="004D4AC2">
      <w:pPr>
        <w:spacing w:before="60"/>
      </w:pPr>
      <w:r>
        <w:t>Clarification of Duties (changes to FOI Team roles within Trust Management)</w:t>
      </w:r>
      <w:r w:rsidR="00ED760A">
        <w:t xml:space="preserve"> [v7.0]</w:t>
      </w:r>
    </w:p>
    <w:p w14:paraId="46F282CE" w14:textId="083AC530" w:rsidR="006907ED" w:rsidRDefault="006907ED" w:rsidP="004D4AC2">
      <w:pPr>
        <w:spacing w:before="60"/>
      </w:pPr>
      <w:r>
        <w:t xml:space="preserve">Revised Complaints procedure </w:t>
      </w:r>
      <w:r w:rsidR="00ED760A">
        <w:t>[v7.0]</w:t>
      </w:r>
    </w:p>
    <w:p w14:paraId="20152226" w14:textId="7BD3FA62" w:rsidR="0083696B" w:rsidRDefault="0083696B" w:rsidP="004D4AC2">
      <w:pPr>
        <w:spacing w:before="60"/>
      </w:pPr>
      <w:r>
        <w:t>Re</w:t>
      </w:r>
      <w:r w:rsidRPr="0083696B">
        <w:t xml:space="preserve">sponsibility for </w:t>
      </w:r>
      <w:r>
        <w:t xml:space="preserve">redacting information to be disclosed </w:t>
      </w:r>
      <w:r w:rsidRPr="0083696B">
        <w:t>lies primarily with the department provid</w:t>
      </w:r>
      <w:r>
        <w:t>ing</w:t>
      </w:r>
      <w:r w:rsidRPr="0083696B">
        <w:t xml:space="preserve"> the information</w:t>
      </w:r>
      <w:r w:rsidR="00ED760A">
        <w:t xml:space="preserve"> [v7.0]</w:t>
      </w:r>
    </w:p>
    <w:p w14:paraId="3927BDBD" w14:textId="3CA60359" w:rsidR="004D4AC2" w:rsidRDefault="004D4AC2" w:rsidP="004D4AC2">
      <w:pPr>
        <w:spacing w:before="60"/>
      </w:pPr>
      <w:r>
        <w:t xml:space="preserve">Changed job title of </w:t>
      </w:r>
      <w:r w:rsidRPr="004D4AC2">
        <w:t>Trust’s lead for the Freedom of Information</w:t>
      </w:r>
      <w:r>
        <w:t xml:space="preserve"> from Group Company Secretary to Director of Corporate Governance</w:t>
      </w:r>
      <w:r w:rsidR="006930D7">
        <w:t xml:space="preserve"> [V7.</w:t>
      </w:r>
      <w:r w:rsidR="00823EB1">
        <w:t>2</w:t>
      </w:r>
      <w:r w:rsidR="006930D7">
        <w:t>]</w:t>
      </w:r>
    </w:p>
    <w:p w14:paraId="5490125E" w14:textId="4309ABDD" w:rsidR="006930D7" w:rsidRDefault="006930D7" w:rsidP="004D4AC2">
      <w:pPr>
        <w:spacing w:before="60"/>
      </w:pPr>
      <w:r>
        <w:t>Inclusion of statement to provide response in alternative format if requested and to provide assistance to those who may be unable to submit a request in writing [V7.</w:t>
      </w:r>
      <w:r w:rsidR="00823EB1">
        <w:t>2</w:t>
      </w:r>
      <w:r>
        <w:t>]</w:t>
      </w:r>
    </w:p>
    <w:p w14:paraId="4E8E0BFC" w14:textId="26994D40" w:rsidR="008F4721" w:rsidRPr="006907ED" w:rsidRDefault="008F4721" w:rsidP="004D4AC2">
      <w:pPr>
        <w:spacing w:before="60"/>
      </w:pPr>
      <w:r>
        <w:t>Inclusion of requirement present a monitoring report to Regulatory Oversight Committee on quarter-yearly basis [V7.</w:t>
      </w:r>
      <w:r w:rsidR="00823EB1">
        <w:t>2</w:t>
      </w:r>
      <w:r>
        <w:t>]</w:t>
      </w:r>
    </w:p>
    <w:p w14:paraId="73339DFD" w14:textId="7C1F3A17" w:rsidR="00D5698E" w:rsidRDefault="00D5698E" w:rsidP="0026425C">
      <w:pPr>
        <w:pStyle w:val="SectionTitle"/>
        <w:spacing w:before="360"/>
        <w:ind w:right="-23"/>
      </w:pPr>
      <w:r>
        <w:t>Associated Documentation</w:t>
      </w:r>
    </w:p>
    <w:p w14:paraId="17CA322E" w14:textId="17CD5DFB" w:rsidR="00C900D2" w:rsidRDefault="008716F0" w:rsidP="0026425C">
      <w:pPr>
        <w:spacing w:before="200"/>
        <w:ind w:right="-23"/>
        <w:rPr>
          <w:rFonts w:cs="Arial"/>
          <w:b/>
          <w:szCs w:val="22"/>
        </w:rPr>
      </w:pPr>
      <w:r w:rsidRPr="008716F0">
        <w:rPr>
          <w:rFonts w:cs="Arial"/>
          <w:szCs w:val="22"/>
        </w:rPr>
        <w:t>None</w:t>
      </w:r>
    </w:p>
    <w:p w14:paraId="42F3CF39" w14:textId="77777777" w:rsidR="009A6C92" w:rsidRPr="00791D97" w:rsidRDefault="00C00AF4" w:rsidP="00022E82">
      <w:pPr>
        <w:pStyle w:val="TOC1"/>
        <w:rPr>
          <w:b/>
        </w:rPr>
      </w:pPr>
      <w:r>
        <w:br w:type="page"/>
      </w:r>
      <w:r w:rsidR="00D40ED0" w:rsidRPr="00791D97">
        <w:rPr>
          <w:b/>
        </w:rPr>
        <w:lastRenderedPageBreak/>
        <w:t>Contents</w:t>
      </w:r>
    </w:p>
    <w:p w14:paraId="2F19A6F7" w14:textId="77777777" w:rsidR="00655A5A" w:rsidRDefault="009A6C92" w:rsidP="00022E82">
      <w:pPr>
        <w:pStyle w:val="TOC1"/>
        <w:rPr>
          <w:noProof/>
        </w:rPr>
      </w:pPr>
      <w:r>
        <w:tab/>
      </w:r>
      <w:r w:rsidR="000A1E88" w:rsidRPr="00260363">
        <w:fldChar w:fldCharType="begin"/>
      </w:r>
      <w:r w:rsidR="000A1E88" w:rsidRPr="00C00AF4">
        <w:instrText xml:space="preserve"> TOC \o "1-3" \h \z \u </w:instrText>
      </w:r>
      <w:r w:rsidR="000A1E88" w:rsidRPr="00260363">
        <w:fldChar w:fldCharType="separate"/>
      </w:r>
    </w:p>
    <w:p w14:paraId="0627146C" w14:textId="3AB4F956" w:rsidR="00655A5A" w:rsidRDefault="00655A5A">
      <w:pPr>
        <w:pStyle w:val="TOC1"/>
        <w:rPr>
          <w:rFonts w:asciiTheme="minorHAnsi" w:eastAsiaTheme="minorEastAsia" w:hAnsiTheme="minorHAnsi" w:cstheme="minorBidi"/>
          <w:noProof/>
          <w:sz w:val="22"/>
          <w:szCs w:val="22"/>
        </w:rPr>
      </w:pPr>
      <w:hyperlink w:anchor="_Toc176527318" w:history="1">
        <w:r w:rsidRPr="005A2BA5">
          <w:rPr>
            <w:rStyle w:val="Hyperlink"/>
            <w:rFonts w:cs="Arial"/>
            <w:noProof/>
          </w:rPr>
          <w:t>1.</w:t>
        </w:r>
        <w:r>
          <w:rPr>
            <w:rFonts w:asciiTheme="minorHAnsi" w:eastAsiaTheme="minorEastAsia" w:hAnsiTheme="minorHAnsi" w:cstheme="minorBidi"/>
            <w:noProof/>
            <w:sz w:val="22"/>
            <w:szCs w:val="22"/>
          </w:rPr>
          <w:tab/>
        </w:r>
        <w:r w:rsidRPr="005A2BA5">
          <w:rPr>
            <w:rStyle w:val="Hyperlink"/>
            <w:noProof/>
          </w:rPr>
          <w:t>Policy Description</w:t>
        </w:r>
        <w:r>
          <w:rPr>
            <w:noProof/>
            <w:webHidden/>
          </w:rPr>
          <w:tab/>
        </w:r>
        <w:r>
          <w:rPr>
            <w:noProof/>
            <w:webHidden/>
          </w:rPr>
          <w:fldChar w:fldCharType="begin"/>
        </w:r>
        <w:r>
          <w:rPr>
            <w:noProof/>
            <w:webHidden/>
          </w:rPr>
          <w:instrText xml:space="preserve"> PAGEREF _Toc176527318 \h </w:instrText>
        </w:r>
        <w:r>
          <w:rPr>
            <w:noProof/>
            <w:webHidden/>
          </w:rPr>
        </w:r>
        <w:r>
          <w:rPr>
            <w:noProof/>
            <w:webHidden/>
          </w:rPr>
          <w:fldChar w:fldCharType="separate"/>
        </w:r>
        <w:r w:rsidR="005131C4">
          <w:rPr>
            <w:noProof/>
            <w:webHidden/>
          </w:rPr>
          <w:t>5</w:t>
        </w:r>
        <w:r>
          <w:rPr>
            <w:noProof/>
            <w:webHidden/>
          </w:rPr>
          <w:fldChar w:fldCharType="end"/>
        </w:r>
      </w:hyperlink>
    </w:p>
    <w:p w14:paraId="244719AD" w14:textId="135FC4B0" w:rsidR="00655A5A" w:rsidRDefault="00E74BF5">
      <w:pPr>
        <w:pStyle w:val="TOC1"/>
        <w:rPr>
          <w:rFonts w:asciiTheme="minorHAnsi" w:eastAsiaTheme="minorEastAsia" w:hAnsiTheme="minorHAnsi" w:cstheme="minorBidi"/>
          <w:noProof/>
          <w:sz w:val="22"/>
          <w:szCs w:val="22"/>
        </w:rPr>
      </w:pPr>
      <w:hyperlink w:anchor="_Toc176527319" w:history="1">
        <w:r w:rsidR="00655A5A" w:rsidRPr="005A2BA5">
          <w:rPr>
            <w:rStyle w:val="Hyperlink"/>
            <w:noProof/>
          </w:rPr>
          <w:t>2.</w:t>
        </w:r>
        <w:r w:rsidR="00655A5A">
          <w:rPr>
            <w:rFonts w:asciiTheme="minorHAnsi" w:eastAsiaTheme="minorEastAsia" w:hAnsiTheme="minorHAnsi" w:cstheme="minorBidi"/>
            <w:noProof/>
            <w:sz w:val="22"/>
            <w:szCs w:val="22"/>
          </w:rPr>
          <w:tab/>
        </w:r>
        <w:r w:rsidR="00655A5A" w:rsidRPr="005A2BA5">
          <w:rPr>
            <w:rStyle w:val="Hyperlink"/>
            <w:noProof/>
          </w:rPr>
          <w:t>Introduction</w:t>
        </w:r>
        <w:r w:rsidR="00655A5A">
          <w:rPr>
            <w:noProof/>
            <w:webHidden/>
          </w:rPr>
          <w:tab/>
        </w:r>
        <w:r w:rsidR="00655A5A">
          <w:rPr>
            <w:noProof/>
            <w:webHidden/>
          </w:rPr>
          <w:fldChar w:fldCharType="begin"/>
        </w:r>
        <w:r w:rsidR="00655A5A">
          <w:rPr>
            <w:noProof/>
            <w:webHidden/>
          </w:rPr>
          <w:instrText xml:space="preserve"> PAGEREF _Toc176527319 \h </w:instrText>
        </w:r>
        <w:r w:rsidR="00655A5A">
          <w:rPr>
            <w:noProof/>
            <w:webHidden/>
          </w:rPr>
        </w:r>
        <w:r w:rsidR="00655A5A">
          <w:rPr>
            <w:noProof/>
            <w:webHidden/>
          </w:rPr>
          <w:fldChar w:fldCharType="separate"/>
        </w:r>
        <w:r w:rsidR="005131C4">
          <w:rPr>
            <w:noProof/>
            <w:webHidden/>
          </w:rPr>
          <w:t>5</w:t>
        </w:r>
        <w:r w:rsidR="00655A5A">
          <w:rPr>
            <w:noProof/>
            <w:webHidden/>
          </w:rPr>
          <w:fldChar w:fldCharType="end"/>
        </w:r>
      </w:hyperlink>
    </w:p>
    <w:p w14:paraId="56B0BC4A" w14:textId="6B1F5E03" w:rsidR="00655A5A" w:rsidRDefault="00E74BF5">
      <w:pPr>
        <w:pStyle w:val="TOC1"/>
        <w:rPr>
          <w:rFonts w:asciiTheme="minorHAnsi" w:eastAsiaTheme="minorEastAsia" w:hAnsiTheme="minorHAnsi" w:cstheme="minorBidi"/>
          <w:noProof/>
          <w:sz w:val="22"/>
          <w:szCs w:val="22"/>
        </w:rPr>
      </w:pPr>
      <w:hyperlink w:anchor="_Toc176527320" w:history="1">
        <w:r w:rsidR="00655A5A" w:rsidRPr="005A2BA5">
          <w:rPr>
            <w:rStyle w:val="Hyperlink"/>
            <w:noProof/>
          </w:rPr>
          <w:t>3.</w:t>
        </w:r>
        <w:r w:rsidR="00655A5A">
          <w:rPr>
            <w:rFonts w:asciiTheme="minorHAnsi" w:eastAsiaTheme="minorEastAsia" w:hAnsiTheme="minorHAnsi" w:cstheme="minorBidi"/>
            <w:noProof/>
            <w:sz w:val="22"/>
            <w:szCs w:val="22"/>
          </w:rPr>
          <w:tab/>
        </w:r>
        <w:r w:rsidR="00655A5A" w:rsidRPr="005A2BA5">
          <w:rPr>
            <w:rStyle w:val="Hyperlink"/>
            <w:noProof/>
          </w:rPr>
          <w:t>Definitions</w:t>
        </w:r>
        <w:r w:rsidR="00655A5A">
          <w:rPr>
            <w:noProof/>
            <w:webHidden/>
          </w:rPr>
          <w:tab/>
        </w:r>
        <w:r w:rsidR="00655A5A">
          <w:rPr>
            <w:noProof/>
            <w:webHidden/>
          </w:rPr>
          <w:fldChar w:fldCharType="begin"/>
        </w:r>
        <w:r w:rsidR="00655A5A">
          <w:rPr>
            <w:noProof/>
            <w:webHidden/>
          </w:rPr>
          <w:instrText xml:space="preserve"> PAGEREF _Toc176527320 \h </w:instrText>
        </w:r>
        <w:r w:rsidR="00655A5A">
          <w:rPr>
            <w:noProof/>
            <w:webHidden/>
          </w:rPr>
        </w:r>
        <w:r w:rsidR="00655A5A">
          <w:rPr>
            <w:noProof/>
            <w:webHidden/>
          </w:rPr>
          <w:fldChar w:fldCharType="separate"/>
        </w:r>
        <w:r w:rsidR="005131C4">
          <w:rPr>
            <w:noProof/>
            <w:webHidden/>
          </w:rPr>
          <w:t>5</w:t>
        </w:r>
        <w:r w:rsidR="00655A5A">
          <w:rPr>
            <w:noProof/>
            <w:webHidden/>
          </w:rPr>
          <w:fldChar w:fldCharType="end"/>
        </w:r>
      </w:hyperlink>
    </w:p>
    <w:p w14:paraId="553456CC" w14:textId="543342A5" w:rsidR="00655A5A" w:rsidRDefault="00E74BF5">
      <w:pPr>
        <w:pStyle w:val="TOC1"/>
        <w:rPr>
          <w:rFonts w:asciiTheme="minorHAnsi" w:eastAsiaTheme="minorEastAsia" w:hAnsiTheme="minorHAnsi" w:cstheme="minorBidi"/>
          <w:noProof/>
          <w:sz w:val="22"/>
          <w:szCs w:val="22"/>
        </w:rPr>
      </w:pPr>
      <w:hyperlink w:anchor="_Toc176527321" w:history="1">
        <w:r w:rsidR="00655A5A" w:rsidRPr="005A2BA5">
          <w:rPr>
            <w:rStyle w:val="Hyperlink"/>
            <w:noProof/>
          </w:rPr>
          <w:t>4.</w:t>
        </w:r>
        <w:r w:rsidR="00655A5A">
          <w:rPr>
            <w:rFonts w:asciiTheme="minorHAnsi" w:eastAsiaTheme="minorEastAsia" w:hAnsiTheme="minorHAnsi" w:cstheme="minorBidi"/>
            <w:noProof/>
            <w:sz w:val="22"/>
            <w:szCs w:val="22"/>
          </w:rPr>
          <w:tab/>
        </w:r>
        <w:r w:rsidR="00655A5A" w:rsidRPr="005A2BA5">
          <w:rPr>
            <w:rStyle w:val="Hyperlink"/>
            <w:noProof/>
          </w:rPr>
          <w:t>Purpose and Scope</w:t>
        </w:r>
        <w:r w:rsidR="00655A5A">
          <w:rPr>
            <w:noProof/>
            <w:webHidden/>
          </w:rPr>
          <w:tab/>
        </w:r>
        <w:r w:rsidR="00655A5A">
          <w:rPr>
            <w:noProof/>
            <w:webHidden/>
          </w:rPr>
          <w:fldChar w:fldCharType="begin"/>
        </w:r>
        <w:r w:rsidR="00655A5A">
          <w:rPr>
            <w:noProof/>
            <w:webHidden/>
          </w:rPr>
          <w:instrText xml:space="preserve"> PAGEREF _Toc176527321 \h </w:instrText>
        </w:r>
        <w:r w:rsidR="00655A5A">
          <w:rPr>
            <w:noProof/>
            <w:webHidden/>
          </w:rPr>
        </w:r>
        <w:r w:rsidR="00655A5A">
          <w:rPr>
            <w:noProof/>
            <w:webHidden/>
          </w:rPr>
          <w:fldChar w:fldCharType="separate"/>
        </w:r>
        <w:r w:rsidR="005131C4">
          <w:rPr>
            <w:noProof/>
            <w:webHidden/>
          </w:rPr>
          <w:t>6</w:t>
        </w:r>
        <w:r w:rsidR="00655A5A">
          <w:rPr>
            <w:noProof/>
            <w:webHidden/>
          </w:rPr>
          <w:fldChar w:fldCharType="end"/>
        </w:r>
      </w:hyperlink>
    </w:p>
    <w:p w14:paraId="53F2A9DF" w14:textId="3E961814" w:rsidR="00655A5A" w:rsidRDefault="00E74BF5">
      <w:pPr>
        <w:pStyle w:val="TOC1"/>
        <w:rPr>
          <w:rFonts w:asciiTheme="minorHAnsi" w:eastAsiaTheme="minorEastAsia" w:hAnsiTheme="minorHAnsi" w:cstheme="minorBidi"/>
          <w:noProof/>
          <w:sz w:val="22"/>
          <w:szCs w:val="22"/>
        </w:rPr>
      </w:pPr>
      <w:hyperlink w:anchor="_Toc176527322" w:history="1">
        <w:r w:rsidR="00655A5A" w:rsidRPr="005A2BA5">
          <w:rPr>
            <w:rStyle w:val="Hyperlink"/>
            <w:noProof/>
          </w:rPr>
          <w:t>5.</w:t>
        </w:r>
        <w:r w:rsidR="00655A5A">
          <w:rPr>
            <w:rFonts w:asciiTheme="minorHAnsi" w:eastAsiaTheme="minorEastAsia" w:hAnsiTheme="minorHAnsi" w:cstheme="minorBidi"/>
            <w:noProof/>
            <w:sz w:val="22"/>
            <w:szCs w:val="22"/>
          </w:rPr>
          <w:tab/>
        </w:r>
        <w:r w:rsidR="00655A5A" w:rsidRPr="005A2BA5">
          <w:rPr>
            <w:rStyle w:val="Hyperlink"/>
            <w:noProof/>
          </w:rPr>
          <w:t>Duties</w:t>
        </w:r>
        <w:r w:rsidR="00655A5A">
          <w:rPr>
            <w:noProof/>
            <w:webHidden/>
          </w:rPr>
          <w:tab/>
        </w:r>
        <w:r w:rsidR="00655A5A">
          <w:rPr>
            <w:noProof/>
            <w:webHidden/>
          </w:rPr>
          <w:fldChar w:fldCharType="begin"/>
        </w:r>
        <w:r w:rsidR="00655A5A">
          <w:rPr>
            <w:noProof/>
            <w:webHidden/>
          </w:rPr>
          <w:instrText xml:space="preserve"> PAGEREF _Toc176527322 \h </w:instrText>
        </w:r>
        <w:r w:rsidR="00655A5A">
          <w:rPr>
            <w:noProof/>
            <w:webHidden/>
          </w:rPr>
        </w:r>
        <w:r w:rsidR="00655A5A">
          <w:rPr>
            <w:noProof/>
            <w:webHidden/>
          </w:rPr>
          <w:fldChar w:fldCharType="separate"/>
        </w:r>
        <w:r w:rsidR="005131C4">
          <w:rPr>
            <w:noProof/>
            <w:webHidden/>
          </w:rPr>
          <w:t>6</w:t>
        </w:r>
        <w:r w:rsidR="00655A5A">
          <w:rPr>
            <w:noProof/>
            <w:webHidden/>
          </w:rPr>
          <w:fldChar w:fldCharType="end"/>
        </w:r>
      </w:hyperlink>
    </w:p>
    <w:p w14:paraId="1F6BC115" w14:textId="238B8226" w:rsidR="00655A5A" w:rsidRDefault="00E74BF5">
      <w:pPr>
        <w:pStyle w:val="TOC1"/>
        <w:rPr>
          <w:rFonts w:asciiTheme="minorHAnsi" w:eastAsiaTheme="minorEastAsia" w:hAnsiTheme="minorHAnsi" w:cstheme="minorBidi"/>
          <w:noProof/>
          <w:sz w:val="22"/>
          <w:szCs w:val="22"/>
        </w:rPr>
      </w:pPr>
      <w:hyperlink w:anchor="_Toc176527323" w:history="1">
        <w:r w:rsidR="00655A5A" w:rsidRPr="005A2BA5">
          <w:rPr>
            <w:rStyle w:val="Hyperlink"/>
            <w:noProof/>
          </w:rPr>
          <w:t>6.</w:t>
        </w:r>
        <w:r w:rsidR="00655A5A">
          <w:rPr>
            <w:rFonts w:asciiTheme="minorHAnsi" w:eastAsiaTheme="minorEastAsia" w:hAnsiTheme="minorHAnsi" w:cstheme="minorBidi"/>
            <w:noProof/>
            <w:sz w:val="22"/>
            <w:szCs w:val="22"/>
          </w:rPr>
          <w:tab/>
        </w:r>
        <w:r w:rsidR="00655A5A" w:rsidRPr="005A2BA5">
          <w:rPr>
            <w:rStyle w:val="Hyperlink"/>
            <w:noProof/>
          </w:rPr>
          <w:t>General Information</w:t>
        </w:r>
        <w:r w:rsidR="00655A5A">
          <w:rPr>
            <w:noProof/>
            <w:webHidden/>
          </w:rPr>
          <w:tab/>
        </w:r>
        <w:r w:rsidR="00655A5A">
          <w:rPr>
            <w:noProof/>
            <w:webHidden/>
          </w:rPr>
          <w:fldChar w:fldCharType="begin"/>
        </w:r>
        <w:r w:rsidR="00655A5A">
          <w:rPr>
            <w:noProof/>
            <w:webHidden/>
          </w:rPr>
          <w:instrText xml:space="preserve"> PAGEREF _Toc176527323 \h </w:instrText>
        </w:r>
        <w:r w:rsidR="00655A5A">
          <w:rPr>
            <w:noProof/>
            <w:webHidden/>
          </w:rPr>
        </w:r>
        <w:r w:rsidR="00655A5A">
          <w:rPr>
            <w:noProof/>
            <w:webHidden/>
          </w:rPr>
          <w:fldChar w:fldCharType="separate"/>
        </w:r>
        <w:r w:rsidR="005131C4">
          <w:rPr>
            <w:noProof/>
            <w:webHidden/>
          </w:rPr>
          <w:t>9</w:t>
        </w:r>
        <w:r w:rsidR="00655A5A">
          <w:rPr>
            <w:noProof/>
            <w:webHidden/>
          </w:rPr>
          <w:fldChar w:fldCharType="end"/>
        </w:r>
      </w:hyperlink>
    </w:p>
    <w:p w14:paraId="03DAF9C8" w14:textId="14FED406" w:rsidR="00655A5A" w:rsidRDefault="00E74BF5">
      <w:pPr>
        <w:pStyle w:val="TOC1"/>
        <w:rPr>
          <w:rFonts w:asciiTheme="minorHAnsi" w:eastAsiaTheme="minorEastAsia" w:hAnsiTheme="minorHAnsi" w:cstheme="minorBidi"/>
          <w:noProof/>
          <w:sz w:val="22"/>
          <w:szCs w:val="22"/>
        </w:rPr>
      </w:pPr>
      <w:hyperlink w:anchor="_Toc176527324" w:history="1">
        <w:r w:rsidR="00655A5A" w:rsidRPr="005A2BA5">
          <w:rPr>
            <w:rStyle w:val="Hyperlink"/>
            <w:noProof/>
          </w:rPr>
          <w:t>7.</w:t>
        </w:r>
        <w:r w:rsidR="00655A5A">
          <w:rPr>
            <w:rFonts w:asciiTheme="minorHAnsi" w:eastAsiaTheme="minorEastAsia" w:hAnsiTheme="minorHAnsi" w:cstheme="minorBidi"/>
            <w:noProof/>
            <w:sz w:val="22"/>
            <w:szCs w:val="22"/>
          </w:rPr>
          <w:tab/>
        </w:r>
        <w:r w:rsidR="00655A5A" w:rsidRPr="005A2BA5">
          <w:rPr>
            <w:rStyle w:val="Hyperlink"/>
            <w:noProof/>
          </w:rPr>
          <w:t>Conditions and Exemptions</w:t>
        </w:r>
        <w:r w:rsidR="00655A5A">
          <w:rPr>
            <w:noProof/>
            <w:webHidden/>
          </w:rPr>
          <w:tab/>
        </w:r>
        <w:r w:rsidR="00655A5A">
          <w:rPr>
            <w:noProof/>
            <w:webHidden/>
          </w:rPr>
          <w:fldChar w:fldCharType="begin"/>
        </w:r>
        <w:r w:rsidR="00655A5A">
          <w:rPr>
            <w:noProof/>
            <w:webHidden/>
          </w:rPr>
          <w:instrText xml:space="preserve"> PAGEREF _Toc176527324 \h </w:instrText>
        </w:r>
        <w:r w:rsidR="00655A5A">
          <w:rPr>
            <w:noProof/>
            <w:webHidden/>
          </w:rPr>
        </w:r>
        <w:r w:rsidR="00655A5A">
          <w:rPr>
            <w:noProof/>
            <w:webHidden/>
          </w:rPr>
          <w:fldChar w:fldCharType="separate"/>
        </w:r>
        <w:r w:rsidR="005131C4">
          <w:rPr>
            <w:noProof/>
            <w:webHidden/>
          </w:rPr>
          <w:t>10</w:t>
        </w:r>
        <w:r w:rsidR="00655A5A">
          <w:rPr>
            <w:noProof/>
            <w:webHidden/>
          </w:rPr>
          <w:fldChar w:fldCharType="end"/>
        </w:r>
      </w:hyperlink>
    </w:p>
    <w:p w14:paraId="02AD1526" w14:textId="40E04B1F" w:rsidR="00655A5A" w:rsidRDefault="00E74BF5">
      <w:pPr>
        <w:pStyle w:val="TOC1"/>
        <w:rPr>
          <w:rFonts w:asciiTheme="minorHAnsi" w:eastAsiaTheme="minorEastAsia" w:hAnsiTheme="minorHAnsi" w:cstheme="minorBidi"/>
          <w:noProof/>
          <w:sz w:val="22"/>
          <w:szCs w:val="22"/>
        </w:rPr>
      </w:pPr>
      <w:hyperlink w:anchor="_Toc176527325" w:history="1">
        <w:r w:rsidR="00655A5A" w:rsidRPr="005A2BA5">
          <w:rPr>
            <w:rStyle w:val="Hyperlink"/>
            <w:noProof/>
          </w:rPr>
          <w:t>8.</w:t>
        </w:r>
        <w:r w:rsidR="00655A5A">
          <w:rPr>
            <w:rFonts w:asciiTheme="minorHAnsi" w:eastAsiaTheme="minorEastAsia" w:hAnsiTheme="minorHAnsi" w:cstheme="minorBidi"/>
            <w:noProof/>
            <w:sz w:val="22"/>
            <w:szCs w:val="22"/>
          </w:rPr>
          <w:tab/>
        </w:r>
        <w:r w:rsidR="00655A5A" w:rsidRPr="005A2BA5">
          <w:rPr>
            <w:rStyle w:val="Hyperlink"/>
            <w:noProof/>
          </w:rPr>
          <w:t>Charges and Fees</w:t>
        </w:r>
        <w:r w:rsidR="00655A5A">
          <w:rPr>
            <w:noProof/>
            <w:webHidden/>
          </w:rPr>
          <w:tab/>
        </w:r>
        <w:r w:rsidR="00655A5A">
          <w:rPr>
            <w:noProof/>
            <w:webHidden/>
          </w:rPr>
          <w:fldChar w:fldCharType="begin"/>
        </w:r>
        <w:r w:rsidR="00655A5A">
          <w:rPr>
            <w:noProof/>
            <w:webHidden/>
          </w:rPr>
          <w:instrText xml:space="preserve"> PAGEREF _Toc176527325 \h </w:instrText>
        </w:r>
        <w:r w:rsidR="00655A5A">
          <w:rPr>
            <w:noProof/>
            <w:webHidden/>
          </w:rPr>
        </w:r>
        <w:r w:rsidR="00655A5A">
          <w:rPr>
            <w:noProof/>
            <w:webHidden/>
          </w:rPr>
          <w:fldChar w:fldCharType="separate"/>
        </w:r>
        <w:r w:rsidR="005131C4">
          <w:rPr>
            <w:noProof/>
            <w:webHidden/>
          </w:rPr>
          <w:t>11</w:t>
        </w:r>
        <w:r w:rsidR="00655A5A">
          <w:rPr>
            <w:noProof/>
            <w:webHidden/>
          </w:rPr>
          <w:fldChar w:fldCharType="end"/>
        </w:r>
      </w:hyperlink>
    </w:p>
    <w:p w14:paraId="4510FBB7" w14:textId="072CCCB2" w:rsidR="00655A5A" w:rsidRDefault="00E74BF5">
      <w:pPr>
        <w:pStyle w:val="TOC1"/>
        <w:rPr>
          <w:rFonts w:asciiTheme="minorHAnsi" w:eastAsiaTheme="minorEastAsia" w:hAnsiTheme="minorHAnsi" w:cstheme="minorBidi"/>
          <w:noProof/>
          <w:sz w:val="22"/>
          <w:szCs w:val="22"/>
        </w:rPr>
      </w:pPr>
      <w:hyperlink w:anchor="_Toc176527326" w:history="1">
        <w:r w:rsidR="00655A5A" w:rsidRPr="005A2BA5">
          <w:rPr>
            <w:rStyle w:val="Hyperlink"/>
            <w:noProof/>
          </w:rPr>
          <w:t>9.</w:t>
        </w:r>
        <w:r w:rsidR="00655A5A">
          <w:rPr>
            <w:rFonts w:asciiTheme="minorHAnsi" w:eastAsiaTheme="minorEastAsia" w:hAnsiTheme="minorHAnsi" w:cstheme="minorBidi"/>
            <w:noProof/>
            <w:sz w:val="22"/>
            <w:szCs w:val="22"/>
          </w:rPr>
          <w:tab/>
        </w:r>
        <w:r w:rsidR="00655A5A" w:rsidRPr="005A2BA5">
          <w:rPr>
            <w:rStyle w:val="Hyperlink"/>
            <w:noProof/>
          </w:rPr>
          <w:t>Time Limits for Compliance with Requests</w:t>
        </w:r>
        <w:r w:rsidR="00655A5A">
          <w:rPr>
            <w:noProof/>
            <w:webHidden/>
          </w:rPr>
          <w:tab/>
        </w:r>
        <w:r w:rsidR="00655A5A">
          <w:rPr>
            <w:noProof/>
            <w:webHidden/>
          </w:rPr>
          <w:fldChar w:fldCharType="begin"/>
        </w:r>
        <w:r w:rsidR="00655A5A">
          <w:rPr>
            <w:noProof/>
            <w:webHidden/>
          </w:rPr>
          <w:instrText xml:space="preserve"> PAGEREF _Toc176527326 \h </w:instrText>
        </w:r>
        <w:r w:rsidR="00655A5A">
          <w:rPr>
            <w:noProof/>
            <w:webHidden/>
          </w:rPr>
        </w:r>
        <w:r w:rsidR="00655A5A">
          <w:rPr>
            <w:noProof/>
            <w:webHidden/>
          </w:rPr>
          <w:fldChar w:fldCharType="separate"/>
        </w:r>
        <w:r w:rsidR="005131C4">
          <w:rPr>
            <w:noProof/>
            <w:webHidden/>
          </w:rPr>
          <w:t>12</w:t>
        </w:r>
        <w:r w:rsidR="00655A5A">
          <w:rPr>
            <w:noProof/>
            <w:webHidden/>
          </w:rPr>
          <w:fldChar w:fldCharType="end"/>
        </w:r>
      </w:hyperlink>
    </w:p>
    <w:p w14:paraId="37957C11" w14:textId="3B67EBBB" w:rsidR="00655A5A" w:rsidRDefault="00E74BF5">
      <w:pPr>
        <w:pStyle w:val="TOC1"/>
        <w:rPr>
          <w:rFonts w:asciiTheme="minorHAnsi" w:eastAsiaTheme="minorEastAsia" w:hAnsiTheme="minorHAnsi" w:cstheme="minorBidi"/>
          <w:noProof/>
          <w:sz w:val="22"/>
          <w:szCs w:val="22"/>
        </w:rPr>
      </w:pPr>
      <w:hyperlink w:anchor="_Toc176527327" w:history="1">
        <w:r w:rsidR="00655A5A" w:rsidRPr="005A2BA5">
          <w:rPr>
            <w:rStyle w:val="Hyperlink"/>
            <w:noProof/>
          </w:rPr>
          <w:t>10.</w:t>
        </w:r>
        <w:r w:rsidR="00655A5A">
          <w:rPr>
            <w:rFonts w:asciiTheme="minorHAnsi" w:eastAsiaTheme="minorEastAsia" w:hAnsiTheme="minorHAnsi" w:cstheme="minorBidi"/>
            <w:noProof/>
            <w:sz w:val="22"/>
            <w:szCs w:val="22"/>
          </w:rPr>
          <w:tab/>
        </w:r>
        <w:r w:rsidR="00655A5A" w:rsidRPr="005A2BA5">
          <w:rPr>
            <w:rStyle w:val="Hyperlink"/>
            <w:noProof/>
          </w:rPr>
          <w:t>Means by which Information will be Conveyed</w:t>
        </w:r>
        <w:r w:rsidR="00655A5A">
          <w:rPr>
            <w:noProof/>
            <w:webHidden/>
          </w:rPr>
          <w:tab/>
        </w:r>
        <w:r w:rsidR="00655A5A">
          <w:rPr>
            <w:noProof/>
            <w:webHidden/>
          </w:rPr>
          <w:fldChar w:fldCharType="begin"/>
        </w:r>
        <w:r w:rsidR="00655A5A">
          <w:rPr>
            <w:noProof/>
            <w:webHidden/>
          </w:rPr>
          <w:instrText xml:space="preserve"> PAGEREF _Toc176527327 \h </w:instrText>
        </w:r>
        <w:r w:rsidR="00655A5A">
          <w:rPr>
            <w:noProof/>
            <w:webHidden/>
          </w:rPr>
        </w:r>
        <w:r w:rsidR="00655A5A">
          <w:rPr>
            <w:noProof/>
            <w:webHidden/>
          </w:rPr>
          <w:fldChar w:fldCharType="separate"/>
        </w:r>
        <w:r w:rsidR="005131C4">
          <w:rPr>
            <w:noProof/>
            <w:webHidden/>
          </w:rPr>
          <w:t>13</w:t>
        </w:r>
        <w:r w:rsidR="00655A5A">
          <w:rPr>
            <w:noProof/>
            <w:webHidden/>
          </w:rPr>
          <w:fldChar w:fldCharType="end"/>
        </w:r>
      </w:hyperlink>
    </w:p>
    <w:p w14:paraId="7CC567D2" w14:textId="3B708C65" w:rsidR="00655A5A" w:rsidRDefault="00E74BF5">
      <w:pPr>
        <w:pStyle w:val="TOC1"/>
        <w:rPr>
          <w:rFonts w:asciiTheme="minorHAnsi" w:eastAsiaTheme="minorEastAsia" w:hAnsiTheme="minorHAnsi" w:cstheme="minorBidi"/>
          <w:noProof/>
          <w:sz w:val="22"/>
          <w:szCs w:val="22"/>
        </w:rPr>
      </w:pPr>
      <w:hyperlink w:anchor="_Toc176527328" w:history="1">
        <w:r w:rsidR="00655A5A" w:rsidRPr="005A2BA5">
          <w:rPr>
            <w:rStyle w:val="Hyperlink"/>
            <w:noProof/>
          </w:rPr>
          <w:t>11.</w:t>
        </w:r>
        <w:r w:rsidR="00655A5A">
          <w:rPr>
            <w:rFonts w:asciiTheme="minorHAnsi" w:eastAsiaTheme="minorEastAsia" w:hAnsiTheme="minorHAnsi" w:cstheme="minorBidi"/>
            <w:noProof/>
            <w:sz w:val="22"/>
            <w:szCs w:val="22"/>
          </w:rPr>
          <w:tab/>
        </w:r>
        <w:r w:rsidR="00655A5A" w:rsidRPr="005A2BA5">
          <w:rPr>
            <w:rStyle w:val="Hyperlink"/>
            <w:noProof/>
          </w:rPr>
          <w:t>Refusal of Requests</w:t>
        </w:r>
        <w:r w:rsidR="00655A5A">
          <w:rPr>
            <w:noProof/>
            <w:webHidden/>
          </w:rPr>
          <w:tab/>
        </w:r>
        <w:r w:rsidR="00655A5A">
          <w:rPr>
            <w:noProof/>
            <w:webHidden/>
          </w:rPr>
          <w:fldChar w:fldCharType="begin"/>
        </w:r>
        <w:r w:rsidR="00655A5A">
          <w:rPr>
            <w:noProof/>
            <w:webHidden/>
          </w:rPr>
          <w:instrText xml:space="preserve"> PAGEREF _Toc176527328 \h </w:instrText>
        </w:r>
        <w:r w:rsidR="00655A5A">
          <w:rPr>
            <w:noProof/>
            <w:webHidden/>
          </w:rPr>
        </w:r>
        <w:r w:rsidR="00655A5A">
          <w:rPr>
            <w:noProof/>
            <w:webHidden/>
          </w:rPr>
          <w:fldChar w:fldCharType="separate"/>
        </w:r>
        <w:r w:rsidR="005131C4">
          <w:rPr>
            <w:noProof/>
            <w:webHidden/>
          </w:rPr>
          <w:t>13</w:t>
        </w:r>
        <w:r w:rsidR="00655A5A">
          <w:rPr>
            <w:noProof/>
            <w:webHidden/>
          </w:rPr>
          <w:fldChar w:fldCharType="end"/>
        </w:r>
      </w:hyperlink>
    </w:p>
    <w:p w14:paraId="3C2CE6B7" w14:textId="541CD7AE" w:rsidR="00655A5A" w:rsidRDefault="00E74BF5">
      <w:pPr>
        <w:pStyle w:val="TOC1"/>
        <w:rPr>
          <w:rFonts w:asciiTheme="minorHAnsi" w:eastAsiaTheme="minorEastAsia" w:hAnsiTheme="minorHAnsi" w:cstheme="minorBidi"/>
          <w:noProof/>
          <w:sz w:val="22"/>
          <w:szCs w:val="22"/>
        </w:rPr>
      </w:pPr>
      <w:hyperlink w:anchor="_Toc176527329" w:history="1">
        <w:r w:rsidR="00655A5A" w:rsidRPr="005A2BA5">
          <w:rPr>
            <w:rStyle w:val="Hyperlink"/>
            <w:noProof/>
          </w:rPr>
          <w:t>12.</w:t>
        </w:r>
        <w:r w:rsidR="00655A5A">
          <w:rPr>
            <w:rFonts w:asciiTheme="minorHAnsi" w:eastAsiaTheme="minorEastAsia" w:hAnsiTheme="minorHAnsi" w:cstheme="minorBidi"/>
            <w:noProof/>
            <w:sz w:val="22"/>
            <w:szCs w:val="22"/>
          </w:rPr>
          <w:tab/>
        </w:r>
        <w:r w:rsidR="00655A5A" w:rsidRPr="005A2BA5">
          <w:rPr>
            <w:rStyle w:val="Hyperlink"/>
            <w:noProof/>
          </w:rPr>
          <w:t>Duty to Provide Advice and Assistance</w:t>
        </w:r>
        <w:r w:rsidR="00655A5A">
          <w:rPr>
            <w:noProof/>
            <w:webHidden/>
          </w:rPr>
          <w:tab/>
        </w:r>
        <w:r w:rsidR="00655A5A">
          <w:rPr>
            <w:noProof/>
            <w:webHidden/>
          </w:rPr>
          <w:fldChar w:fldCharType="begin"/>
        </w:r>
        <w:r w:rsidR="00655A5A">
          <w:rPr>
            <w:noProof/>
            <w:webHidden/>
          </w:rPr>
          <w:instrText xml:space="preserve"> PAGEREF _Toc176527329 \h </w:instrText>
        </w:r>
        <w:r w:rsidR="00655A5A">
          <w:rPr>
            <w:noProof/>
            <w:webHidden/>
          </w:rPr>
        </w:r>
        <w:r w:rsidR="00655A5A">
          <w:rPr>
            <w:noProof/>
            <w:webHidden/>
          </w:rPr>
          <w:fldChar w:fldCharType="separate"/>
        </w:r>
        <w:r w:rsidR="005131C4">
          <w:rPr>
            <w:noProof/>
            <w:webHidden/>
          </w:rPr>
          <w:t>15</w:t>
        </w:r>
        <w:r w:rsidR="00655A5A">
          <w:rPr>
            <w:noProof/>
            <w:webHidden/>
          </w:rPr>
          <w:fldChar w:fldCharType="end"/>
        </w:r>
      </w:hyperlink>
    </w:p>
    <w:p w14:paraId="219BC509" w14:textId="7D08B4AB" w:rsidR="00655A5A" w:rsidRDefault="00E74BF5">
      <w:pPr>
        <w:pStyle w:val="TOC1"/>
        <w:rPr>
          <w:rFonts w:asciiTheme="minorHAnsi" w:eastAsiaTheme="minorEastAsia" w:hAnsiTheme="minorHAnsi" w:cstheme="minorBidi"/>
          <w:noProof/>
          <w:sz w:val="22"/>
          <w:szCs w:val="22"/>
        </w:rPr>
      </w:pPr>
      <w:hyperlink w:anchor="_Toc176527330" w:history="1">
        <w:r w:rsidR="00655A5A" w:rsidRPr="005A2BA5">
          <w:rPr>
            <w:rStyle w:val="Hyperlink"/>
            <w:noProof/>
          </w:rPr>
          <w:t>13.</w:t>
        </w:r>
        <w:r w:rsidR="00655A5A">
          <w:rPr>
            <w:rFonts w:asciiTheme="minorHAnsi" w:eastAsiaTheme="minorEastAsia" w:hAnsiTheme="minorHAnsi" w:cstheme="minorBidi"/>
            <w:noProof/>
            <w:sz w:val="22"/>
            <w:szCs w:val="22"/>
          </w:rPr>
          <w:tab/>
        </w:r>
        <w:r w:rsidR="00655A5A" w:rsidRPr="005A2BA5">
          <w:rPr>
            <w:rStyle w:val="Hyperlink"/>
            <w:noProof/>
          </w:rPr>
          <w:t>Transferring Requests for Information</w:t>
        </w:r>
        <w:r w:rsidR="00655A5A">
          <w:rPr>
            <w:noProof/>
            <w:webHidden/>
          </w:rPr>
          <w:tab/>
        </w:r>
        <w:r w:rsidR="00655A5A">
          <w:rPr>
            <w:noProof/>
            <w:webHidden/>
          </w:rPr>
          <w:fldChar w:fldCharType="begin"/>
        </w:r>
        <w:r w:rsidR="00655A5A">
          <w:rPr>
            <w:noProof/>
            <w:webHidden/>
          </w:rPr>
          <w:instrText xml:space="preserve"> PAGEREF _Toc176527330 \h </w:instrText>
        </w:r>
        <w:r w:rsidR="00655A5A">
          <w:rPr>
            <w:noProof/>
            <w:webHidden/>
          </w:rPr>
        </w:r>
        <w:r w:rsidR="00655A5A">
          <w:rPr>
            <w:noProof/>
            <w:webHidden/>
          </w:rPr>
          <w:fldChar w:fldCharType="separate"/>
        </w:r>
        <w:r w:rsidR="005131C4">
          <w:rPr>
            <w:noProof/>
            <w:webHidden/>
          </w:rPr>
          <w:t>15</w:t>
        </w:r>
        <w:r w:rsidR="00655A5A">
          <w:rPr>
            <w:noProof/>
            <w:webHidden/>
          </w:rPr>
          <w:fldChar w:fldCharType="end"/>
        </w:r>
      </w:hyperlink>
    </w:p>
    <w:p w14:paraId="6FE2B9D7" w14:textId="17D73EB2" w:rsidR="00655A5A" w:rsidRDefault="00E74BF5">
      <w:pPr>
        <w:pStyle w:val="TOC1"/>
        <w:rPr>
          <w:rFonts w:asciiTheme="minorHAnsi" w:eastAsiaTheme="minorEastAsia" w:hAnsiTheme="minorHAnsi" w:cstheme="minorBidi"/>
          <w:noProof/>
          <w:sz w:val="22"/>
          <w:szCs w:val="22"/>
        </w:rPr>
      </w:pPr>
      <w:hyperlink w:anchor="_Toc176527331" w:history="1">
        <w:r w:rsidR="00655A5A" w:rsidRPr="005A2BA5">
          <w:rPr>
            <w:rStyle w:val="Hyperlink"/>
            <w:noProof/>
          </w:rPr>
          <w:t>14.</w:t>
        </w:r>
        <w:r w:rsidR="00655A5A">
          <w:rPr>
            <w:rFonts w:asciiTheme="minorHAnsi" w:eastAsiaTheme="minorEastAsia" w:hAnsiTheme="minorHAnsi" w:cstheme="minorBidi"/>
            <w:noProof/>
            <w:sz w:val="22"/>
            <w:szCs w:val="22"/>
          </w:rPr>
          <w:tab/>
        </w:r>
        <w:r w:rsidR="00655A5A" w:rsidRPr="005A2BA5">
          <w:rPr>
            <w:rStyle w:val="Hyperlink"/>
            <w:noProof/>
          </w:rPr>
          <w:t>Complaints about the Discharge of the Duties of the Trust under the Act</w:t>
        </w:r>
        <w:r w:rsidR="00655A5A">
          <w:rPr>
            <w:noProof/>
            <w:webHidden/>
          </w:rPr>
          <w:tab/>
        </w:r>
        <w:r w:rsidR="00655A5A">
          <w:rPr>
            <w:noProof/>
            <w:webHidden/>
          </w:rPr>
          <w:fldChar w:fldCharType="begin"/>
        </w:r>
        <w:r w:rsidR="00655A5A">
          <w:rPr>
            <w:noProof/>
            <w:webHidden/>
          </w:rPr>
          <w:instrText xml:space="preserve"> PAGEREF _Toc176527331 \h </w:instrText>
        </w:r>
        <w:r w:rsidR="00655A5A">
          <w:rPr>
            <w:noProof/>
            <w:webHidden/>
          </w:rPr>
        </w:r>
        <w:r w:rsidR="00655A5A">
          <w:rPr>
            <w:noProof/>
            <w:webHidden/>
          </w:rPr>
          <w:fldChar w:fldCharType="separate"/>
        </w:r>
        <w:r w:rsidR="005131C4">
          <w:rPr>
            <w:noProof/>
            <w:webHidden/>
          </w:rPr>
          <w:t>16</w:t>
        </w:r>
        <w:r w:rsidR="00655A5A">
          <w:rPr>
            <w:noProof/>
            <w:webHidden/>
          </w:rPr>
          <w:fldChar w:fldCharType="end"/>
        </w:r>
      </w:hyperlink>
    </w:p>
    <w:p w14:paraId="6800698F" w14:textId="36204553" w:rsidR="00655A5A" w:rsidRDefault="00E74BF5">
      <w:pPr>
        <w:pStyle w:val="TOC1"/>
        <w:rPr>
          <w:rFonts w:asciiTheme="minorHAnsi" w:eastAsiaTheme="minorEastAsia" w:hAnsiTheme="minorHAnsi" w:cstheme="minorBidi"/>
          <w:noProof/>
          <w:sz w:val="22"/>
          <w:szCs w:val="22"/>
        </w:rPr>
      </w:pPr>
      <w:hyperlink w:anchor="_Toc176527332" w:history="1">
        <w:r w:rsidR="00655A5A" w:rsidRPr="005A2BA5">
          <w:rPr>
            <w:rStyle w:val="Hyperlink"/>
            <w:noProof/>
          </w:rPr>
          <w:t>15.</w:t>
        </w:r>
        <w:r w:rsidR="00655A5A">
          <w:rPr>
            <w:rFonts w:asciiTheme="minorHAnsi" w:eastAsiaTheme="minorEastAsia" w:hAnsiTheme="minorHAnsi" w:cstheme="minorBidi"/>
            <w:noProof/>
            <w:sz w:val="22"/>
            <w:szCs w:val="22"/>
          </w:rPr>
          <w:tab/>
        </w:r>
        <w:r w:rsidR="00655A5A" w:rsidRPr="005A2BA5">
          <w:rPr>
            <w:rStyle w:val="Hyperlink"/>
            <w:noProof/>
          </w:rPr>
          <w:t>Publication Scheme</w:t>
        </w:r>
        <w:r w:rsidR="00655A5A">
          <w:rPr>
            <w:noProof/>
            <w:webHidden/>
          </w:rPr>
          <w:tab/>
        </w:r>
        <w:r w:rsidR="00655A5A">
          <w:rPr>
            <w:noProof/>
            <w:webHidden/>
          </w:rPr>
          <w:fldChar w:fldCharType="begin"/>
        </w:r>
        <w:r w:rsidR="00655A5A">
          <w:rPr>
            <w:noProof/>
            <w:webHidden/>
          </w:rPr>
          <w:instrText xml:space="preserve"> PAGEREF _Toc176527332 \h </w:instrText>
        </w:r>
        <w:r w:rsidR="00655A5A">
          <w:rPr>
            <w:noProof/>
            <w:webHidden/>
          </w:rPr>
        </w:r>
        <w:r w:rsidR="00655A5A">
          <w:rPr>
            <w:noProof/>
            <w:webHidden/>
          </w:rPr>
          <w:fldChar w:fldCharType="separate"/>
        </w:r>
        <w:r w:rsidR="005131C4">
          <w:rPr>
            <w:noProof/>
            <w:webHidden/>
          </w:rPr>
          <w:t>17</w:t>
        </w:r>
        <w:r w:rsidR="00655A5A">
          <w:rPr>
            <w:noProof/>
            <w:webHidden/>
          </w:rPr>
          <w:fldChar w:fldCharType="end"/>
        </w:r>
      </w:hyperlink>
    </w:p>
    <w:p w14:paraId="72DE87E9" w14:textId="00D5FB94" w:rsidR="00655A5A" w:rsidRDefault="00E74BF5">
      <w:pPr>
        <w:pStyle w:val="TOC1"/>
        <w:rPr>
          <w:rFonts w:asciiTheme="minorHAnsi" w:eastAsiaTheme="minorEastAsia" w:hAnsiTheme="minorHAnsi" w:cstheme="minorBidi"/>
          <w:noProof/>
          <w:sz w:val="22"/>
          <w:szCs w:val="22"/>
        </w:rPr>
      </w:pPr>
      <w:hyperlink w:anchor="_Toc176527333" w:history="1">
        <w:r w:rsidR="00655A5A" w:rsidRPr="005A2BA5">
          <w:rPr>
            <w:rStyle w:val="Hyperlink"/>
            <w:noProof/>
          </w:rPr>
          <w:t>16.</w:t>
        </w:r>
        <w:r w:rsidR="00655A5A">
          <w:rPr>
            <w:rFonts w:asciiTheme="minorHAnsi" w:eastAsiaTheme="minorEastAsia" w:hAnsiTheme="minorHAnsi" w:cstheme="minorBidi"/>
            <w:noProof/>
            <w:sz w:val="22"/>
            <w:szCs w:val="22"/>
          </w:rPr>
          <w:tab/>
        </w:r>
        <w:r w:rsidR="00655A5A" w:rsidRPr="005A2BA5">
          <w:rPr>
            <w:rStyle w:val="Hyperlink"/>
            <w:noProof/>
          </w:rPr>
          <w:t>Information Requests - Consultation with Third Parties</w:t>
        </w:r>
        <w:r w:rsidR="00655A5A">
          <w:rPr>
            <w:noProof/>
            <w:webHidden/>
          </w:rPr>
          <w:tab/>
        </w:r>
        <w:r w:rsidR="00655A5A">
          <w:rPr>
            <w:noProof/>
            <w:webHidden/>
          </w:rPr>
          <w:fldChar w:fldCharType="begin"/>
        </w:r>
        <w:r w:rsidR="00655A5A">
          <w:rPr>
            <w:noProof/>
            <w:webHidden/>
          </w:rPr>
          <w:instrText xml:space="preserve"> PAGEREF _Toc176527333 \h </w:instrText>
        </w:r>
        <w:r w:rsidR="00655A5A">
          <w:rPr>
            <w:noProof/>
            <w:webHidden/>
          </w:rPr>
        </w:r>
        <w:r w:rsidR="00655A5A">
          <w:rPr>
            <w:noProof/>
            <w:webHidden/>
          </w:rPr>
          <w:fldChar w:fldCharType="separate"/>
        </w:r>
        <w:r w:rsidR="005131C4">
          <w:rPr>
            <w:noProof/>
            <w:webHidden/>
          </w:rPr>
          <w:t>17</w:t>
        </w:r>
        <w:r w:rsidR="00655A5A">
          <w:rPr>
            <w:noProof/>
            <w:webHidden/>
          </w:rPr>
          <w:fldChar w:fldCharType="end"/>
        </w:r>
      </w:hyperlink>
    </w:p>
    <w:p w14:paraId="5E10E43D" w14:textId="0D58F69A" w:rsidR="00655A5A" w:rsidRDefault="00E74BF5">
      <w:pPr>
        <w:pStyle w:val="TOC1"/>
        <w:rPr>
          <w:rFonts w:asciiTheme="minorHAnsi" w:eastAsiaTheme="minorEastAsia" w:hAnsiTheme="minorHAnsi" w:cstheme="minorBidi"/>
          <w:noProof/>
          <w:sz w:val="22"/>
          <w:szCs w:val="22"/>
        </w:rPr>
      </w:pPr>
      <w:hyperlink w:anchor="_Toc176527334" w:history="1">
        <w:r w:rsidR="00655A5A" w:rsidRPr="005A2BA5">
          <w:rPr>
            <w:rStyle w:val="Hyperlink"/>
            <w:noProof/>
          </w:rPr>
          <w:t>17.</w:t>
        </w:r>
        <w:r w:rsidR="00655A5A">
          <w:rPr>
            <w:rFonts w:asciiTheme="minorHAnsi" w:eastAsiaTheme="minorEastAsia" w:hAnsiTheme="minorHAnsi" w:cstheme="minorBidi"/>
            <w:noProof/>
            <w:sz w:val="22"/>
            <w:szCs w:val="22"/>
          </w:rPr>
          <w:tab/>
        </w:r>
        <w:r w:rsidR="00655A5A" w:rsidRPr="005A2BA5">
          <w:rPr>
            <w:rStyle w:val="Hyperlink"/>
            <w:noProof/>
          </w:rPr>
          <w:t>Accepting Information from Third parties</w:t>
        </w:r>
        <w:r w:rsidR="00655A5A">
          <w:rPr>
            <w:noProof/>
            <w:webHidden/>
          </w:rPr>
          <w:tab/>
        </w:r>
        <w:r w:rsidR="00655A5A">
          <w:rPr>
            <w:noProof/>
            <w:webHidden/>
          </w:rPr>
          <w:fldChar w:fldCharType="begin"/>
        </w:r>
        <w:r w:rsidR="00655A5A">
          <w:rPr>
            <w:noProof/>
            <w:webHidden/>
          </w:rPr>
          <w:instrText xml:space="preserve"> PAGEREF _Toc176527334 \h </w:instrText>
        </w:r>
        <w:r w:rsidR="00655A5A">
          <w:rPr>
            <w:noProof/>
            <w:webHidden/>
          </w:rPr>
        </w:r>
        <w:r w:rsidR="00655A5A">
          <w:rPr>
            <w:noProof/>
            <w:webHidden/>
          </w:rPr>
          <w:fldChar w:fldCharType="separate"/>
        </w:r>
        <w:r w:rsidR="005131C4">
          <w:rPr>
            <w:noProof/>
            <w:webHidden/>
          </w:rPr>
          <w:t>18</w:t>
        </w:r>
        <w:r w:rsidR="00655A5A">
          <w:rPr>
            <w:noProof/>
            <w:webHidden/>
          </w:rPr>
          <w:fldChar w:fldCharType="end"/>
        </w:r>
      </w:hyperlink>
    </w:p>
    <w:p w14:paraId="4910D5E5" w14:textId="7B1E8AD1" w:rsidR="00655A5A" w:rsidRDefault="00E74BF5">
      <w:pPr>
        <w:pStyle w:val="TOC1"/>
        <w:rPr>
          <w:rFonts w:asciiTheme="minorHAnsi" w:eastAsiaTheme="minorEastAsia" w:hAnsiTheme="minorHAnsi" w:cstheme="minorBidi"/>
          <w:noProof/>
          <w:sz w:val="22"/>
          <w:szCs w:val="22"/>
        </w:rPr>
      </w:pPr>
      <w:hyperlink w:anchor="_Toc176527335" w:history="1">
        <w:r w:rsidR="00655A5A" w:rsidRPr="005A2BA5">
          <w:rPr>
            <w:rStyle w:val="Hyperlink"/>
            <w:noProof/>
          </w:rPr>
          <w:t>18.</w:t>
        </w:r>
        <w:r w:rsidR="00655A5A">
          <w:rPr>
            <w:rFonts w:asciiTheme="minorHAnsi" w:eastAsiaTheme="minorEastAsia" w:hAnsiTheme="minorHAnsi" w:cstheme="minorBidi"/>
            <w:noProof/>
            <w:sz w:val="22"/>
            <w:szCs w:val="22"/>
          </w:rPr>
          <w:tab/>
        </w:r>
        <w:r w:rsidR="00655A5A" w:rsidRPr="005A2BA5">
          <w:rPr>
            <w:rStyle w:val="Hyperlink"/>
            <w:noProof/>
          </w:rPr>
          <w:t>Policy Development, Approval and Authorisation</w:t>
        </w:r>
        <w:r w:rsidR="00655A5A">
          <w:rPr>
            <w:noProof/>
            <w:webHidden/>
          </w:rPr>
          <w:tab/>
        </w:r>
        <w:r w:rsidR="00655A5A">
          <w:rPr>
            <w:noProof/>
            <w:webHidden/>
          </w:rPr>
          <w:fldChar w:fldCharType="begin"/>
        </w:r>
        <w:r w:rsidR="00655A5A">
          <w:rPr>
            <w:noProof/>
            <w:webHidden/>
          </w:rPr>
          <w:instrText xml:space="preserve"> PAGEREF _Toc176527335 \h </w:instrText>
        </w:r>
        <w:r w:rsidR="00655A5A">
          <w:rPr>
            <w:noProof/>
            <w:webHidden/>
          </w:rPr>
        </w:r>
        <w:r w:rsidR="00655A5A">
          <w:rPr>
            <w:noProof/>
            <w:webHidden/>
          </w:rPr>
          <w:fldChar w:fldCharType="separate"/>
        </w:r>
        <w:r w:rsidR="005131C4">
          <w:rPr>
            <w:noProof/>
            <w:webHidden/>
          </w:rPr>
          <w:t>18</w:t>
        </w:r>
        <w:r w:rsidR="00655A5A">
          <w:rPr>
            <w:noProof/>
            <w:webHidden/>
          </w:rPr>
          <w:fldChar w:fldCharType="end"/>
        </w:r>
      </w:hyperlink>
    </w:p>
    <w:p w14:paraId="25EA94F3" w14:textId="3D0142F1" w:rsidR="00655A5A" w:rsidRDefault="00E74BF5">
      <w:pPr>
        <w:pStyle w:val="TOC1"/>
        <w:rPr>
          <w:rFonts w:asciiTheme="minorHAnsi" w:eastAsiaTheme="minorEastAsia" w:hAnsiTheme="minorHAnsi" w:cstheme="minorBidi"/>
          <w:noProof/>
          <w:sz w:val="22"/>
          <w:szCs w:val="22"/>
        </w:rPr>
      </w:pPr>
      <w:hyperlink w:anchor="_Toc176527336" w:history="1">
        <w:r w:rsidR="00655A5A" w:rsidRPr="005A2BA5">
          <w:rPr>
            <w:rStyle w:val="Hyperlink"/>
            <w:noProof/>
          </w:rPr>
          <w:t>19.</w:t>
        </w:r>
        <w:r w:rsidR="00655A5A">
          <w:rPr>
            <w:rFonts w:asciiTheme="minorHAnsi" w:eastAsiaTheme="minorEastAsia" w:hAnsiTheme="minorHAnsi" w:cstheme="minorBidi"/>
            <w:noProof/>
            <w:sz w:val="22"/>
            <w:szCs w:val="22"/>
          </w:rPr>
          <w:tab/>
        </w:r>
        <w:r w:rsidR="00655A5A" w:rsidRPr="005A2BA5">
          <w:rPr>
            <w:rStyle w:val="Hyperlink"/>
            <w:noProof/>
          </w:rPr>
          <w:t>Review and Revision Arrangements</w:t>
        </w:r>
        <w:r w:rsidR="00655A5A">
          <w:rPr>
            <w:noProof/>
            <w:webHidden/>
          </w:rPr>
          <w:tab/>
        </w:r>
        <w:r w:rsidR="00655A5A">
          <w:rPr>
            <w:noProof/>
            <w:webHidden/>
          </w:rPr>
          <w:fldChar w:fldCharType="begin"/>
        </w:r>
        <w:r w:rsidR="00655A5A">
          <w:rPr>
            <w:noProof/>
            <w:webHidden/>
          </w:rPr>
          <w:instrText xml:space="preserve"> PAGEREF _Toc176527336 \h </w:instrText>
        </w:r>
        <w:r w:rsidR="00655A5A">
          <w:rPr>
            <w:noProof/>
            <w:webHidden/>
          </w:rPr>
        </w:r>
        <w:r w:rsidR="00655A5A">
          <w:rPr>
            <w:noProof/>
            <w:webHidden/>
          </w:rPr>
          <w:fldChar w:fldCharType="separate"/>
        </w:r>
        <w:r w:rsidR="005131C4">
          <w:rPr>
            <w:noProof/>
            <w:webHidden/>
          </w:rPr>
          <w:t>19</w:t>
        </w:r>
        <w:r w:rsidR="00655A5A">
          <w:rPr>
            <w:noProof/>
            <w:webHidden/>
          </w:rPr>
          <w:fldChar w:fldCharType="end"/>
        </w:r>
      </w:hyperlink>
    </w:p>
    <w:p w14:paraId="3360F130" w14:textId="5157C5BC" w:rsidR="00655A5A" w:rsidRDefault="00E74BF5">
      <w:pPr>
        <w:pStyle w:val="TOC1"/>
        <w:rPr>
          <w:rFonts w:asciiTheme="minorHAnsi" w:eastAsiaTheme="minorEastAsia" w:hAnsiTheme="minorHAnsi" w:cstheme="minorBidi"/>
          <w:noProof/>
          <w:sz w:val="22"/>
          <w:szCs w:val="22"/>
        </w:rPr>
      </w:pPr>
      <w:hyperlink w:anchor="_Toc176527337" w:history="1">
        <w:r w:rsidR="00655A5A" w:rsidRPr="005A2BA5">
          <w:rPr>
            <w:rStyle w:val="Hyperlink"/>
            <w:noProof/>
          </w:rPr>
          <w:t>20.</w:t>
        </w:r>
        <w:r w:rsidR="00655A5A">
          <w:rPr>
            <w:rFonts w:asciiTheme="minorHAnsi" w:eastAsiaTheme="minorEastAsia" w:hAnsiTheme="minorHAnsi" w:cstheme="minorBidi"/>
            <w:noProof/>
            <w:sz w:val="22"/>
            <w:szCs w:val="22"/>
          </w:rPr>
          <w:tab/>
        </w:r>
        <w:r w:rsidR="00655A5A" w:rsidRPr="005A2BA5">
          <w:rPr>
            <w:rStyle w:val="Hyperlink"/>
            <w:noProof/>
          </w:rPr>
          <w:t>Policy Implementation</w:t>
        </w:r>
        <w:r w:rsidR="00655A5A">
          <w:rPr>
            <w:noProof/>
            <w:webHidden/>
          </w:rPr>
          <w:tab/>
        </w:r>
        <w:r w:rsidR="00655A5A">
          <w:rPr>
            <w:noProof/>
            <w:webHidden/>
          </w:rPr>
          <w:fldChar w:fldCharType="begin"/>
        </w:r>
        <w:r w:rsidR="00655A5A">
          <w:rPr>
            <w:noProof/>
            <w:webHidden/>
          </w:rPr>
          <w:instrText xml:space="preserve"> PAGEREF _Toc176527337 \h </w:instrText>
        </w:r>
        <w:r w:rsidR="00655A5A">
          <w:rPr>
            <w:noProof/>
            <w:webHidden/>
          </w:rPr>
        </w:r>
        <w:r w:rsidR="00655A5A">
          <w:rPr>
            <w:noProof/>
            <w:webHidden/>
          </w:rPr>
          <w:fldChar w:fldCharType="separate"/>
        </w:r>
        <w:r w:rsidR="005131C4">
          <w:rPr>
            <w:noProof/>
            <w:webHidden/>
          </w:rPr>
          <w:t>19</w:t>
        </w:r>
        <w:r w:rsidR="00655A5A">
          <w:rPr>
            <w:noProof/>
            <w:webHidden/>
          </w:rPr>
          <w:fldChar w:fldCharType="end"/>
        </w:r>
      </w:hyperlink>
    </w:p>
    <w:p w14:paraId="2911A025" w14:textId="34ADF198" w:rsidR="00655A5A" w:rsidRDefault="00E74BF5">
      <w:pPr>
        <w:pStyle w:val="TOC1"/>
        <w:rPr>
          <w:rFonts w:asciiTheme="minorHAnsi" w:eastAsiaTheme="minorEastAsia" w:hAnsiTheme="minorHAnsi" w:cstheme="minorBidi"/>
          <w:noProof/>
          <w:sz w:val="22"/>
          <w:szCs w:val="22"/>
        </w:rPr>
      </w:pPr>
      <w:hyperlink w:anchor="_Toc176527338" w:history="1">
        <w:r w:rsidR="00655A5A" w:rsidRPr="005A2BA5">
          <w:rPr>
            <w:rStyle w:val="Hyperlink"/>
            <w:noProof/>
          </w:rPr>
          <w:t>21.</w:t>
        </w:r>
        <w:r w:rsidR="00655A5A">
          <w:rPr>
            <w:rFonts w:asciiTheme="minorHAnsi" w:eastAsiaTheme="minorEastAsia" w:hAnsiTheme="minorHAnsi" w:cstheme="minorBidi"/>
            <w:noProof/>
            <w:sz w:val="22"/>
            <w:szCs w:val="22"/>
          </w:rPr>
          <w:tab/>
        </w:r>
        <w:r w:rsidR="00655A5A" w:rsidRPr="005A2BA5">
          <w:rPr>
            <w:rStyle w:val="Hyperlink"/>
            <w:noProof/>
          </w:rPr>
          <w:t>Document Control including Archiving Arrangements</w:t>
        </w:r>
        <w:r w:rsidR="00655A5A">
          <w:rPr>
            <w:noProof/>
            <w:webHidden/>
          </w:rPr>
          <w:tab/>
        </w:r>
        <w:r w:rsidR="00655A5A">
          <w:rPr>
            <w:noProof/>
            <w:webHidden/>
          </w:rPr>
          <w:fldChar w:fldCharType="begin"/>
        </w:r>
        <w:r w:rsidR="00655A5A">
          <w:rPr>
            <w:noProof/>
            <w:webHidden/>
          </w:rPr>
          <w:instrText xml:space="preserve"> PAGEREF _Toc176527338 \h </w:instrText>
        </w:r>
        <w:r w:rsidR="00655A5A">
          <w:rPr>
            <w:noProof/>
            <w:webHidden/>
          </w:rPr>
        </w:r>
        <w:r w:rsidR="00655A5A">
          <w:rPr>
            <w:noProof/>
            <w:webHidden/>
          </w:rPr>
          <w:fldChar w:fldCharType="separate"/>
        </w:r>
        <w:r w:rsidR="005131C4">
          <w:rPr>
            <w:noProof/>
            <w:webHidden/>
          </w:rPr>
          <w:t>19</w:t>
        </w:r>
        <w:r w:rsidR="00655A5A">
          <w:rPr>
            <w:noProof/>
            <w:webHidden/>
          </w:rPr>
          <w:fldChar w:fldCharType="end"/>
        </w:r>
      </w:hyperlink>
    </w:p>
    <w:p w14:paraId="24397FE3" w14:textId="583A7D8D" w:rsidR="00655A5A" w:rsidRDefault="00E74BF5">
      <w:pPr>
        <w:pStyle w:val="TOC1"/>
        <w:rPr>
          <w:rFonts w:asciiTheme="minorHAnsi" w:eastAsiaTheme="minorEastAsia" w:hAnsiTheme="minorHAnsi" w:cstheme="minorBidi"/>
          <w:noProof/>
          <w:sz w:val="22"/>
          <w:szCs w:val="22"/>
        </w:rPr>
      </w:pPr>
      <w:hyperlink w:anchor="_Toc176527339" w:history="1">
        <w:r w:rsidR="00655A5A" w:rsidRPr="005A2BA5">
          <w:rPr>
            <w:rStyle w:val="Hyperlink"/>
            <w:noProof/>
          </w:rPr>
          <w:t>22.</w:t>
        </w:r>
        <w:r w:rsidR="00655A5A">
          <w:rPr>
            <w:rFonts w:asciiTheme="minorHAnsi" w:eastAsiaTheme="minorEastAsia" w:hAnsiTheme="minorHAnsi" w:cstheme="minorBidi"/>
            <w:noProof/>
            <w:sz w:val="22"/>
            <w:szCs w:val="22"/>
          </w:rPr>
          <w:tab/>
        </w:r>
        <w:r w:rsidR="00655A5A" w:rsidRPr="005A2BA5">
          <w:rPr>
            <w:rStyle w:val="Hyperlink"/>
            <w:noProof/>
          </w:rPr>
          <w:t>Monitoring Compliance</w:t>
        </w:r>
        <w:r w:rsidR="00655A5A">
          <w:rPr>
            <w:noProof/>
            <w:webHidden/>
          </w:rPr>
          <w:tab/>
        </w:r>
        <w:r w:rsidR="00655A5A">
          <w:rPr>
            <w:noProof/>
            <w:webHidden/>
          </w:rPr>
          <w:fldChar w:fldCharType="begin"/>
        </w:r>
        <w:r w:rsidR="00655A5A">
          <w:rPr>
            <w:noProof/>
            <w:webHidden/>
          </w:rPr>
          <w:instrText xml:space="preserve"> PAGEREF _Toc176527339 \h </w:instrText>
        </w:r>
        <w:r w:rsidR="00655A5A">
          <w:rPr>
            <w:noProof/>
            <w:webHidden/>
          </w:rPr>
        </w:r>
        <w:r w:rsidR="00655A5A">
          <w:rPr>
            <w:noProof/>
            <w:webHidden/>
          </w:rPr>
          <w:fldChar w:fldCharType="separate"/>
        </w:r>
        <w:r w:rsidR="005131C4">
          <w:rPr>
            <w:noProof/>
            <w:webHidden/>
          </w:rPr>
          <w:t>19</w:t>
        </w:r>
        <w:r w:rsidR="00655A5A">
          <w:rPr>
            <w:noProof/>
            <w:webHidden/>
          </w:rPr>
          <w:fldChar w:fldCharType="end"/>
        </w:r>
      </w:hyperlink>
    </w:p>
    <w:p w14:paraId="4CEBF624" w14:textId="391808E6" w:rsidR="00655A5A" w:rsidRDefault="00E74BF5">
      <w:pPr>
        <w:pStyle w:val="TOC1"/>
        <w:rPr>
          <w:rFonts w:asciiTheme="minorHAnsi" w:eastAsiaTheme="minorEastAsia" w:hAnsiTheme="minorHAnsi" w:cstheme="minorBidi"/>
          <w:noProof/>
          <w:sz w:val="22"/>
          <w:szCs w:val="22"/>
        </w:rPr>
      </w:pPr>
      <w:hyperlink w:anchor="_Toc176527340" w:history="1">
        <w:r w:rsidR="00655A5A" w:rsidRPr="005A2BA5">
          <w:rPr>
            <w:rStyle w:val="Hyperlink"/>
            <w:noProof/>
          </w:rPr>
          <w:t>23.</w:t>
        </w:r>
        <w:r w:rsidR="00655A5A">
          <w:rPr>
            <w:rFonts w:asciiTheme="minorHAnsi" w:eastAsiaTheme="minorEastAsia" w:hAnsiTheme="minorHAnsi" w:cstheme="minorBidi"/>
            <w:noProof/>
            <w:sz w:val="22"/>
            <w:szCs w:val="22"/>
          </w:rPr>
          <w:tab/>
        </w:r>
        <w:r w:rsidR="00655A5A" w:rsidRPr="005A2BA5">
          <w:rPr>
            <w:rStyle w:val="Hyperlink"/>
            <w:noProof/>
          </w:rPr>
          <w:t>References</w:t>
        </w:r>
        <w:r w:rsidR="00655A5A">
          <w:rPr>
            <w:noProof/>
            <w:webHidden/>
          </w:rPr>
          <w:tab/>
        </w:r>
        <w:r w:rsidR="00655A5A">
          <w:rPr>
            <w:noProof/>
            <w:webHidden/>
          </w:rPr>
          <w:fldChar w:fldCharType="begin"/>
        </w:r>
        <w:r w:rsidR="00655A5A">
          <w:rPr>
            <w:noProof/>
            <w:webHidden/>
          </w:rPr>
          <w:instrText xml:space="preserve"> PAGEREF _Toc176527340 \h </w:instrText>
        </w:r>
        <w:r w:rsidR="00655A5A">
          <w:rPr>
            <w:noProof/>
            <w:webHidden/>
          </w:rPr>
        </w:r>
        <w:r w:rsidR="00655A5A">
          <w:rPr>
            <w:noProof/>
            <w:webHidden/>
          </w:rPr>
          <w:fldChar w:fldCharType="separate"/>
        </w:r>
        <w:r w:rsidR="005131C4">
          <w:rPr>
            <w:noProof/>
            <w:webHidden/>
          </w:rPr>
          <w:t>20</w:t>
        </w:r>
        <w:r w:rsidR="00655A5A">
          <w:rPr>
            <w:noProof/>
            <w:webHidden/>
          </w:rPr>
          <w:fldChar w:fldCharType="end"/>
        </w:r>
      </w:hyperlink>
    </w:p>
    <w:p w14:paraId="134E9248" w14:textId="0A2CF3F9" w:rsidR="00655A5A" w:rsidRDefault="00E74BF5">
      <w:pPr>
        <w:pStyle w:val="TOC1"/>
        <w:rPr>
          <w:rFonts w:asciiTheme="minorHAnsi" w:eastAsiaTheme="minorEastAsia" w:hAnsiTheme="minorHAnsi" w:cstheme="minorBidi"/>
          <w:noProof/>
          <w:sz w:val="22"/>
          <w:szCs w:val="22"/>
        </w:rPr>
      </w:pPr>
      <w:hyperlink w:anchor="_Toc176527341" w:history="1">
        <w:r w:rsidR="00655A5A" w:rsidRPr="005A2BA5">
          <w:rPr>
            <w:rStyle w:val="Hyperlink"/>
            <w:noProof/>
          </w:rPr>
          <w:t>24.</w:t>
        </w:r>
        <w:r w:rsidR="00655A5A">
          <w:rPr>
            <w:rFonts w:asciiTheme="minorHAnsi" w:eastAsiaTheme="minorEastAsia" w:hAnsiTheme="minorHAnsi" w:cstheme="minorBidi"/>
            <w:noProof/>
            <w:sz w:val="22"/>
            <w:szCs w:val="22"/>
          </w:rPr>
          <w:tab/>
        </w:r>
        <w:r w:rsidR="00655A5A" w:rsidRPr="005A2BA5">
          <w:rPr>
            <w:rStyle w:val="Hyperlink"/>
            <w:noProof/>
          </w:rPr>
          <w:t>Appendices</w:t>
        </w:r>
        <w:r w:rsidR="00655A5A">
          <w:rPr>
            <w:noProof/>
            <w:webHidden/>
          </w:rPr>
          <w:tab/>
        </w:r>
        <w:r w:rsidR="00655A5A">
          <w:rPr>
            <w:noProof/>
            <w:webHidden/>
          </w:rPr>
          <w:fldChar w:fldCharType="begin"/>
        </w:r>
        <w:r w:rsidR="00655A5A">
          <w:rPr>
            <w:noProof/>
            <w:webHidden/>
          </w:rPr>
          <w:instrText xml:space="preserve"> PAGEREF _Toc176527341 \h </w:instrText>
        </w:r>
        <w:r w:rsidR="00655A5A">
          <w:rPr>
            <w:noProof/>
            <w:webHidden/>
          </w:rPr>
        </w:r>
        <w:r w:rsidR="00655A5A">
          <w:rPr>
            <w:noProof/>
            <w:webHidden/>
          </w:rPr>
          <w:fldChar w:fldCharType="separate"/>
        </w:r>
        <w:r w:rsidR="005131C4">
          <w:rPr>
            <w:noProof/>
            <w:webHidden/>
          </w:rPr>
          <w:t>20</w:t>
        </w:r>
        <w:r w:rsidR="00655A5A">
          <w:rPr>
            <w:noProof/>
            <w:webHidden/>
          </w:rPr>
          <w:fldChar w:fldCharType="end"/>
        </w:r>
      </w:hyperlink>
    </w:p>
    <w:p w14:paraId="484E8768" w14:textId="615491F2" w:rsidR="00655A5A" w:rsidRDefault="00E74BF5">
      <w:pPr>
        <w:pStyle w:val="TOC1"/>
        <w:rPr>
          <w:rFonts w:asciiTheme="minorHAnsi" w:eastAsiaTheme="minorEastAsia" w:hAnsiTheme="minorHAnsi" w:cstheme="minorBidi"/>
          <w:noProof/>
          <w:sz w:val="22"/>
          <w:szCs w:val="22"/>
        </w:rPr>
      </w:pPr>
      <w:hyperlink w:anchor="_Toc176527342" w:history="1">
        <w:r w:rsidR="00655A5A" w:rsidRPr="005A2BA5">
          <w:rPr>
            <w:rStyle w:val="Hyperlink"/>
            <w:noProof/>
          </w:rPr>
          <w:t>Appendix A – Exempt Information under Part II of the Freedom of Information Act 2000</w:t>
        </w:r>
        <w:r w:rsidR="00655A5A">
          <w:rPr>
            <w:noProof/>
            <w:webHidden/>
          </w:rPr>
          <w:tab/>
        </w:r>
        <w:r w:rsidR="00655A5A">
          <w:rPr>
            <w:noProof/>
            <w:webHidden/>
          </w:rPr>
          <w:fldChar w:fldCharType="begin"/>
        </w:r>
        <w:r w:rsidR="00655A5A">
          <w:rPr>
            <w:noProof/>
            <w:webHidden/>
          </w:rPr>
          <w:instrText xml:space="preserve"> PAGEREF _Toc176527342 \h </w:instrText>
        </w:r>
        <w:r w:rsidR="00655A5A">
          <w:rPr>
            <w:noProof/>
            <w:webHidden/>
          </w:rPr>
        </w:r>
        <w:r w:rsidR="00655A5A">
          <w:rPr>
            <w:noProof/>
            <w:webHidden/>
          </w:rPr>
          <w:fldChar w:fldCharType="separate"/>
        </w:r>
        <w:r w:rsidR="005131C4">
          <w:rPr>
            <w:noProof/>
            <w:webHidden/>
          </w:rPr>
          <w:t>21</w:t>
        </w:r>
        <w:r w:rsidR="00655A5A">
          <w:rPr>
            <w:noProof/>
            <w:webHidden/>
          </w:rPr>
          <w:fldChar w:fldCharType="end"/>
        </w:r>
      </w:hyperlink>
    </w:p>
    <w:p w14:paraId="07AD83EA" w14:textId="50B394EC" w:rsidR="00655A5A" w:rsidRDefault="00E74BF5">
      <w:pPr>
        <w:pStyle w:val="TOC1"/>
        <w:rPr>
          <w:rFonts w:asciiTheme="minorHAnsi" w:eastAsiaTheme="minorEastAsia" w:hAnsiTheme="minorHAnsi" w:cstheme="minorBidi"/>
          <w:noProof/>
          <w:sz w:val="22"/>
          <w:szCs w:val="22"/>
        </w:rPr>
      </w:pPr>
      <w:hyperlink w:anchor="_Toc176527343" w:history="1">
        <w:r w:rsidR="00655A5A" w:rsidRPr="005A2BA5">
          <w:rPr>
            <w:rStyle w:val="Hyperlink"/>
            <w:noProof/>
          </w:rPr>
          <w:t>Appendix B – Complaints Procedure</w:t>
        </w:r>
        <w:r w:rsidR="00655A5A">
          <w:rPr>
            <w:noProof/>
            <w:webHidden/>
          </w:rPr>
          <w:tab/>
        </w:r>
        <w:r w:rsidR="00655A5A">
          <w:rPr>
            <w:noProof/>
            <w:webHidden/>
          </w:rPr>
          <w:fldChar w:fldCharType="begin"/>
        </w:r>
        <w:r w:rsidR="00655A5A">
          <w:rPr>
            <w:noProof/>
            <w:webHidden/>
          </w:rPr>
          <w:instrText xml:space="preserve"> PAGEREF _Toc176527343 \h </w:instrText>
        </w:r>
        <w:r w:rsidR="00655A5A">
          <w:rPr>
            <w:noProof/>
            <w:webHidden/>
          </w:rPr>
        </w:r>
        <w:r w:rsidR="00655A5A">
          <w:rPr>
            <w:noProof/>
            <w:webHidden/>
          </w:rPr>
          <w:fldChar w:fldCharType="separate"/>
        </w:r>
        <w:r w:rsidR="005131C4">
          <w:rPr>
            <w:noProof/>
            <w:webHidden/>
          </w:rPr>
          <w:t>23</w:t>
        </w:r>
        <w:r w:rsidR="00655A5A">
          <w:rPr>
            <w:noProof/>
            <w:webHidden/>
          </w:rPr>
          <w:fldChar w:fldCharType="end"/>
        </w:r>
      </w:hyperlink>
    </w:p>
    <w:p w14:paraId="26AA6766" w14:textId="00E04A68" w:rsidR="00655A5A" w:rsidRDefault="00E74BF5">
      <w:pPr>
        <w:pStyle w:val="TOC1"/>
        <w:rPr>
          <w:rFonts w:asciiTheme="minorHAnsi" w:eastAsiaTheme="minorEastAsia" w:hAnsiTheme="minorHAnsi" w:cstheme="minorBidi"/>
          <w:noProof/>
          <w:sz w:val="22"/>
          <w:szCs w:val="22"/>
        </w:rPr>
      </w:pPr>
      <w:hyperlink w:anchor="_Toc176527344" w:history="1">
        <w:r w:rsidR="00655A5A" w:rsidRPr="005A2BA5">
          <w:rPr>
            <w:rStyle w:val="Hyperlink"/>
            <w:noProof/>
          </w:rPr>
          <w:t>Appendix C – Equality Analysis</w:t>
        </w:r>
        <w:r w:rsidR="00655A5A">
          <w:rPr>
            <w:noProof/>
            <w:webHidden/>
          </w:rPr>
          <w:tab/>
        </w:r>
        <w:r w:rsidR="00655A5A">
          <w:rPr>
            <w:noProof/>
            <w:webHidden/>
          </w:rPr>
          <w:fldChar w:fldCharType="begin"/>
        </w:r>
        <w:r w:rsidR="00655A5A">
          <w:rPr>
            <w:noProof/>
            <w:webHidden/>
          </w:rPr>
          <w:instrText xml:space="preserve"> PAGEREF _Toc176527344 \h </w:instrText>
        </w:r>
        <w:r w:rsidR="00655A5A">
          <w:rPr>
            <w:noProof/>
            <w:webHidden/>
          </w:rPr>
        </w:r>
        <w:r w:rsidR="00655A5A">
          <w:rPr>
            <w:noProof/>
            <w:webHidden/>
          </w:rPr>
          <w:fldChar w:fldCharType="separate"/>
        </w:r>
        <w:r w:rsidR="005131C4">
          <w:rPr>
            <w:noProof/>
            <w:webHidden/>
          </w:rPr>
          <w:t>26</w:t>
        </w:r>
        <w:r w:rsidR="00655A5A">
          <w:rPr>
            <w:noProof/>
            <w:webHidden/>
          </w:rPr>
          <w:fldChar w:fldCharType="end"/>
        </w:r>
      </w:hyperlink>
    </w:p>
    <w:p w14:paraId="724D8127" w14:textId="237C59D3" w:rsidR="00655A5A" w:rsidRDefault="00E74BF5">
      <w:pPr>
        <w:pStyle w:val="TOC1"/>
        <w:rPr>
          <w:rFonts w:asciiTheme="minorHAnsi" w:eastAsiaTheme="minorEastAsia" w:hAnsiTheme="minorHAnsi" w:cstheme="minorBidi"/>
          <w:noProof/>
          <w:sz w:val="22"/>
          <w:szCs w:val="22"/>
        </w:rPr>
      </w:pPr>
      <w:hyperlink w:anchor="_Toc176527345" w:history="1">
        <w:r w:rsidR="00655A5A" w:rsidRPr="005A2BA5">
          <w:rPr>
            <w:rStyle w:val="Hyperlink"/>
            <w:noProof/>
          </w:rPr>
          <w:t>Appendix D – Policy Implementation Plan</w:t>
        </w:r>
        <w:r w:rsidR="00655A5A">
          <w:rPr>
            <w:noProof/>
            <w:webHidden/>
          </w:rPr>
          <w:tab/>
        </w:r>
        <w:r w:rsidR="00655A5A">
          <w:rPr>
            <w:noProof/>
            <w:webHidden/>
          </w:rPr>
          <w:fldChar w:fldCharType="begin"/>
        </w:r>
        <w:r w:rsidR="00655A5A">
          <w:rPr>
            <w:noProof/>
            <w:webHidden/>
          </w:rPr>
          <w:instrText xml:space="preserve"> PAGEREF _Toc176527345 \h </w:instrText>
        </w:r>
        <w:r w:rsidR="00655A5A">
          <w:rPr>
            <w:noProof/>
            <w:webHidden/>
          </w:rPr>
        </w:r>
        <w:r w:rsidR="00655A5A">
          <w:rPr>
            <w:noProof/>
            <w:webHidden/>
          </w:rPr>
          <w:fldChar w:fldCharType="separate"/>
        </w:r>
        <w:r w:rsidR="005131C4">
          <w:rPr>
            <w:noProof/>
            <w:webHidden/>
          </w:rPr>
          <w:t>28</w:t>
        </w:r>
        <w:r w:rsidR="00655A5A">
          <w:rPr>
            <w:noProof/>
            <w:webHidden/>
          </w:rPr>
          <w:fldChar w:fldCharType="end"/>
        </w:r>
      </w:hyperlink>
    </w:p>
    <w:p w14:paraId="3CFA7258" w14:textId="161D3285" w:rsidR="005B39AA" w:rsidRPr="00B06ACE" w:rsidRDefault="000A1E88" w:rsidP="00F56D17">
      <w:pPr>
        <w:pStyle w:val="Policyheader"/>
        <w:pageBreakBefore/>
        <w:rPr>
          <w:rFonts w:cs="Arial"/>
        </w:rPr>
      </w:pPr>
      <w:r w:rsidRPr="00260363">
        <w:rPr>
          <w:bCs/>
          <w:noProof/>
        </w:rPr>
        <w:lastRenderedPageBreak/>
        <w:fldChar w:fldCharType="end"/>
      </w:r>
      <w:bookmarkStart w:id="1" w:name="_Toc523986721"/>
      <w:bookmarkStart w:id="2" w:name="_Toc176527318"/>
      <w:r w:rsidR="00717CAE" w:rsidRPr="00D40ED0">
        <w:t>Policy</w:t>
      </w:r>
      <w:r w:rsidR="00486418" w:rsidRPr="005B39AA">
        <w:t xml:space="preserve"> </w:t>
      </w:r>
      <w:bookmarkEnd w:id="1"/>
      <w:r w:rsidR="00C73037">
        <w:t>Description</w:t>
      </w:r>
      <w:bookmarkEnd w:id="2"/>
    </w:p>
    <w:p w14:paraId="6F017D19" w14:textId="14A33F6B" w:rsidR="002D69EB" w:rsidRDefault="00C01CFA" w:rsidP="00F73ACA">
      <w:pPr>
        <w:pStyle w:val="Policybulletlevel2"/>
      </w:pPr>
      <w:r w:rsidRPr="00DD2EF4">
        <w:t xml:space="preserve">This </w:t>
      </w:r>
      <w:r w:rsidR="0026425C">
        <w:t>p</w:t>
      </w:r>
      <w:r w:rsidR="0026425C" w:rsidRPr="00DD2EF4">
        <w:t xml:space="preserve">olicy </w:t>
      </w:r>
      <w:r w:rsidRPr="00DD2EF4">
        <w:t xml:space="preserve">sets out how the Trust will </w:t>
      </w:r>
      <w:r w:rsidR="00707FA7">
        <w:t>ensure compliance with</w:t>
      </w:r>
      <w:r w:rsidRPr="00DD2EF4">
        <w:t xml:space="preserve"> the Freedom of </w:t>
      </w:r>
      <w:r w:rsidRPr="00F73ACA">
        <w:t>Information</w:t>
      </w:r>
      <w:r w:rsidRPr="00DD2EF4">
        <w:t xml:space="preserve"> Act </w:t>
      </w:r>
      <w:r w:rsidR="00707FA7">
        <w:t>(</w:t>
      </w:r>
      <w:r w:rsidRPr="00DD2EF4">
        <w:t>2000</w:t>
      </w:r>
      <w:r w:rsidR="00707FA7">
        <w:t>) and the Environmental Information Regulations (2004)</w:t>
      </w:r>
      <w:r w:rsidRPr="00DD2EF4">
        <w:t>.</w:t>
      </w:r>
    </w:p>
    <w:p w14:paraId="27290DD6" w14:textId="77777777" w:rsidR="00712F68" w:rsidRDefault="0022378C" w:rsidP="00F73ACA">
      <w:pPr>
        <w:pStyle w:val="Policyheader"/>
      </w:pPr>
      <w:bookmarkStart w:id="3" w:name="_Toc523986722"/>
      <w:bookmarkStart w:id="4" w:name="_Toc523989235"/>
      <w:bookmarkStart w:id="5" w:name="_Toc176527319"/>
      <w:r w:rsidRPr="008716F0">
        <w:t>Introduction</w:t>
      </w:r>
      <w:bookmarkEnd w:id="3"/>
      <w:bookmarkEnd w:id="4"/>
      <w:bookmarkEnd w:id="5"/>
      <w:r w:rsidR="00467DFF" w:rsidRPr="00196CDD">
        <w:t xml:space="preserve"> </w:t>
      </w:r>
    </w:p>
    <w:p w14:paraId="3AA46E3B" w14:textId="592D9829" w:rsidR="00707FA7" w:rsidRDefault="00C01CFA" w:rsidP="00707FA7">
      <w:pPr>
        <w:pStyle w:val="Policybulletlevel2"/>
      </w:pPr>
      <w:r w:rsidRPr="00DD2EF4">
        <w:t>East Kent Hospitals University NHS Foundation Trust</w:t>
      </w:r>
      <w:r w:rsidR="0026425C">
        <w:t xml:space="preserve"> (the Trust)</w:t>
      </w:r>
      <w:r w:rsidRPr="00DD2EF4">
        <w:t xml:space="preserve"> will use appropriate and necessary means to ensure that it complies with the Freedom of Information Act 2000</w:t>
      </w:r>
      <w:r w:rsidR="00707FA7">
        <w:t xml:space="preserve">, </w:t>
      </w:r>
      <w:r w:rsidR="00707FA7" w:rsidRPr="00707FA7">
        <w:t>Environmental Information Regulations (2004)</w:t>
      </w:r>
      <w:r w:rsidRPr="00DD2EF4">
        <w:fldChar w:fldCharType="begin"/>
      </w:r>
      <w:r w:rsidRPr="00DD2EF4">
        <w:instrText xml:space="preserve"> XE "Freedom of Information Act 2000" </w:instrText>
      </w:r>
      <w:r w:rsidRPr="00DD2EF4">
        <w:fldChar w:fldCharType="end"/>
      </w:r>
      <w:r w:rsidRPr="00DD2EF4">
        <w:t xml:space="preserve"> and associated Codes of Practice.</w:t>
      </w:r>
      <w:bookmarkStart w:id="6" w:name="_Toc523988942"/>
      <w:bookmarkStart w:id="7" w:name="_Toc523988961"/>
      <w:bookmarkStart w:id="8" w:name="_Toc523989238"/>
      <w:bookmarkStart w:id="9" w:name="_Toc523989267"/>
      <w:bookmarkStart w:id="10" w:name="_Toc523989323"/>
      <w:bookmarkStart w:id="11" w:name="_Toc523989577"/>
      <w:bookmarkStart w:id="12" w:name="_Toc523989900"/>
      <w:bookmarkStart w:id="13" w:name="_Toc523990376"/>
      <w:bookmarkStart w:id="14" w:name="_Toc523990562"/>
      <w:bookmarkStart w:id="15" w:name="_Toc5094921"/>
      <w:bookmarkStart w:id="16" w:name="_Toc523988943"/>
      <w:bookmarkStart w:id="17" w:name="_Toc523988962"/>
      <w:bookmarkStart w:id="18" w:name="_Toc523989239"/>
      <w:bookmarkStart w:id="19" w:name="_Toc523989268"/>
      <w:bookmarkStart w:id="20" w:name="_Toc523989324"/>
      <w:bookmarkStart w:id="21" w:name="_Toc523989578"/>
      <w:bookmarkStart w:id="22" w:name="_Toc523989901"/>
      <w:bookmarkStart w:id="23" w:name="_Toc523990377"/>
      <w:bookmarkStart w:id="24" w:name="_Toc523990563"/>
      <w:bookmarkStart w:id="25" w:name="_Toc5094922"/>
      <w:bookmarkStart w:id="26" w:name="_Toc52398924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1F14962" w14:textId="66D5FEFF" w:rsidR="00042C20" w:rsidRPr="00C365F0" w:rsidRDefault="00C365F0" w:rsidP="00F73ACA">
      <w:pPr>
        <w:pStyle w:val="Policybulletlevel2"/>
      </w:pPr>
      <w:r w:rsidRPr="00DD2EF4">
        <w:t>The Freedom of Information Act 2000</w:t>
      </w:r>
      <w:r w:rsidRPr="00DD2EF4">
        <w:fldChar w:fldCharType="begin"/>
      </w:r>
      <w:r w:rsidRPr="00DD2EF4">
        <w:instrText xml:space="preserve"> XE "Freedom of Information Act 2000" </w:instrText>
      </w:r>
      <w:r w:rsidRPr="00DD2EF4">
        <w:fldChar w:fldCharType="end"/>
      </w:r>
      <w:r w:rsidRPr="00DD2EF4">
        <w:t xml:space="preserve"> is part of the Government's commitment to greater openness in the public sector, a commitment supported by this Trust. The Act replaces the non-statutory ‘</w:t>
      </w:r>
      <w:r w:rsidRPr="00260363">
        <w:rPr>
          <w:iCs/>
        </w:rPr>
        <w:t xml:space="preserve">Code </w:t>
      </w:r>
      <w:r w:rsidRPr="00260363">
        <w:t xml:space="preserve">of </w:t>
      </w:r>
      <w:r w:rsidRPr="00260363">
        <w:rPr>
          <w:iCs/>
        </w:rPr>
        <w:t>Practice on Openness in the NHS.’</w:t>
      </w:r>
    </w:p>
    <w:p w14:paraId="1098F831" w14:textId="77777777" w:rsidR="00C365F0" w:rsidRPr="00DD2EF4" w:rsidRDefault="00C365F0" w:rsidP="00F73ACA">
      <w:pPr>
        <w:pStyle w:val="Policybulletlevel2"/>
      </w:pPr>
      <w:r w:rsidRPr="00DD2EF4">
        <w:t xml:space="preserve">The </w:t>
      </w:r>
      <w:r w:rsidRPr="00376FC2">
        <w:t>main</w:t>
      </w:r>
      <w:r w:rsidRPr="00DD2EF4">
        <w:t xml:space="preserve"> features of the Act are:</w:t>
      </w:r>
    </w:p>
    <w:p w14:paraId="57761D22" w14:textId="77777777" w:rsidR="00C365F0" w:rsidRPr="00DD2EF4" w:rsidRDefault="00C365F0" w:rsidP="00F73ACA">
      <w:pPr>
        <w:pStyle w:val="PolicybulletLevel3"/>
      </w:pPr>
      <w:r w:rsidRPr="00DD2EF4">
        <w:t>General right of access from 1</w:t>
      </w:r>
      <w:r w:rsidRPr="00DD2EF4">
        <w:rPr>
          <w:vertAlign w:val="superscript"/>
        </w:rPr>
        <w:t>st</w:t>
      </w:r>
      <w:r w:rsidRPr="00DD2EF4">
        <w:t xml:space="preserve"> January 2005 to information held by public authorities, subject to certain conditions and exemptions;</w:t>
      </w:r>
    </w:p>
    <w:p w14:paraId="69487711" w14:textId="77777777" w:rsidR="00C365F0" w:rsidRPr="00120906" w:rsidRDefault="00C365F0" w:rsidP="00F73ACA">
      <w:pPr>
        <w:pStyle w:val="PolicybulletLevel3"/>
      </w:pPr>
      <w:r w:rsidRPr="00DD2EF4">
        <w:t xml:space="preserve">In cases where information is exempt from disclosure, except where an absolute </w:t>
      </w:r>
      <w:r w:rsidRPr="00F73ACA">
        <w:t>exemption</w:t>
      </w:r>
      <w:r w:rsidRPr="00DD2EF4">
        <w:t xml:space="preserve"> applies, a duty on public authorities to:</w:t>
      </w:r>
    </w:p>
    <w:p w14:paraId="1C0CBF97" w14:textId="77777777" w:rsidR="00C365F0" w:rsidRPr="00DD2EF4" w:rsidRDefault="00C365F0" w:rsidP="00F73ACA">
      <w:pPr>
        <w:pStyle w:val="Policybulletlevel4"/>
      </w:pPr>
      <w:r w:rsidRPr="00DD2EF4">
        <w:t>Inform the applicant whether they hold the information requested</w:t>
      </w:r>
      <w:r w:rsidR="00F73ACA">
        <w:t>;</w:t>
      </w:r>
      <w:r w:rsidR="00F73ACA" w:rsidRPr="00DD2EF4">
        <w:t xml:space="preserve"> </w:t>
      </w:r>
      <w:r w:rsidRPr="00DD2EF4">
        <w:t>and</w:t>
      </w:r>
    </w:p>
    <w:p w14:paraId="301EB35C" w14:textId="77777777" w:rsidR="00C365F0" w:rsidRPr="00DD2EF4" w:rsidRDefault="00C365F0" w:rsidP="00F73ACA">
      <w:pPr>
        <w:pStyle w:val="Policybulletlevel4"/>
      </w:pPr>
      <w:r w:rsidRPr="00DD2EF4">
        <w:t>Communicate the information</w:t>
      </w:r>
      <w:r w:rsidR="00F73ACA">
        <w:t>;</w:t>
      </w:r>
    </w:p>
    <w:p w14:paraId="24D3B068" w14:textId="77777777" w:rsidR="00C365F0" w:rsidRPr="00DD2EF4" w:rsidRDefault="00C365F0" w:rsidP="00F73ACA">
      <w:pPr>
        <w:pStyle w:val="Policybulletlevel4"/>
      </w:pPr>
      <w:r w:rsidRPr="00DD2EF4">
        <w:t>Unless the public interest in maintaining the exemption in question outweighs the public interest in disclosure</w:t>
      </w:r>
      <w:r w:rsidR="00F73ACA">
        <w:t>.</w:t>
      </w:r>
    </w:p>
    <w:p w14:paraId="68235368" w14:textId="77777777" w:rsidR="00C365F0" w:rsidRPr="00DD2EF4" w:rsidRDefault="00C365F0" w:rsidP="00F73ACA">
      <w:pPr>
        <w:pStyle w:val="PolicybulletLevel3"/>
      </w:pPr>
      <w:r w:rsidRPr="00DD2EF4">
        <w:t>A duty on every public authority to adopt and maintain a Publication Scheme;</w:t>
      </w:r>
    </w:p>
    <w:p w14:paraId="2E439D84" w14:textId="77777777" w:rsidR="00C365F0" w:rsidRDefault="00C365F0" w:rsidP="00F73ACA">
      <w:pPr>
        <w:pStyle w:val="PolicybulletLevel3"/>
      </w:pPr>
      <w:r w:rsidRPr="00DD2EF4">
        <w:t>The Information Commission</w:t>
      </w:r>
      <w:r>
        <w:t>er’s</w:t>
      </w:r>
      <w:r w:rsidRPr="00DD2EF4">
        <w:t xml:space="preserve"> Office has powers to </w:t>
      </w:r>
      <w:r w:rsidRPr="00260363">
        <w:rPr>
          <w:iCs/>
        </w:rPr>
        <w:t>enforce</w:t>
      </w:r>
      <w:r w:rsidRPr="00DD2EF4">
        <w:rPr>
          <w:i/>
          <w:iCs/>
        </w:rPr>
        <w:t xml:space="preserve"> </w:t>
      </w:r>
      <w:r w:rsidRPr="00DD2EF4">
        <w:t xml:space="preserve">the rights created by the Act and to promote good practice; </w:t>
      </w:r>
    </w:p>
    <w:p w14:paraId="72FE9788" w14:textId="77777777" w:rsidR="00C365F0" w:rsidRPr="00042C20" w:rsidRDefault="00C365F0" w:rsidP="00260363">
      <w:pPr>
        <w:pStyle w:val="PolicybulletLevel3"/>
      </w:pPr>
      <w:r w:rsidRPr="00DD2EF4">
        <w:t>A duty on the Lord Chancellor to promulgate Codes of Practice for guidance on specific issues.</w:t>
      </w:r>
    </w:p>
    <w:p w14:paraId="2C0840A8" w14:textId="77777777" w:rsidR="00F73ACA" w:rsidRDefault="00F73ACA" w:rsidP="00F73ACA">
      <w:pPr>
        <w:pStyle w:val="Policyheader"/>
      </w:pPr>
      <w:bookmarkStart w:id="27" w:name="_Toc176527320"/>
      <w:bookmarkStart w:id="28" w:name="_Toc523986724"/>
      <w:bookmarkStart w:id="29" w:name="_Toc523989242"/>
      <w:r>
        <w:t>Definitions</w:t>
      </w:r>
      <w:bookmarkEnd w:id="27"/>
    </w:p>
    <w:p w14:paraId="53A5376F" w14:textId="77777777" w:rsidR="00F73ACA" w:rsidRDefault="00F73ACA" w:rsidP="00260363">
      <w:pPr>
        <w:pStyle w:val="Policybulletlevel2"/>
        <w:numPr>
          <w:ilvl w:val="0"/>
          <w:numId w:val="0"/>
        </w:numPr>
        <w:ind w:left="851"/>
      </w:pPr>
      <w:r>
        <w:t>None</w:t>
      </w:r>
    </w:p>
    <w:p w14:paraId="23782B1F" w14:textId="77777777" w:rsidR="006F7C0C" w:rsidRDefault="006F7C0C">
      <w:pPr>
        <w:rPr>
          <w:b/>
          <w:sz w:val="28"/>
        </w:rPr>
      </w:pPr>
      <w:r>
        <w:br w:type="page"/>
      </w:r>
    </w:p>
    <w:p w14:paraId="044C8554" w14:textId="7AFBA865" w:rsidR="00901EDC" w:rsidRDefault="00730768" w:rsidP="00F73ACA">
      <w:pPr>
        <w:pStyle w:val="Policyheader"/>
      </w:pPr>
      <w:bookmarkStart w:id="30" w:name="_Toc176527321"/>
      <w:r w:rsidRPr="00D5698E">
        <w:lastRenderedPageBreak/>
        <w:t>Purpos</w:t>
      </w:r>
      <w:r w:rsidRPr="007A6A04">
        <w:t>e</w:t>
      </w:r>
      <w:r w:rsidRPr="00196CDD">
        <w:t xml:space="preserve"> and </w:t>
      </w:r>
      <w:r w:rsidRPr="008716F0">
        <w:t>Scope</w:t>
      </w:r>
      <w:bookmarkEnd w:id="28"/>
      <w:bookmarkEnd w:id="29"/>
      <w:bookmarkEnd w:id="30"/>
    </w:p>
    <w:p w14:paraId="06A39F7E" w14:textId="1F029ADA" w:rsidR="00F70BA6" w:rsidRPr="00BB6653" w:rsidRDefault="00E94989" w:rsidP="00F73ACA">
      <w:pPr>
        <w:pStyle w:val="Policybulletlevel2"/>
      </w:pPr>
      <w:r w:rsidRPr="00BB6653">
        <w:t>The Policy will provide a framework within which the Trust will ensure compliance with the requirements of the Freedom of Information Act</w:t>
      </w:r>
      <w:r w:rsidR="00AD28AC">
        <w:t xml:space="preserve"> (2000) and the Environmental Information Regulations (200</w:t>
      </w:r>
      <w:r w:rsidR="00707FA7">
        <w:t>4</w:t>
      </w:r>
      <w:r w:rsidR="00AD28AC">
        <w:t>)</w:t>
      </w:r>
      <w:r w:rsidRPr="00BB6653">
        <w:t>. This policy is intended to cover all recorded information held by the Trust.</w:t>
      </w:r>
    </w:p>
    <w:p w14:paraId="4E2A4C2F" w14:textId="26DEFD2C" w:rsidR="00E94989" w:rsidRPr="00BB6653" w:rsidRDefault="00E94989" w:rsidP="00F73ACA">
      <w:pPr>
        <w:pStyle w:val="Policybulletlevel2"/>
      </w:pPr>
      <w:r w:rsidRPr="00BB6653">
        <w:t>The Policy will apply to all Trust employees, volunteers and to Non-Executive Directors</w:t>
      </w:r>
      <w:r w:rsidR="009F1D23">
        <w:t xml:space="preserve">. </w:t>
      </w:r>
      <w:r w:rsidRPr="00BB6653">
        <w:t>It may also apply to staff employed by the Trust on a contract</w:t>
      </w:r>
      <w:r w:rsidR="003B7A60">
        <w:t>ual</w:t>
      </w:r>
      <w:r w:rsidRPr="00BB6653">
        <w:t xml:space="preserve"> basis</w:t>
      </w:r>
      <w:r w:rsidR="009F1D23" w:rsidRPr="009F1D23">
        <w:t xml:space="preserve"> </w:t>
      </w:r>
      <w:r w:rsidR="009F1D23">
        <w:t xml:space="preserve">where </w:t>
      </w:r>
      <w:r w:rsidR="009F1D23" w:rsidRPr="009F1D23">
        <w:t xml:space="preserve">the requirement will be detailed in the </w:t>
      </w:r>
      <w:r w:rsidR="009F1D23">
        <w:t>contract/agreement</w:t>
      </w:r>
      <w:r w:rsidR="009F1D23" w:rsidRPr="009F1D23">
        <w:t xml:space="preserve"> (see Section 5.4).</w:t>
      </w:r>
    </w:p>
    <w:p w14:paraId="47B995BE" w14:textId="42F0E54B" w:rsidR="00E94989" w:rsidRPr="00BB6653" w:rsidRDefault="00E94989" w:rsidP="00F73ACA">
      <w:pPr>
        <w:pStyle w:val="Policybulletlevel2"/>
      </w:pPr>
      <w:r w:rsidRPr="00BB6653">
        <w:t>The Policy will underpin any operati</w:t>
      </w:r>
      <w:r w:rsidR="00BB6653" w:rsidRPr="00BB6653">
        <w:t xml:space="preserve">onal procedures and activities </w:t>
      </w:r>
      <w:r w:rsidRPr="00BB6653">
        <w:t>connected with the implementation of the Freedom of Information Act</w:t>
      </w:r>
      <w:r w:rsidR="00707FA7">
        <w:t xml:space="preserve"> and Environmental Information </w:t>
      </w:r>
      <w:r w:rsidR="004F27EF">
        <w:t>Regulations</w:t>
      </w:r>
      <w:r w:rsidRPr="00BB6653">
        <w:t>.</w:t>
      </w:r>
    </w:p>
    <w:p w14:paraId="35B27EBA" w14:textId="77777777" w:rsidR="00E94989" w:rsidRPr="00E94989" w:rsidRDefault="00E94989" w:rsidP="00260363">
      <w:pPr>
        <w:pStyle w:val="Policybulletlevel2"/>
      </w:pPr>
      <w:r w:rsidRPr="00DD2EF4">
        <w:t xml:space="preserve">The Policy supports the principle that </w:t>
      </w:r>
      <w:r>
        <w:t>t</w:t>
      </w:r>
      <w:r w:rsidRPr="00DD2EF4">
        <w:t>he Trust wants to create a climate of openness and dialogue with all stakeholders and hopes improved access to information about the Trust will facilitate this.</w:t>
      </w:r>
    </w:p>
    <w:p w14:paraId="1BB48435" w14:textId="77777777" w:rsidR="00E94989" w:rsidRPr="00E94989" w:rsidRDefault="00E94989" w:rsidP="00F73ACA">
      <w:pPr>
        <w:pStyle w:val="Policybulletlevel2"/>
      </w:pPr>
      <w:r w:rsidRPr="00DD2EF4">
        <w:t xml:space="preserve">The Trust believes that individuals also have a right to privacy and confidentiality. This Policy does not overturn the common law duties of confidence or statutory provisions that prevent disclosure of personal identifiable information. The release of such information is still covered by the subject access provisions of the Data Protection Act </w:t>
      </w:r>
      <w:r w:rsidR="002C6CCE">
        <w:t>2018</w:t>
      </w:r>
      <w:r w:rsidRPr="00DD2EF4">
        <w:fldChar w:fldCharType="begin"/>
      </w:r>
      <w:r w:rsidRPr="00DD2EF4">
        <w:instrText xml:space="preserve"> XE "Data Protection Act 1998" </w:instrText>
      </w:r>
      <w:r w:rsidRPr="00DD2EF4">
        <w:fldChar w:fldCharType="end"/>
      </w:r>
      <w:r w:rsidRPr="00DD2EF4">
        <w:t xml:space="preserve"> </w:t>
      </w:r>
      <w:r w:rsidR="00482BA9">
        <w:t xml:space="preserve">and the Access to Health Records Act 1990 </w:t>
      </w:r>
      <w:r w:rsidRPr="00DD2EF4">
        <w:t>and is dealt with in other Trust policies.</w:t>
      </w:r>
    </w:p>
    <w:p w14:paraId="7740A889" w14:textId="77777777" w:rsidR="00E94989" w:rsidRPr="00E94989" w:rsidRDefault="00E94989" w:rsidP="00F73ACA">
      <w:pPr>
        <w:pStyle w:val="Policybulletlevel2"/>
      </w:pPr>
      <w:r w:rsidRPr="00DD2EF4">
        <w:t xml:space="preserve">The Trust believes that public authorities should be allowed to discharge their functions and will use the exemptions contained in the Act where an absolute exemption applies or where a qualified exemption can reasonably be applied in terms of the public interest (refer to Section </w:t>
      </w:r>
      <w:r>
        <w:t>8</w:t>
      </w:r>
      <w:r w:rsidRPr="00DD2EF4">
        <w:t>.2).</w:t>
      </w:r>
    </w:p>
    <w:p w14:paraId="068E9452" w14:textId="77777777" w:rsidR="00E94989" w:rsidRPr="00901EDC" w:rsidRDefault="00E94989" w:rsidP="00F73ACA">
      <w:pPr>
        <w:pStyle w:val="Policybulletlevel2"/>
      </w:pPr>
      <w:r w:rsidRPr="00DD2EF4">
        <w:t>The Trust believes that staff should have access to expert knowledge to assist and support them in understanding the implications of the Act. The Policy sets out a framework to provide this.</w:t>
      </w:r>
    </w:p>
    <w:p w14:paraId="26DCCDB4" w14:textId="77777777" w:rsidR="00901EDC" w:rsidRDefault="00301B89" w:rsidP="00F73ACA">
      <w:pPr>
        <w:pStyle w:val="Policyheader"/>
      </w:pPr>
      <w:bookmarkStart w:id="31" w:name="_Toc523986725"/>
      <w:bookmarkStart w:id="32" w:name="_Toc523989243"/>
      <w:bookmarkStart w:id="33" w:name="_Toc176527322"/>
      <w:r w:rsidRPr="008716F0">
        <w:t>Duties</w:t>
      </w:r>
      <w:bookmarkEnd w:id="31"/>
      <w:bookmarkEnd w:id="32"/>
      <w:bookmarkEnd w:id="33"/>
    </w:p>
    <w:p w14:paraId="7FCC49E7" w14:textId="77777777" w:rsidR="00F70BA6" w:rsidRPr="00260363" w:rsidRDefault="00E94989" w:rsidP="00F73ACA">
      <w:pPr>
        <w:pStyle w:val="Policybulletlevel2"/>
        <w:rPr>
          <w:b/>
        </w:rPr>
      </w:pPr>
      <w:r w:rsidRPr="00260363">
        <w:rPr>
          <w:b/>
        </w:rPr>
        <w:t xml:space="preserve">Trust Staff and Non-Executive Directors </w:t>
      </w:r>
    </w:p>
    <w:p w14:paraId="5B3C291D" w14:textId="2CEA91BA" w:rsidR="00E94989" w:rsidRDefault="00E94989" w:rsidP="006D160C">
      <w:pPr>
        <w:pStyle w:val="PolicybulletLevel3"/>
      </w:pPr>
      <w:r w:rsidRPr="00E94989">
        <w:t xml:space="preserve">Ultimate responsibility for Freedom of Information rests with the Chief Executive of the Trust.  However, all staff, volunteers and Non-Executive Directors are obliged to adhere to this policy. A failure to adhere to it and its associated procedures may result in disciplinary action. Managers at all levels are responsible for ensuring that the staff for whom they are responsible are aware of and adhere to this Policy. They are also responsible for ensuring staff </w:t>
      </w:r>
      <w:r w:rsidR="000310CC">
        <w:t>are</w:t>
      </w:r>
      <w:r w:rsidRPr="00E94989">
        <w:t xml:space="preserve"> </w:t>
      </w:r>
      <w:r w:rsidRPr="00E94989">
        <w:lastRenderedPageBreak/>
        <w:t xml:space="preserve">updated in regard to any changes in it. Staff </w:t>
      </w:r>
      <w:r w:rsidR="004354B7">
        <w:t>are</w:t>
      </w:r>
      <w:r w:rsidRPr="00E94989">
        <w:t xml:space="preserve"> also required to keep up to date with their Information Governance mandatory training.</w:t>
      </w:r>
    </w:p>
    <w:p w14:paraId="2E0223AA" w14:textId="5FA9C9F3" w:rsidR="00564CA4" w:rsidRDefault="00564CA4" w:rsidP="00260363">
      <w:pPr>
        <w:pStyle w:val="PolicybulletLevel3"/>
      </w:pPr>
      <w:r>
        <w:t xml:space="preserve">All staff are responsible for ensuring all requests for information are forwarded </w:t>
      </w:r>
      <w:r w:rsidR="002E6A1B">
        <w:t>to the</w:t>
      </w:r>
      <w:r>
        <w:t xml:space="preserve"> </w:t>
      </w:r>
      <w:r w:rsidR="00ED760A">
        <w:t>FOI Team</w:t>
      </w:r>
      <w:r>
        <w:t xml:space="preserve">.  Requests for information under the FOI Act </w:t>
      </w:r>
      <w:r w:rsidRPr="001E3A89">
        <w:t>do not</w:t>
      </w:r>
      <w:r w:rsidRPr="00260363">
        <w:rPr>
          <w:b/>
        </w:rPr>
        <w:t xml:space="preserve"> </w:t>
      </w:r>
      <w:r>
        <w:t xml:space="preserve">have to mention the Act, can be sent by </w:t>
      </w:r>
      <w:r w:rsidRPr="00260363">
        <w:rPr>
          <w:b/>
        </w:rPr>
        <w:t>any</w:t>
      </w:r>
      <w:r>
        <w:t xml:space="preserve"> individual or body </w:t>
      </w:r>
      <w:r w:rsidRPr="00260363">
        <w:rPr>
          <w:b/>
        </w:rPr>
        <w:t>anywhere</w:t>
      </w:r>
      <w:r>
        <w:t xml:space="preserve"> in the world, and be directed to </w:t>
      </w:r>
      <w:r w:rsidRPr="00260363">
        <w:t>any</w:t>
      </w:r>
      <w:r>
        <w:t xml:space="preserve"> member of the Trust’s staff.  Since a request by email is valid, all staff </w:t>
      </w:r>
      <w:r w:rsidR="00C07B40">
        <w:t xml:space="preserve">must </w:t>
      </w:r>
      <w:r>
        <w:t xml:space="preserve">ensure they have </w:t>
      </w:r>
      <w:proofErr w:type="gramStart"/>
      <w:r>
        <w:t>their</w:t>
      </w:r>
      <w:proofErr w:type="gramEnd"/>
      <w:r>
        <w:t xml:space="preserve"> out of office reply activated when away from the office.  The out of office reply should include the following:</w:t>
      </w:r>
    </w:p>
    <w:p w14:paraId="231EFA57" w14:textId="77777777" w:rsidR="00564CA4" w:rsidRDefault="00C07B40" w:rsidP="00260363">
      <w:pPr>
        <w:pStyle w:val="Policybulletlevel2"/>
        <w:numPr>
          <w:ilvl w:val="0"/>
          <w:numId w:val="0"/>
        </w:numPr>
        <w:ind w:left="1276"/>
      </w:pPr>
      <w:r>
        <w:t>“</w:t>
      </w:r>
      <w:r w:rsidR="00564CA4" w:rsidRPr="00564CA4">
        <w:t xml:space="preserve">If your email is a request under the Freedom of Information Act 2000, please forward this to </w:t>
      </w:r>
      <w:hyperlink r:id="rId14" w:history="1">
        <w:r w:rsidR="00564CA4" w:rsidRPr="00564CA4">
          <w:rPr>
            <w:rStyle w:val="Hyperlink"/>
            <w:i/>
          </w:rPr>
          <w:t>ekr-tr.foi@nhs.net</w:t>
        </w:r>
      </w:hyperlink>
      <w:r w:rsidR="00564CA4" w:rsidRPr="00564CA4">
        <w:t>.”</w:t>
      </w:r>
    </w:p>
    <w:p w14:paraId="76769D51" w14:textId="3F44A24C" w:rsidR="00EE2445" w:rsidRDefault="00EE2445" w:rsidP="00260363">
      <w:pPr>
        <w:pStyle w:val="PolicybulletLevel3"/>
      </w:pPr>
      <w:r>
        <w:t xml:space="preserve">If requests for information under the FOI Act are received by </w:t>
      </w:r>
      <w:r w:rsidR="00C07B40">
        <w:t xml:space="preserve">a member of staff </w:t>
      </w:r>
      <w:r>
        <w:t xml:space="preserve">in the Trust, other than the FOI </w:t>
      </w:r>
      <w:r w:rsidR="001818AB">
        <w:t>team</w:t>
      </w:r>
      <w:r>
        <w:t xml:space="preserve">, these </w:t>
      </w:r>
      <w:r w:rsidR="00C07B40">
        <w:t xml:space="preserve">must </w:t>
      </w:r>
      <w:r>
        <w:t xml:space="preserve">be forwarded to the FOI team immediately (via </w:t>
      </w:r>
      <w:hyperlink r:id="rId15" w:history="1">
        <w:r w:rsidR="00633061" w:rsidRPr="00260363">
          <w:rPr>
            <w:rStyle w:val="Hyperlink"/>
          </w:rPr>
          <w:t>ekr-tr.foi@nhs.net</w:t>
        </w:r>
      </w:hyperlink>
      <w:r>
        <w:t xml:space="preserve">). Responses to FOI requests will only be made by the FOI </w:t>
      </w:r>
      <w:r w:rsidR="001818AB">
        <w:t>Team</w:t>
      </w:r>
      <w:r>
        <w:t>.</w:t>
      </w:r>
    </w:p>
    <w:p w14:paraId="422CABD0" w14:textId="0FB55568" w:rsidR="001E3A89" w:rsidRPr="00E94989" w:rsidRDefault="001E3A89" w:rsidP="001E3A89">
      <w:pPr>
        <w:pStyle w:val="PolicybulletLevel3"/>
      </w:pPr>
      <w:r>
        <w:t xml:space="preserve">Requests concerning environmental information do not need to made in writing. All requests for such information must be immediately forwarded to the </w:t>
      </w:r>
      <w:r w:rsidR="00ED760A">
        <w:t>FOI Team</w:t>
      </w:r>
      <w:r>
        <w:t>.</w:t>
      </w:r>
    </w:p>
    <w:p w14:paraId="627AFC96" w14:textId="4AA3F17F" w:rsidR="00564CA4" w:rsidRDefault="00564CA4" w:rsidP="0000671A">
      <w:pPr>
        <w:pStyle w:val="PolicybulletLevel3"/>
      </w:pPr>
      <w:r w:rsidRPr="00DD2EF4">
        <w:t>A lead, with deputy</w:t>
      </w:r>
      <w:r>
        <w:t xml:space="preserve"> where appropriate</w:t>
      </w:r>
      <w:r w:rsidRPr="00DD2EF4">
        <w:t xml:space="preserve">, will be nominated for each major department to be responsible for Freedom of Information matters. They will ensure any requests directed to them by the </w:t>
      </w:r>
      <w:r w:rsidR="00ED760A">
        <w:t>FOI Team</w:t>
      </w:r>
      <w:r w:rsidRPr="00DD2EF4">
        <w:t xml:space="preserve"> </w:t>
      </w:r>
      <w:r w:rsidR="004354B7">
        <w:t>are</w:t>
      </w:r>
      <w:r w:rsidRPr="00DD2EF4">
        <w:t xml:space="preserve"> dealt with promptly in accordance with the timeframes laid out in the Freedom of Information Act 2000.  Each department should establish a robust process for ensuring information provided in response to such requests is accurate and up to date</w:t>
      </w:r>
      <w:r>
        <w:t>, by seeking appropriate sign off if required.</w:t>
      </w:r>
    </w:p>
    <w:p w14:paraId="2338F58A" w14:textId="3BC98A6F" w:rsidR="0094360F" w:rsidRPr="0000671A" w:rsidRDefault="00D36AD8" w:rsidP="00F73ACA">
      <w:pPr>
        <w:pStyle w:val="Policybulletlevel2"/>
        <w:rPr>
          <w:b/>
        </w:rPr>
      </w:pPr>
      <w:r>
        <w:rPr>
          <w:b/>
        </w:rPr>
        <w:t xml:space="preserve">The </w:t>
      </w:r>
      <w:r w:rsidR="00ED760A">
        <w:rPr>
          <w:b/>
        </w:rPr>
        <w:t>Director of Corporate Governance</w:t>
      </w:r>
      <w:r>
        <w:rPr>
          <w:b/>
        </w:rPr>
        <w:t xml:space="preserve"> </w:t>
      </w:r>
      <w:r w:rsidRPr="004D4AC2">
        <w:t>has overall responsibility for the:</w:t>
      </w:r>
    </w:p>
    <w:p w14:paraId="5B3069F3" w14:textId="5404FD44" w:rsidR="0094360F" w:rsidRPr="00D36AD8" w:rsidRDefault="004D4AC2" w:rsidP="0000671A">
      <w:pPr>
        <w:pStyle w:val="PolicybulletLevel3"/>
        <w:rPr>
          <w:b/>
        </w:rPr>
      </w:pPr>
      <w:r>
        <w:t>I</w:t>
      </w:r>
      <w:r w:rsidR="0094360F" w:rsidRPr="0094360F">
        <w:t>mplementation of this policy, monitoring and reviewing its effectiveness and will act as the Trust’s lead for the Freedom of Information Act 2000.</w:t>
      </w:r>
    </w:p>
    <w:p w14:paraId="356C10FE" w14:textId="2F241BE1" w:rsidR="00D36AD8" w:rsidRPr="00D36AD8" w:rsidRDefault="004D4AC2" w:rsidP="0000671A">
      <w:pPr>
        <w:pStyle w:val="PolicybulletLevel3"/>
      </w:pPr>
      <w:r>
        <w:t>D</w:t>
      </w:r>
      <w:r w:rsidR="00D36AD8" w:rsidRPr="00D36AD8">
        <w:t xml:space="preserve">evelopment and updating of the Trust’s publication scheme in line with the requirements of the ICO Model Publication Scheme.  </w:t>
      </w:r>
    </w:p>
    <w:p w14:paraId="6B5D7FAB" w14:textId="5E74EFB8" w:rsidR="00855A91" w:rsidRPr="00C07B40" w:rsidRDefault="00ED760A" w:rsidP="00F73ACA">
      <w:pPr>
        <w:pStyle w:val="Policybulletlevel2"/>
        <w:rPr>
          <w:b/>
        </w:rPr>
      </w:pPr>
      <w:r>
        <w:rPr>
          <w:b/>
        </w:rPr>
        <w:t>FOI</w:t>
      </w:r>
      <w:r w:rsidR="00855A91" w:rsidRPr="00C07B40">
        <w:rPr>
          <w:b/>
        </w:rPr>
        <w:t xml:space="preserve"> Team</w:t>
      </w:r>
    </w:p>
    <w:p w14:paraId="7CF7AEA4" w14:textId="4B234B96" w:rsidR="00855A91" w:rsidRPr="00855A91" w:rsidRDefault="00855A91" w:rsidP="00C07B40">
      <w:pPr>
        <w:pStyle w:val="PolicybulletLevel3"/>
      </w:pPr>
      <w:r w:rsidRPr="00855A91">
        <w:t xml:space="preserve">The administration of Trust Freedom of Information requests </w:t>
      </w:r>
      <w:r w:rsidR="0000671A">
        <w:t>lays</w:t>
      </w:r>
      <w:r w:rsidRPr="00855A91">
        <w:t xml:space="preserve"> with the FOI</w:t>
      </w:r>
      <w:r w:rsidR="00ED760A">
        <w:t xml:space="preserve"> &amp;</w:t>
      </w:r>
      <w:r w:rsidR="000310CC">
        <w:t xml:space="preserve"> Policy Administrator</w:t>
      </w:r>
      <w:r w:rsidR="00FC74F2">
        <w:t>(s)</w:t>
      </w:r>
      <w:r w:rsidR="00EE78A4">
        <w:t xml:space="preserve"> and is </w:t>
      </w:r>
      <w:r w:rsidRPr="00855A91">
        <w:t xml:space="preserve">managed by the </w:t>
      </w:r>
      <w:r w:rsidR="00FC74F2">
        <w:t>Policy &amp; FOI Manager</w:t>
      </w:r>
      <w:r w:rsidRPr="00855A91">
        <w:rPr>
          <w:b/>
        </w:rPr>
        <w:t>.</w:t>
      </w:r>
    </w:p>
    <w:p w14:paraId="44F3BC98" w14:textId="38A1285C" w:rsidR="00855A91" w:rsidRPr="00855A91" w:rsidRDefault="00855A91" w:rsidP="00C07B40">
      <w:pPr>
        <w:pStyle w:val="PolicybulletLevel3"/>
      </w:pPr>
      <w:r>
        <w:t xml:space="preserve">In facilitating responses to requests, the FOI </w:t>
      </w:r>
      <w:r w:rsidR="00FF22AB">
        <w:t>a</w:t>
      </w:r>
      <w:r>
        <w:t>dministrator</w:t>
      </w:r>
      <w:r w:rsidR="001818AB">
        <w:t>(s)</w:t>
      </w:r>
      <w:r>
        <w:t xml:space="preserve"> will ensure </w:t>
      </w:r>
      <w:r w:rsidR="001818AB">
        <w:t>they</w:t>
      </w:r>
      <w:r>
        <w:t xml:space="preserve"> remain up to date with the requirements of the Freedom of Information Act 2000, with assistance from the </w:t>
      </w:r>
      <w:r w:rsidR="00ED760A" w:rsidRPr="00ED760A">
        <w:t>Director of Corporate Governance</w:t>
      </w:r>
      <w:r>
        <w:t>.</w:t>
      </w:r>
    </w:p>
    <w:p w14:paraId="5596E62A" w14:textId="46156489" w:rsidR="00855A91" w:rsidRPr="0035235A" w:rsidRDefault="0035235A" w:rsidP="00260363">
      <w:pPr>
        <w:pStyle w:val="PolicybulletLevel3"/>
      </w:pPr>
      <w:r>
        <w:t xml:space="preserve">The </w:t>
      </w:r>
      <w:r w:rsidR="000310CC" w:rsidRPr="00855A91">
        <w:t>FOI</w:t>
      </w:r>
      <w:r w:rsidR="00ED760A">
        <w:t xml:space="preserve"> &amp;</w:t>
      </w:r>
      <w:r w:rsidR="000310CC">
        <w:t xml:space="preserve"> Policy</w:t>
      </w:r>
      <w:r w:rsidR="00A067CE">
        <w:t xml:space="preserve"> </w:t>
      </w:r>
      <w:r w:rsidR="000310CC">
        <w:t xml:space="preserve">Administrator </w:t>
      </w:r>
      <w:r>
        <w:t xml:space="preserve">will adhere to the Data Protection Act </w:t>
      </w:r>
      <w:r w:rsidR="002C6CCE">
        <w:t>2018</w:t>
      </w:r>
      <w:r>
        <w:t xml:space="preserve"> by protecting the personal information of both internal staff and that of the requester. </w:t>
      </w:r>
      <w:r>
        <w:lastRenderedPageBreak/>
        <w:t>Requests will be anonymised prior to sending to FOI Leads to facilitate a reply to ensure a non-biased response.</w:t>
      </w:r>
      <w:r w:rsidR="001E3A89">
        <w:t xml:space="preserve"> Where information requires redacting prior to disclosure the </w:t>
      </w:r>
      <w:r w:rsidR="001E3A89" w:rsidRPr="001E3A89">
        <w:t>FOI</w:t>
      </w:r>
      <w:r w:rsidR="00ED760A">
        <w:t xml:space="preserve"> &amp;</w:t>
      </w:r>
      <w:r w:rsidR="00A067CE">
        <w:t xml:space="preserve"> </w:t>
      </w:r>
      <w:r w:rsidR="00ED760A">
        <w:t>Policy</w:t>
      </w:r>
      <w:r w:rsidR="001E3A89" w:rsidRPr="001E3A89">
        <w:t xml:space="preserve"> Administrator</w:t>
      </w:r>
      <w:r w:rsidR="001E3A89">
        <w:t xml:space="preserve"> will ensure this has been done appropriately, however the responsibility for redacting the information lies primarily with the department that provides the information.</w:t>
      </w:r>
    </w:p>
    <w:p w14:paraId="0AD60CC7" w14:textId="72575520" w:rsidR="00A067CE" w:rsidRDefault="0035235A" w:rsidP="00B378D4">
      <w:pPr>
        <w:pStyle w:val="PolicybulletLevel3"/>
      </w:pPr>
      <w:r>
        <w:t xml:space="preserve">The </w:t>
      </w:r>
      <w:r w:rsidR="000310CC">
        <w:t xml:space="preserve">Policy and </w:t>
      </w:r>
      <w:r w:rsidR="001818AB">
        <w:t>FOI Manager</w:t>
      </w:r>
      <w:r w:rsidR="006A652B">
        <w:t xml:space="preserve"> </w:t>
      </w:r>
      <w:r>
        <w:t xml:space="preserve">will present </w:t>
      </w:r>
      <w:r w:rsidR="000310CC">
        <w:t>quarterly</w:t>
      </w:r>
      <w:r>
        <w:t xml:space="preserve"> reports on Freedom of Information activity to the </w:t>
      </w:r>
      <w:r w:rsidR="000310CC">
        <w:t xml:space="preserve">Regulatory </w:t>
      </w:r>
      <w:r w:rsidR="00A067CE">
        <w:t>Oversight</w:t>
      </w:r>
      <w:r>
        <w:t xml:space="preserve"> Group</w:t>
      </w:r>
      <w:r w:rsidR="00A067CE">
        <w:t>.</w:t>
      </w:r>
    </w:p>
    <w:p w14:paraId="7E3BB2B5" w14:textId="3BFDD812" w:rsidR="0035235A" w:rsidRPr="0035235A" w:rsidRDefault="0035235A" w:rsidP="00B378D4">
      <w:pPr>
        <w:pStyle w:val="PolicybulletLevel3"/>
      </w:pPr>
      <w:r>
        <w:t xml:space="preserve">The </w:t>
      </w:r>
      <w:r w:rsidR="000310CC" w:rsidRPr="00855A91">
        <w:t>FOI</w:t>
      </w:r>
      <w:r w:rsidR="00ED760A">
        <w:t xml:space="preserve"> &amp;</w:t>
      </w:r>
      <w:r w:rsidR="000310CC">
        <w:t xml:space="preserve"> Policy Administrator </w:t>
      </w:r>
      <w:r>
        <w:t>will ensure that the Communications Department is kept informed of any Freedom of Information requests.</w:t>
      </w:r>
    </w:p>
    <w:p w14:paraId="577CB2A2" w14:textId="5B77D7E8" w:rsidR="0083696B" w:rsidRPr="00855A91" w:rsidRDefault="0035235A" w:rsidP="0083696B">
      <w:pPr>
        <w:pStyle w:val="PolicybulletLevel3"/>
      </w:pPr>
      <w:r>
        <w:t xml:space="preserve">The </w:t>
      </w:r>
      <w:r w:rsidR="001818AB">
        <w:t>Policy and FOI Manager</w:t>
      </w:r>
      <w:r w:rsidR="000310CC">
        <w:t xml:space="preserve"> </w:t>
      </w:r>
      <w:r>
        <w:t xml:space="preserve">will use judgement to keep Executive Directors informed of more complex requests or requests linked to current issues faced by the Trust.  </w:t>
      </w:r>
      <w:r w:rsidR="0083696B" w:rsidRPr="0083696B">
        <w:t>Executive Director sign off will be sought for all replies to FOI requests</w:t>
      </w:r>
      <w:r w:rsidR="0083696B">
        <w:t>.</w:t>
      </w:r>
    </w:p>
    <w:p w14:paraId="697F7AFE" w14:textId="77777777" w:rsidR="00665C82" w:rsidRPr="00C07B40" w:rsidRDefault="002E6A1B" w:rsidP="00F73ACA">
      <w:pPr>
        <w:pStyle w:val="Policybulletlevel2"/>
        <w:rPr>
          <w:b/>
        </w:rPr>
      </w:pPr>
      <w:r w:rsidRPr="00C07B40">
        <w:rPr>
          <w:b/>
        </w:rPr>
        <w:t>Contractors’ Responsibilities</w:t>
      </w:r>
    </w:p>
    <w:p w14:paraId="5A9E647F" w14:textId="77777777" w:rsidR="00665C82" w:rsidRDefault="00665C82" w:rsidP="00F73ACA">
      <w:pPr>
        <w:pStyle w:val="PolicybulletLevel3"/>
      </w:pPr>
      <w:r w:rsidRPr="00665C82">
        <w:t xml:space="preserve">Contractors can have obligations under the Act, by nature of having a contract with a public authority.  </w:t>
      </w:r>
      <w:r w:rsidR="00442B7B">
        <w:t xml:space="preserve">Contractors </w:t>
      </w:r>
      <w:r w:rsidRPr="00665C82">
        <w:t>have an obligation to assist enquirers, and must forward immediately to the Trust, any written requests for information, pertinent to the Trust, received by them or their staff.  These must be sent immediat</w:t>
      </w:r>
      <w:r w:rsidR="00923F99">
        <w:t xml:space="preserve">ely to the Trust’s FOI office. </w:t>
      </w:r>
      <w:r w:rsidRPr="00665C82">
        <w:t>Those making verbal requests should be encouraged to put them in writing, t</w:t>
      </w:r>
      <w:r w:rsidR="00923F99">
        <w:t xml:space="preserve">hrough the Trust’s FOI office. </w:t>
      </w:r>
      <w:r w:rsidRPr="00665C82">
        <w:t>For the purposes of the Act, the time allowed for response will commence from when the request is received, in writing, by an officer of the Trust, rather than the contractor.</w:t>
      </w:r>
      <w:r w:rsidR="00442B7B">
        <w:t xml:space="preserve"> Contracts should, therefore, include a clause setting out the Contractor’s obligations in this respect</w:t>
      </w:r>
      <w:r w:rsidR="00373B38">
        <w:t>.</w:t>
      </w:r>
    </w:p>
    <w:p w14:paraId="09825081" w14:textId="77777777" w:rsidR="00665C82" w:rsidRPr="00665C82" w:rsidRDefault="00665C82" w:rsidP="00F73ACA">
      <w:pPr>
        <w:pStyle w:val="PolicybulletLevel3"/>
      </w:pPr>
      <w:r w:rsidRPr="00665C82">
        <w:t xml:space="preserve">When entering into contracts the Trust </w:t>
      </w:r>
      <w:r w:rsidR="00442B7B">
        <w:t>shall</w:t>
      </w:r>
      <w:r w:rsidRPr="00665C82">
        <w:t xml:space="preserve"> </w:t>
      </w:r>
      <w:r w:rsidR="00442B7B">
        <w:t xml:space="preserve">not </w:t>
      </w:r>
      <w:r w:rsidRPr="00665C82">
        <w:t xml:space="preserve">include contractual terms that </w:t>
      </w:r>
      <w:r w:rsidR="00442B7B">
        <w:t xml:space="preserve">seek </w:t>
      </w:r>
      <w:r w:rsidRPr="00665C82">
        <w:t xml:space="preserve">to restrict the disclosure of information held by the Trust </w:t>
      </w:r>
      <w:r w:rsidR="00442B7B">
        <w:t xml:space="preserve">(which </w:t>
      </w:r>
      <w:r w:rsidRPr="00665C82">
        <w:t>relat</w:t>
      </w:r>
      <w:r w:rsidR="00442B7B">
        <w:t>e</w:t>
      </w:r>
      <w:r w:rsidRPr="00665C82">
        <w:t xml:space="preserve"> to the contract</w:t>
      </w:r>
      <w:r w:rsidR="00442B7B">
        <w:t>)</w:t>
      </w:r>
      <w:r w:rsidRPr="00665C82">
        <w:t xml:space="preserve"> beyond the restrictions permitted by the Act. Unless an exemption under the Act is applicable </w:t>
      </w:r>
      <w:r w:rsidR="00442B7B">
        <w:t>(</w:t>
      </w:r>
      <w:r w:rsidRPr="00665C82">
        <w:t>in relation to any particular information</w:t>
      </w:r>
      <w:r w:rsidR="00442B7B">
        <w:t>)</w:t>
      </w:r>
      <w:r w:rsidRPr="00665C82">
        <w:t xml:space="preserve"> the Trust will be obliged to disclose that information in response to a request, regardless of the terms of any contract.</w:t>
      </w:r>
    </w:p>
    <w:p w14:paraId="67571BB5" w14:textId="5EB1639D" w:rsidR="00665C82" w:rsidRPr="00710536" w:rsidRDefault="00710536" w:rsidP="00F73ACA">
      <w:pPr>
        <w:pStyle w:val="PolicybulletLevel3"/>
      </w:pPr>
      <w:r w:rsidRPr="00840554">
        <w:t xml:space="preserve">When entering into contracts with non-public authority contractors, the Trust may be under pressure to accept confidentiality clauses so that information relating to the terms of the contract, its value and performance will be exempt from disclosure. As recommended by the Lord Chancellor's Department, the Trust will reject such clauses wherever possible. Where, exceptionally, it is necessary to include non-disclosure provisions in a contract, the Trust will investigate the option of agreeing with the contractor a schedule of the contract that clearly identifies information that should not be disclosed. The Trust will take care when drawing up any such schedule, and be aware that any restrictions on disclosure </w:t>
      </w:r>
      <w:r w:rsidRPr="00840554">
        <w:lastRenderedPageBreak/>
        <w:t xml:space="preserve">provided for could potentially be overridden by obligations under the Act, as described in the paragraph above. Any acceptance of such confidentiality provisions must be for good reasons and capable of being justified to the </w:t>
      </w:r>
      <w:r w:rsidR="001818AB">
        <w:t xml:space="preserve">Information </w:t>
      </w:r>
      <w:r w:rsidRPr="00840554">
        <w:t>Commissioner.</w:t>
      </w:r>
    </w:p>
    <w:p w14:paraId="13CEED76" w14:textId="77777777" w:rsidR="00710536" w:rsidRPr="00710536" w:rsidRDefault="00710536" w:rsidP="00F73ACA">
      <w:pPr>
        <w:pStyle w:val="PolicybulletLevel3"/>
      </w:pPr>
      <w:r w:rsidRPr="00840554">
        <w:t>The Trust will not agree to hold information 'in confidence' which is not in fact confidential in nature.</w:t>
      </w:r>
    </w:p>
    <w:p w14:paraId="04788144" w14:textId="35453A75" w:rsidR="00710536" w:rsidRPr="00710536" w:rsidRDefault="00710536" w:rsidP="00F73ACA">
      <w:pPr>
        <w:pStyle w:val="PolicybulletLevel3"/>
      </w:pPr>
      <w:r w:rsidRPr="00840554">
        <w:t>It is for the Trust</w:t>
      </w:r>
      <w:r w:rsidR="00707FA7">
        <w:t>,</w:t>
      </w:r>
      <w:r w:rsidRPr="00840554">
        <w:t xml:space="preserve"> </w:t>
      </w:r>
      <w:r w:rsidR="00707FA7" w:rsidRPr="00840554">
        <w:t>not the non-public authority contractor</w:t>
      </w:r>
      <w:r w:rsidR="00707FA7">
        <w:t>,</w:t>
      </w:r>
      <w:r w:rsidR="00707FA7" w:rsidRPr="00840554">
        <w:t xml:space="preserve"> </w:t>
      </w:r>
      <w:r w:rsidRPr="00840554">
        <w:t xml:space="preserve">to disclose information pursuant to the Act. The Trust will take steps to protect from disclosure by the contractor information that the authority has provided to the contractor that would clearly be exempt from disclosure under the Act, by appropriate contractual terms. In order to avoid unnecessary secrecy, any such constraints will be drawn as narrowly as possible and according to the individual circumstances of the case. The Trust will not otherwise impose terms of secrecy </w:t>
      </w:r>
      <w:r w:rsidRPr="00840554">
        <w:rPr>
          <w:iCs/>
        </w:rPr>
        <w:t>on</w:t>
      </w:r>
      <w:r w:rsidRPr="00840554">
        <w:rPr>
          <w:i/>
          <w:iCs/>
        </w:rPr>
        <w:t xml:space="preserve"> </w:t>
      </w:r>
      <w:r w:rsidRPr="00840554">
        <w:t>contractors.</w:t>
      </w:r>
    </w:p>
    <w:p w14:paraId="3C0E4BC4" w14:textId="50CD68DE" w:rsidR="009F1D23" w:rsidRPr="00572702" w:rsidRDefault="009F1D23" w:rsidP="009F1D23">
      <w:pPr>
        <w:pStyle w:val="PolicybulletLevel3"/>
      </w:pPr>
      <w:bookmarkStart w:id="34" w:name="_Toc523986726"/>
      <w:bookmarkStart w:id="35" w:name="_Toc523989244"/>
      <w:r>
        <w:t xml:space="preserve">Officers of the Trust responsible for the management of contractors who are required to support the FOI process under agreement, should ensure the contractor </w:t>
      </w:r>
      <w:r w:rsidRPr="00572702">
        <w:t>establish</w:t>
      </w:r>
      <w:r>
        <w:t>es</w:t>
      </w:r>
      <w:r w:rsidRPr="00572702">
        <w:t xml:space="preserve"> a robust process for </w:t>
      </w:r>
      <w:r>
        <w:t>providing</w:t>
      </w:r>
      <w:r w:rsidRPr="00572702">
        <w:t xml:space="preserve"> information to the </w:t>
      </w:r>
      <w:r w:rsidR="00ED760A">
        <w:t>FOI Team</w:t>
      </w:r>
      <w:r w:rsidRPr="00572702">
        <w:t xml:space="preserve"> in response to such requests</w:t>
      </w:r>
      <w:r>
        <w:t xml:space="preserve">.  Officers of the Trust are also responsible for ensuring the information provided </w:t>
      </w:r>
      <w:r w:rsidRPr="00572702">
        <w:t>is accurate and up</w:t>
      </w:r>
      <w:r>
        <w:t>-</w:t>
      </w:r>
      <w:r w:rsidRPr="00572702">
        <w:t>to</w:t>
      </w:r>
      <w:r>
        <w:t>-</w:t>
      </w:r>
      <w:r w:rsidRPr="00572702">
        <w:t xml:space="preserve">date, </w:t>
      </w:r>
      <w:r>
        <w:t>b</w:t>
      </w:r>
      <w:r w:rsidRPr="00572702">
        <w:t>y see</w:t>
      </w:r>
      <w:r>
        <w:t>k</w:t>
      </w:r>
      <w:r w:rsidRPr="00572702">
        <w:t xml:space="preserve">ing </w:t>
      </w:r>
      <w:r>
        <w:t xml:space="preserve">appropriate sign-off from an Officer of the Trust, </w:t>
      </w:r>
      <w:r w:rsidRPr="00572702">
        <w:t>if required.</w:t>
      </w:r>
    </w:p>
    <w:p w14:paraId="11E00A55" w14:textId="77777777" w:rsidR="00901EDC" w:rsidRPr="009F17DD" w:rsidRDefault="006251DF" w:rsidP="00F73ACA">
      <w:pPr>
        <w:pStyle w:val="Policyheader"/>
        <w:rPr>
          <w:sz w:val="32"/>
        </w:rPr>
      </w:pPr>
      <w:bookmarkStart w:id="36" w:name="_Toc176527323"/>
      <w:r>
        <w:t>General</w:t>
      </w:r>
      <w:r w:rsidR="00A36B32" w:rsidRPr="00196CDD">
        <w:t xml:space="preserve"> </w:t>
      </w:r>
      <w:r w:rsidR="002959F4" w:rsidRPr="008716F0">
        <w:t>Information</w:t>
      </w:r>
      <w:bookmarkEnd w:id="36"/>
      <w:r w:rsidR="002959F4" w:rsidRPr="00196CDD">
        <w:t xml:space="preserve"> </w:t>
      </w:r>
      <w:bookmarkEnd w:id="34"/>
      <w:bookmarkEnd w:id="35"/>
    </w:p>
    <w:p w14:paraId="5AF92456" w14:textId="77777777" w:rsidR="009F17DD" w:rsidRPr="007D6B23" w:rsidRDefault="001F0F6C" w:rsidP="00F73ACA">
      <w:pPr>
        <w:pStyle w:val="Policybulletlevel2"/>
        <w:rPr>
          <w:b/>
        </w:rPr>
      </w:pPr>
      <w:r w:rsidRPr="007D6B23">
        <w:rPr>
          <w:b/>
        </w:rPr>
        <w:t>General Rights of Access</w:t>
      </w:r>
    </w:p>
    <w:p w14:paraId="22F3DFB2" w14:textId="77777777" w:rsidR="001F0F6C" w:rsidRPr="001F0F6C" w:rsidRDefault="001F0F6C" w:rsidP="00F73ACA">
      <w:pPr>
        <w:pStyle w:val="PolicybulletLevel3"/>
      </w:pPr>
      <w:r w:rsidRPr="007201A9">
        <w:t>Section 1 of the Act gives a general right of access from 1st January 2005 to information held by the Trust, subject to certain conditions and exemptions. Any person making a request for information to the Trust is entitled:</w:t>
      </w:r>
    </w:p>
    <w:p w14:paraId="00D96B16" w14:textId="77777777" w:rsidR="001F0F6C" w:rsidRDefault="001F0F6C" w:rsidP="00F73ACA">
      <w:pPr>
        <w:pStyle w:val="Policybulletlevel4"/>
      </w:pPr>
      <w:r w:rsidRPr="007201A9">
        <w:t>To be informed in writing whether the Trust holds the information specified in the request, and</w:t>
      </w:r>
    </w:p>
    <w:p w14:paraId="2FEDE00B" w14:textId="77777777" w:rsidR="001F0F6C" w:rsidRPr="001F0F6C" w:rsidRDefault="001F0F6C" w:rsidP="00F73ACA">
      <w:pPr>
        <w:pStyle w:val="Policybulletlevel4"/>
      </w:pPr>
      <w:r w:rsidRPr="001F0F6C">
        <w:t>If the Trust holds the information to have that information communicated to them.</w:t>
      </w:r>
    </w:p>
    <w:p w14:paraId="53B8D08D" w14:textId="77777777" w:rsidR="001F0F6C" w:rsidRPr="001F0F6C" w:rsidRDefault="001F0F6C" w:rsidP="00F73ACA">
      <w:pPr>
        <w:pStyle w:val="PolicybulletLevel3"/>
      </w:pPr>
      <w:r w:rsidRPr="007201A9">
        <w:t>This is the 'duty to confirm or deny'. These provisions are fully retrospective in that if the Trust holds the information it must provide it, subject to the certain conditions and exemptions. The Trust will ensure that procedures and systems are in place to facilitate access by the public from this date.</w:t>
      </w:r>
    </w:p>
    <w:p w14:paraId="74258C4C" w14:textId="77777777" w:rsidR="001F0F6C" w:rsidRPr="001F0F6C" w:rsidRDefault="001F0F6C" w:rsidP="00F73ACA">
      <w:pPr>
        <w:pStyle w:val="PolicybulletLevel3"/>
      </w:pPr>
      <w:r w:rsidRPr="007201A9">
        <w:t>In accordance with the Act, a request for information under the general rights of access must be received in writing, stating the name of the applicant and an address for correspondence, and describing the information requested.</w:t>
      </w:r>
    </w:p>
    <w:p w14:paraId="5F842450" w14:textId="733CECA1" w:rsidR="001F0F6C" w:rsidRPr="001F0F6C" w:rsidRDefault="001F0F6C" w:rsidP="00F73ACA">
      <w:pPr>
        <w:pStyle w:val="PolicybulletLevel3"/>
      </w:pPr>
      <w:r w:rsidRPr="004474D6">
        <w:lastRenderedPageBreak/>
        <w:t xml:space="preserve">The Trust </w:t>
      </w:r>
      <w:r w:rsidR="007D6B23">
        <w:t>has</w:t>
      </w:r>
      <w:r w:rsidR="007D6B23" w:rsidRPr="004474D6">
        <w:t xml:space="preserve"> </w:t>
      </w:r>
      <w:r w:rsidRPr="004474D6">
        <w:t>establish</w:t>
      </w:r>
      <w:r w:rsidR="007D6B23">
        <w:t>ed</w:t>
      </w:r>
      <w:r w:rsidRPr="004474D6">
        <w:t xml:space="preserve"> systems and procedures to process applications arising from the general rights of access.  </w:t>
      </w:r>
    </w:p>
    <w:p w14:paraId="6B71EFB2" w14:textId="143742A1" w:rsidR="001F0F6C" w:rsidRPr="007D6B23" w:rsidRDefault="001F0F6C" w:rsidP="00F73ACA">
      <w:pPr>
        <w:pStyle w:val="Policybulletlevel2"/>
        <w:rPr>
          <w:b/>
        </w:rPr>
      </w:pPr>
      <w:r w:rsidRPr="007D6B23">
        <w:rPr>
          <w:b/>
        </w:rPr>
        <w:t>Environmental Information Regulations 2004</w:t>
      </w:r>
    </w:p>
    <w:p w14:paraId="0D056951" w14:textId="77777777" w:rsidR="001F0F6C" w:rsidRPr="002579A0" w:rsidRDefault="002579A0" w:rsidP="00F73ACA">
      <w:pPr>
        <w:pStyle w:val="PolicybulletLevel3"/>
      </w:pPr>
      <w:r>
        <w:t>The Trust recognises that in addition to the Act, there is also an obligation on public authorities to respond to requests for environmental information under the Environmental Information Regulations (EIR) 2004.</w:t>
      </w:r>
    </w:p>
    <w:p w14:paraId="23A60066" w14:textId="77777777" w:rsidR="002579A0" w:rsidRPr="001F0F6C" w:rsidRDefault="002579A0" w:rsidP="00F73ACA">
      <w:pPr>
        <w:pStyle w:val="PolicybulletLevel3"/>
      </w:pPr>
      <w:r>
        <w:t xml:space="preserve">The Trust will, as far as possible, respond to requests for environmental information using the same procedures as for responding to Freedom of Information (FOI) requests, while recognising that there are some differing regulations between EIR and FOI on the provision of information.  These include rules governing what environmental information may be disclosed (exceptions under EIR) and the requirement to respond to requests for environmental information </w:t>
      </w:r>
      <w:r w:rsidR="00F077E0">
        <w:t xml:space="preserve">irrespective of </w:t>
      </w:r>
      <w:r w:rsidRPr="00260363">
        <w:t>whether the request is in writing or verbal form</w:t>
      </w:r>
      <w:r w:rsidRPr="00F077E0">
        <w:t>.</w:t>
      </w:r>
    </w:p>
    <w:p w14:paraId="326A16D5" w14:textId="77777777" w:rsidR="001F0F6C" w:rsidRPr="007D6B23" w:rsidRDefault="004C63A8" w:rsidP="00F73ACA">
      <w:pPr>
        <w:pStyle w:val="Policybulletlevel2"/>
        <w:rPr>
          <w:b/>
        </w:rPr>
      </w:pPr>
      <w:r w:rsidRPr="007D6B23">
        <w:rPr>
          <w:b/>
        </w:rPr>
        <w:t>Protection of Freedoms Act 2012</w:t>
      </w:r>
    </w:p>
    <w:p w14:paraId="2AFAB1B0" w14:textId="77777777" w:rsidR="004C63A8" w:rsidRPr="004C63A8" w:rsidRDefault="004C63A8" w:rsidP="00F73ACA">
      <w:pPr>
        <w:pStyle w:val="PolicybulletLevel3"/>
      </w:pPr>
      <w:r w:rsidRPr="00980B8D">
        <w:t>Section 102 of the Protection of Freedoms Act 2012 adds new</w:t>
      </w:r>
      <w:r>
        <w:t xml:space="preserve"> </w:t>
      </w:r>
      <w:r w:rsidRPr="00980B8D">
        <w:t xml:space="preserve">provisions to certain sections of </w:t>
      </w:r>
      <w:r>
        <w:t>the Freedom of Information Act 2000</w:t>
      </w:r>
      <w:r w:rsidRPr="00980B8D">
        <w:t>. The new provisions only</w:t>
      </w:r>
      <w:r>
        <w:t xml:space="preserve"> </w:t>
      </w:r>
      <w:r w:rsidRPr="00980B8D">
        <w:t>concern one type of information, namely ‘datasets’; this term is</w:t>
      </w:r>
      <w:r>
        <w:t xml:space="preserve"> </w:t>
      </w:r>
      <w:r w:rsidRPr="00980B8D">
        <w:t xml:space="preserve">defined in the new section 11(5) </w:t>
      </w:r>
      <w:r>
        <w:t>of the Freedom of Information Act 2000</w:t>
      </w:r>
      <w:r w:rsidRPr="00980B8D">
        <w:t>. The additions are to</w:t>
      </w:r>
      <w:r>
        <w:t xml:space="preserve"> </w:t>
      </w:r>
      <w:r w:rsidRPr="00980B8D">
        <w:t>section 11 (Means by which communication to be made),</w:t>
      </w:r>
      <w:r>
        <w:t xml:space="preserve"> </w:t>
      </w:r>
      <w:r w:rsidRPr="00980B8D">
        <w:t>section 19 (Publication schemes) and section 45 (Secretary of</w:t>
      </w:r>
      <w:r>
        <w:t xml:space="preserve"> </w:t>
      </w:r>
      <w:r w:rsidRPr="00980B8D">
        <w:t>State’s Code of Practice); the term ‘dataset’ has also been</w:t>
      </w:r>
      <w:r>
        <w:t xml:space="preserve"> </w:t>
      </w:r>
      <w:r w:rsidRPr="00980B8D">
        <w:t>added to the list of definitions in section 84.</w:t>
      </w:r>
    </w:p>
    <w:p w14:paraId="6E7F6B46" w14:textId="77777777" w:rsidR="004C63A8" w:rsidRPr="004C63A8" w:rsidRDefault="004C63A8" w:rsidP="00F73ACA">
      <w:pPr>
        <w:pStyle w:val="PolicybulletLevel3"/>
      </w:pPr>
      <w:r w:rsidRPr="004C63A8">
        <w:t>In line with this new provision, the Trust will ensure datasets are made available, either in response to a Freedom of Information Act 2000 request or proactively under a publication scheme, in a way that allows them to be re-used.  The Trust will, so far as reasonably practical, ensure the requester is provided the information in a re-usable form and under licensing conditions that permit re-use.</w:t>
      </w:r>
    </w:p>
    <w:p w14:paraId="2943616E" w14:textId="77777777" w:rsidR="004C63A8" w:rsidRPr="004C63A8" w:rsidRDefault="004C63A8" w:rsidP="00F73ACA">
      <w:pPr>
        <w:pStyle w:val="Policyheader"/>
      </w:pPr>
      <w:bookmarkStart w:id="37" w:name="_Toc176527324"/>
      <w:r>
        <w:t xml:space="preserve">Conditions and </w:t>
      </w:r>
      <w:r w:rsidRPr="008716F0">
        <w:t>Exemptions</w:t>
      </w:r>
      <w:bookmarkEnd w:id="37"/>
    </w:p>
    <w:p w14:paraId="18FD7C53" w14:textId="77777777" w:rsidR="00B15BB8" w:rsidRPr="00924BD6" w:rsidRDefault="004C63A8" w:rsidP="00260363">
      <w:pPr>
        <w:pStyle w:val="Policybulletlevel2"/>
      </w:pPr>
      <w:r w:rsidRPr="00F13D31">
        <w:t xml:space="preserve">The duty to confirm or deny is subject to certain conditions and exemptions. </w:t>
      </w:r>
      <w:r>
        <w:t xml:space="preserve">Under </w:t>
      </w:r>
      <w:r w:rsidRPr="00F13D31">
        <w:t>section 1 (3) the duty to confirm or deny does not arise where the Trust:</w:t>
      </w:r>
    </w:p>
    <w:p w14:paraId="4F973AF1" w14:textId="77777777" w:rsidR="00924BD6" w:rsidRPr="00924BD6" w:rsidRDefault="00924BD6" w:rsidP="00260363">
      <w:pPr>
        <w:pStyle w:val="PolicybulletLevel3"/>
        <w:ind w:left="1701"/>
      </w:pPr>
      <w:r w:rsidRPr="00924BD6">
        <w:t>Reasonably requires further information in order to identify and locate the information requested, and</w:t>
      </w:r>
    </w:p>
    <w:p w14:paraId="77BD11A1" w14:textId="77777777" w:rsidR="00924BD6" w:rsidRPr="00924BD6" w:rsidRDefault="00924BD6" w:rsidP="00260363">
      <w:pPr>
        <w:pStyle w:val="PolicybulletLevel3"/>
        <w:ind w:left="1701"/>
      </w:pPr>
      <w:r w:rsidRPr="00F13D31">
        <w:t>Has informed the applicant of that requirement.</w:t>
      </w:r>
    </w:p>
    <w:p w14:paraId="2B5A44C7" w14:textId="77777777" w:rsidR="00120906" w:rsidRDefault="00924BD6" w:rsidP="00260363">
      <w:pPr>
        <w:pStyle w:val="Policybulletlevel2"/>
      </w:pPr>
      <w:r w:rsidRPr="00F13D31">
        <w:t>The Trust will make reasonable efforts to contact the applicant for additional information pursuant to their request should further information be required.</w:t>
      </w:r>
    </w:p>
    <w:p w14:paraId="410D405D" w14:textId="01A0B90F" w:rsidR="00924BD6" w:rsidRPr="00924BD6" w:rsidRDefault="00C27DB1" w:rsidP="00260363">
      <w:pPr>
        <w:pStyle w:val="Policybulletlevel2"/>
      </w:pPr>
      <w:r>
        <w:t>Th</w:t>
      </w:r>
      <w:r w:rsidR="00924BD6" w:rsidRPr="00120906">
        <w:t xml:space="preserve">e Trust does not have to comply with the duty to ‘confirm or deny’ if the information is exempt under the provisions of Part II of the Act. These provisions </w:t>
      </w:r>
      <w:r w:rsidR="00924BD6" w:rsidRPr="00120906">
        <w:lastRenderedPageBreak/>
        <w:t xml:space="preserve">either confer an absolute exemption or a qualified exemption. A qualified exemption may be applied if the public interest in maintaining the exclusion of the duty to confirm or deny outweighs the public interest in disclosing whether the Trust holds the information. The Part II exemptions are listed in </w:t>
      </w:r>
      <w:r w:rsidR="00924BD6" w:rsidRPr="00B01334">
        <w:t xml:space="preserve">Appendix </w:t>
      </w:r>
      <w:r w:rsidR="00ED760A">
        <w:t>A</w:t>
      </w:r>
      <w:r w:rsidR="00ED760A" w:rsidRPr="00120906">
        <w:t xml:space="preserve"> </w:t>
      </w:r>
      <w:r w:rsidR="00924BD6" w:rsidRPr="00120906">
        <w:t>of this Policy. The Trust will seek to use the qualified exemptions sparingly and will justify the use of such exemptions.</w:t>
      </w:r>
    </w:p>
    <w:p w14:paraId="346B00DC" w14:textId="77777777" w:rsidR="00924BD6" w:rsidRPr="00924BD6" w:rsidRDefault="00FB527D" w:rsidP="00260363">
      <w:pPr>
        <w:pStyle w:val="Policybulletlevel2"/>
      </w:pPr>
      <w:r w:rsidRPr="00F13D31">
        <w:t>The duty to confirm or deny does not arise if a fees notice has been issued and the fee has not been paid within the period of three months beginning on the day on which the fees notice is given to the applicant.</w:t>
      </w:r>
    </w:p>
    <w:p w14:paraId="080CBFEF" w14:textId="77777777" w:rsidR="00924BD6" w:rsidRPr="00924BD6" w:rsidRDefault="00FB527D" w:rsidP="00260363">
      <w:pPr>
        <w:pStyle w:val="Policybulletlevel2"/>
      </w:pPr>
      <w:r w:rsidRPr="00F13D31">
        <w:t xml:space="preserve">The duty to comply with a request for information does not arise if the Trust estimates that the cost of compliance with the request would exceed the appropriate limit </w:t>
      </w:r>
      <w:r>
        <w:t>detailed</w:t>
      </w:r>
      <w:r w:rsidRPr="00F13D31">
        <w:t xml:space="preserve"> in </w:t>
      </w:r>
      <w:r>
        <w:t xml:space="preserve">the </w:t>
      </w:r>
      <w:r w:rsidRPr="00F13D31">
        <w:t>national Fees Regulations. The Trust will work with applicants to keep compliance costs to a minimum but reserves the right to either (a) refuse or (b) charge for the communication of information that exceeds this limit.</w:t>
      </w:r>
    </w:p>
    <w:p w14:paraId="6C2BD64A" w14:textId="7B3D4DC7" w:rsidR="00924BD6" w:rsidRPr="00924BD6" w:rsidRDefault="00FB527D" w:rsidP="00260363">
      <w:pPr>
        <w:pStyle w:val="Policybulletlevel2"/>
      </w:pPr>
      <w:r w:rsidRPr="00F13D31">
        <w:t xml:space="preserve">The Trust is not obliged to comply with a request for information if the request is vexatious. Where the Trust has previously complied with a request for </w:t>
      </w:r>
      <w:r w:rsidR="00EB2051" w:rsidRPr="00F13D31">
        <w:t>information, which</w:t>
      </w:r>
      <w:r w:rsidRPr="00F13D31">
        <w:t xml:space="preserve"> was made by any person, it is not obliged to comply with a subsequent identical or </w:t>
      </w:r>
      <w:r>
        <w:t>substantially</w:t>
      </w:r>
      <w:r w:rsidRPr="00F13D31">
        <w:t xml:space="preserve"> similar request from that person unless a reasonable interval has elapsed between compliance with the previous request and the current request. The Trust will log all requests for information for monitoring purposes.</w:t>
      </w:r>
    </w:p>
    <w:p w14:paraId="68C8C400" w14:textId="77777777" w:rsidR="00924BD6" w:rsidRPr="00B15BB8" w:rsidRDefault="00EF3066" w:rsidP="00F73ACA">
      <w:pPr>
        <w:pStyle w:val="Policyheader"/>
      </w:pPr>
      <w:bookmarkStart w:id="38" w:name="_Toc176527325"/>
      <w:r>
        <w:t>Charges and Fees</w:t>
      </w:r>
      <w:bookmarkEnd w:id="38"/>
    </w:p>
    <w:p w14:paraId="79141C39" w14:textId="77777777" w:rsidR="00EF3066" w:rsidRPr="00EF3066" w:rsidRDefault="00EF3066" w:rsidP="00260363">
      <w:pPr>
        <w:pStyle w:val="Policybulletlevel2"/>
      </w:pPr>
      <w:r w:rsidRPr="00AE128A">
        <w:t>The Trust will generally not charge for information that it has chosen to publish in its Publication Scheme.  However, the Trust is permitted to charge reasonable fees to meet some of the costs of providing information.  The fee may include:</w:t>
      </w:r>
    </w:p>
    <w:p w14:paraId="138BA9F3" w14:textId="3BE06AE7" w:rsidR="00EF3066" w:rsidRPr="00EF3066" w:rsidRDefault="00EF3066" w:rsidP="00260363">
      <w:pPr>
        <w:pStyle w:val="PolicybulletLevel3"/>
        <w:ind w:left="1701"/>
      </w:pPr>
      <w:r w:rsidRPr="00AE128A">
        <w:t>The cost of putting the information into the applicant’s request format, e.g. audio, CD, etc.</w:t>
      </w:r>
      <w:r w:rsidR="00707FA7">
        <w:t>;</w:t>
      </w:r>
    </w:p>
    <w:p w14:paraId="700390D6" w14:textId="4DF4BFBE" w:rsidR="00EF3066" w:rsidRPr="00EF3066" w:rsidRDefault="00EF3066" w:rsidP="00260363">
      <w:pPr>
        <w:pStyle w:val="PolicybulletLevel3"/>
        <w:ind w:left="1701"/>
      </w:pPr>
      <w:r w:rsidRPr="00EF3066">
        <w:t>Photocopying and printing costs</w:t>
      </w:r>
      <w:r w:rsidR="00707FA7">
        <w:t>;</w:t>
      </w:r>
    </w:p>
    <w:p w14:paraId="53D85F79" w14:textId="77777777" w:rsidR="00EF3066" w:rsidRPr="00EF3066" w:rsidRDefault="00EF3066" w:rsidP="00260363">
      <w:pPr>
        <w:pStyle w:val="PolicybulletLevel3"/>
        <w:ind w:left="1701"/>
      </w:pPr>
      <w:r w:rsidRPr="00AE128A">
        <w:t>Postage and other transmission costs.</w:t>
      </w:r>
    </w:p>
    <w:p w14:paraId="2ED37701" w14:textId="77777777" w:rsidR="00EF3066" w:rsidRPr="00EF3066" w:rsidRDefault="00EF3066" w:rsidP="00260363">
      <w:pPr>
        <w:pStyle w:val="Policybulletlevel2"/>
      </w:pPr>
      <w:r w:rsidRPr="00AE128A">
        <w:t>The Trust is not obliged to charge a fee in meeting their duties under the Act.</w:t>
      </w:r>
    </w:p>
    <w:p w14:paraId="0189373C" w14:textId="098C0DA8" w:rsidR="00EF3066" w:rsidRPr="00EF3066" w:rsidRDefault="00EF3066" w:rsidP="00260363">
      <w:pPr>
        <w:pStyle w:val="Policybulletlevel2"/>
      </w:pPr>
      <w:r w:rsidRPr="00AE128A">
        <w:t>Additionally, the Trust will not charge for putting information into another forma</w:t>
      </w:r>
      <w:r>
        <w:t>t</w:t>
      </w:r>
      <w:r w:rsidRPr="00AE128A">
        <w:t xml:space="preserve"> if the Trust is under a duty to make information accessible under other legislation relevant to any </w:t>
      </w:r>
      <w:proofErr w:type="gramStart"/>
      <w:r w:rsidRPr="00AE128A">
        <w:t>equalities</w:t>
      </w:r>
      <w:proofErr w:type="gramEnd"/>
      <w:r w:rsidRPr="00AE128A">
        <w:t xml:space="preserve"> duties</w:t>
      </w:r>
      <w:r w:rsidR="006251DF">
        <w:t>, specifically</w:t>
      </w:r>
      <w:r w:rsidRPr="00AE128A">
        <w:t xml:space="preserve"> – ethnicity, disability, religion, age, </w:t>
      </w:r>
      <w:r w:rsidR="00D60607">
        <w:t xml:space="preserve">sex, </w:t>
      </w:r>
      <w:r w:rsidRPr="00AE128A">
        <w:t>gender</w:t>
      </w:r>
      <w:r w:rsidR="00D60607">
        <w:t xml:space="preserve"> assignment</w:t>
      </w:r>
      <w:r w:rsidRPr="00AE128A">
        <w:t>, sexual</w:t>
      </w:r>
      <w:r w:rsidR="00D60607">
        <w:t xml:space="preserve"> orientation, marriage/civil partnership or pregnancy/maternity</w:t>
      </w:r>
      <w:r w:rsidR="00AD28AC">
        <w:t>.</w:t>
      </w:r>
    </w:p>
    <w:p w14:paraId="0818B26C" w14:textId="5CF49276" w:rsidR="00EF3066" w:rsidRPr="00EF3066" w:rsidRDefault="00EF3066" w:rsidP="00260363">
      <w:pPr>
        <w:pStyle w:val="Policybulletlevel2"/>
      </w:pPr>
      <w:r w:rsidRPr="00AE128A">
        <w:lastRenderedPageBreak/>
        <w:t xml:space="preserve">There may be a few cases where the costs of meeting a request under the General </w:t>
      </w:r>
      <w:r w:rsidR="00D60607">
        <w:t>R</w:t>
      </w:r>
      <w:r w:rsidR="00D60607" w:rsidRPr="00AE128A">
        <w:t xml:space="preserve">ights </w:t>
      </w:r>
      <w:r w:rsidRPr="00AE128A">
        <w:t xml:space="preserve">of </w:t>
      </w:r>
      <w:r w:rsidR="00D60607">
        <w:t>A</w:t>
      </w:r>
      <w:r w:rsidR="00D60607" w:rsidRPr="00AE128A">
        <w:t xml:space="preserve">ccess </w:t>
      </w:r>
      <w:r w:rsidRPr="00AE128A">
        <w:t xml:space="preserve">would exceed the appropriate limit, which for NHS </w:t>
      </w:r>
      <w:r w:rsidR="00D60607">
        <w:t>t</w:t>
      </w:r>
      <w:r w:rsidR="00D60607" w:rsidRPr="00AE128A">
        <w:t xml:space="preserve">rusts </w:t>
      </w:r>
      <w:r w:rsidRPr="00AE128A">
        <w:t xml:space="preserve">is set at £450.  Where this is the case, the Trust is allowed to refuse to answer the request. The limit is applied first to the Trust’s duty to confirm or deny that it holds the information and then its duty to supply the information.  Therefore, </w:t>
      </w:r>
      <w:r w:rsidR="00AD28AC">
        <w:t xml:space="preserve">if </w:t>
      </w:r>
      <w:r w:rsidRPr="00AE128A">
        <w:t>it would cost more than £450 to confirm or deny there is no duty to do so.</w:t>
      </w:r>
    </w:p>
    <w:p w14:paraId="36818080" w14:textId="77777777" w:rsidR="00EF3066" w:rsidRPr="007F1A95" w:rsidRDefault="00120906" w:rsidP="00260363">
      <w:pPr>
        <w:pStyle w:val="Policybulletlevel2"/>
      </w:pPr>
      <w:r>
        <w:t xml:space="preserve">The Trust is </w:t>
      </w:r>
      <w:r w:rsidR="00EF3066" w:rsidRPr="00EF3066">
        <w:t>permitted to estimate whether the cost of meeting a particular request would exceed the £450 limit. To do this the Trust will take account of the costs of employing staff to:</w:t>
      </w:r>
    </w:p>
    <w:p w14:paraId="212B745F" w14:textId="7B592C38" w:rsidR="00EF3066" w:rsidRPr="00AE128A" w:rsidRDefault="00EF3066" w:rsidP="00260363">
      <w:pPr>
        <w:pStyle w:val="PolicybulletLevel3"/>
        <w:ind w:left="1701" w:hanging="850"/>
      </w:pPr>
      <w:r w:rsidRPr="00AE128A">
        <w:t>Find</w:t>
      </w:r>
      <w:r w:rsidR="00120906">
        <w:t xml:space="preserve"> out whether the information is </w:t>
      </w:r>
      <w:r w:rsidRPr="00AE128A">
        <w:t>held</w:t>
      </w:r>
      <w:r w:rsidR="00AD28AC">
        <w:t>;</w:t>
      </w:r>
    </w:p>
    <w:p w14:paraId="1B1C35C8" w14:textId="1FF9DB4C" w:rsidR="00EF3066" w:rsidRPr="00AE128A" w:rsidRDefault="00EF3066" w:rsidP="00260363">
      <w:pPr>
        <w:pStyle w:val="PolicybulletLevel3"/>
        <w:ind w:left="1701" w:hanging="850"/>
      </w:pPr>
      <w:r w:rsidRPr="00AE128A">
        <w:t>Locate and retrieve the information</w:t>
      </w:r>
      <w:r w:rsidR="00AD28AC">
        <w:t>;</w:t>
      </w:r>
    </w:p>
    <w:p w14:paraId="24480842" w14:textId="4F5EB8E4" w:rsidR="00EF3066" w:rsidRDefault="00EF3066" w:rsidP="00260363">
      <w:pPr>
        <w:pStyle w:val="PolicybulletLevel3"/>
        <w:ind w:left="1701" w:hanging="850"/>
      </w:pPr>
      <w:r w:rsidRPr="00AE128A">
        <w:t>Extract the information.</w:t>
      </w:r>
    </w:p>
    <w:p w14:paraId="7FE7EB33" w14:textId="007BBE77" w:rsidR="00AD28AC" w:rsidRPr="00120906" w:rsidRDefault="00AD28AC" w:rsidP="002B67AD">
      <w:pPr>
        <w:pStyle w:val="Policybulletlevel2"/>
      </w:pPr>
      <w:r>
        <w:t>The cost of redacting documents is not within scope of the appropriate limit.</w:t>
      </w:r>
    </w:p>
    <w:p w14:paraId="7A719434" w14:textId="77777777" w:rsidR="00EF3066" w:rsidRDefault="00EF3066" w:rsidP="00F73ACA">
      <w:pPr>
        <w:pStyle w:val="Policybulletlevel2"/>
      </w:pPr>
      <w:r w:rsidRPr="007201A9">
        <w:t>Requests to the Trust can be aggregated for the purposes of calculating the appropriate limit if:</w:t>
      </w:r>
    </w:p>
    <w:p w14:paraId="724F92FD" w14:textId="77777777" w:rsidR="00EF3066" w:rsidRDefault="00EF3066" w:rsidP="00260363">
      <w:pPr>
        <w:pStyle w:val="PolicybulletLevel3"/>
        <w:ind w:left="1701"/>
      </w:pPr>
      <w:r w:rsidRPr="007201A9">
        <w:t>Requests by one person are for the same or similar information</w:t>
      </w:r>
      <w:r>
        <w:t xml:space="preserve"> (or by people who seem to be working together)</w:t>
      </w:r>
      <w:r w:rsidRPr="007201A9">
        <w:t>;</w:t>
      </w:r>
    </w:p>
    <w:p w14:paraId="71C6D6BD" w14:textId="07FA82C0" w:rsidR="0063598C" w:rsidRDefault="00EF3066" w:rsidP="00260363">
      <w:pPr>
        <w:pStyle w:val="PolicybulletLevel3"/>
        <w:ind w:left="1701"/>
      </w:pPr>
      <w:r w:rsidRPr="0063598C">
        <w:t>The subsequent request is received by the public auth</w:t>
      </w:r>
      <w:r w:rsidR="0063598C">
        <w:t xml:space="preserve">ority within </w:t>
      </w:r>
      <w:r w:rsidR="001818AB">
        <w:t xml:space="preserve">a reasonable interval </w:t>
      </w:r>
      <w:r w:rsidR="00AD28AC">
        <w:t xml:space="preserve">(sixty days) </w:t>
      </w:r>
      <w:r w:rsidR="0063598C">
        <w:t xml:space="preserve">of </w:t>
      </w:r>
      <w:r w:rsidR="00335605" w:rsidRPr="00EF3066">
        <w:t>the previous request.</w:t>
      </w:r>
    </w:p>
    <w:p w14:paraId="742900FA" w14:textId="77777777" w:rsidR="00EF3066" w:rsidRPr="00EF3066" w:rsidRDefault="0063598C" w:rsidP="00F73ACA">
      <w:pPr>
        <w:pStyle w:val="PolicybulletLevel3"/>
      </w:pPr>
      <w:r w:rsidRPr="00AE128A">
        <w:t>To estimate these staff costs, the Trust will use an hourly rate of £25 per person per hour.  No other costs will be taken into account when making this estimation.</w:t>
      </w:r>
    </w:p>
    <w:p w14:paraId="64175B72" w14:textId="77777777" w:rsidR="00EF3066" w:rsidRDefault="0063598C" w:rsidP="00F73ACA">
      <w:pPr>
        <w:pStyle w:val="PolicybulletLevel3"/>
      </w:pPr>
      <w:r>
        <w:t>In all cases where the Trust chooses to charge for information published through the Publication Scheme or Levy a fee arising from an information request under General Rights of Access, a fees notice will be issued to the applicant. Applicants will be required to pay any fees within a period of three months or the request will lapse.</w:t>
      </w:r>
    </w:p>
    <w:p w14:paraId="6F1C2284" w14:textId="07A1A274" w:rsidR="00335605" w:rsidRPr="00B75EAB" w:rsidRDefault="00335605" w:rsidP="00F73ACA">
      <w:pPr>
        <w:pStyle w:val="Policyheader"/>
      </w:pPr>
      <w:bookmarkStart w:id="39" w:name="_Toc176527326"/>
      <w:r w:rsidRPr="00B75EAB">
        <w:t xml:space="preserve">Time </w:t>
      </w:r>
      <w:r w:rsidR="00F56D17">
        <w:t>L</w:t>
      </w:r>
      <w:r w:rsidRPr="00B75EAB">
        <w:t xml:space="preserve">imits for </w:t>
      </w:r>
      <w:r w:rsidR="00F56D17">
        <w:t>C</w:t>
      </w:r>
      <w:r w:rsidRPr="00B75EAB">
        <w:t xml:space="preserve">ompliance with </w:t>
      </w:r>
      <w:r w:rsidR="00F56D17">
        <w:t>R</w:t>
      </w:r>
      <w:r w:rsidRPr="00B75EAB">
        <w:t>equests</w:t>
      </w:r>
      <w:bookmarkEnd w:id="39"/>
    </w:p>
    <w:p w14:paraId="256516B2" w14:textId="4FDD90C0" w:rsidR="00335605" w:rsidRPr="00DF230E" w:rsidRDefault="00335605" w:rsidP="001818AB">
      <w:pPr>
        <w:pStyle w:val="Policybulletlevel2"/>
      </w:pPr>
      <w:r w:rsidRPr="00AE128A">
        <w:t xml:space="preserve">The Trust </w:t>
      </w:r>
      <w:r w:rsidR="00D60607">
        <w:t>has</w:t>
      </w:r>
      <w:r w:rsidR="00D60607" w:rsidRPr="00AE128A">
        <w:t xml:space="preserve"> </w:t>
      </w:r>
      <w:r w:rsidRPr="00AE128A">
        <w:t>establish</w:t>
      </w:r>
      <w:r w:rsidR="00D60607">
        <w:t>ed</w:t>
      </w:r>
      <w:r w:rsidRPr="00AE128A">
        <w:t xml:space="preserve"> systems and procedures to ensure that it complies with the duty to confirm or deny and to provide the information requested within twenty working days in accordance with Section 10 of the Act. All staff and Non-Executive Directors will be required to comply with these requirements; failure to do so may result in disciplinary action.</w:t>
      </w:r>
      <w:r>
        <w:t xml:space="preserve"> </w:t>
      </w:r>
    </w:p>
    <w:p w14:paraId="2BB17DAC" w14:textId="015C6CF7" w:rsidR="001E3A89" w:rsidRDefault="001E3A89" w:rsidP="001818AB">
      <w:pPr>
        <w:pStyle w:val="Policybulletlevel2"/>
      </w:pPr>
      <w:r w:rsidRPr="001E3A89">
        <w:t>On receipt of a request the Trust may need to clarify certain elements of the request and at such a time, in accordance with the terms of the Act, the 20-</w:t>
      </w:r>
      <w:r w:rsidRPr="001E3A89">
        <w:lastRenderedPageBreak/>
        <w:t>working day limit will start once the clarification has been received. If clarification has not been received within two months the request will be closed.</w:t>
      </w:r>
    </w:p>
    <w:p w14:paraId="32245E24" w14:textId="2D337F90" w:rsidR="00DF230E" w:rsidRPr="00DF230E" w:rsidRDefault="00DF230E" w:rsidP="001818AB">
      <w:pPr>
        <w:pStyle w:val="Policybulletlevel2"/>
      </w:pPr>
      <w:r w:rsidRPr="00AE128A">
        <w:t>If the information requested by the applicant incurs a charge or a fee and the applicant has paid this, the working days in the period from when the applicant received the fees notice to when they paid will be disregarded for the purposes of calculating the twentieth working day following receipt.</w:t>
      </w:r>
    </w:p>
    <w:p w14:paraId="383C5CC0" w14:textId="77777777" w:rsidR="00DF230E" w:rsidRPr="00335605" w:rsidRDefault="00DF230E" w:rsidP="001818AB">
      <w:pPr>
        <w:pStyle w:val="Policybulletlevel2"/>
      </w:pPr>
      <w:r w:rsidRPr="00AE128A">
        <w:t>If the Trust chooses to apply an exemption to or to refuse a request as it appears to be vexatious or repeated, or exceeds the appropriate limit for costs of compliance, a notice shall be issued within twenty working days informing the applicant of this decision.</w:t>
      </w:r>
    </w:p>
    <w:p w14:paraId="7EBF0B23" w14:textId="5BBA2DED" w:rsidR="00335605" w:rsidRPr="009B789E" w:rsidRDefault="009B789E" w:rsidP="00F73ACA">
      <w:pPr>
        <w:pStyle w:val="Policyheader"/>
      </w:pPr>
      <w:bookmarkStart w:id="40" w:name="_Toc176527327"/>
      <w:r>
        <w:t xml:space="preserve">Means by which </w:t>
      </w:r>
      <w:r w:rsidR="00F56D17">
        <w:t>I</w:t>
      </w:r>
      <w:r>
        <w:t xml:space="preserve">nformation will be </w:t>
      </w:r>
      <w:r w:rsidR="00F56D17">
        <w:t>C</w:t>
      </w:r>
      <w:r>
        <w:t>onveyed</w:t>
      </w:r>
      <w:bookmarkEnd w:id="40"/>
    </w:p>
    <w:p w14:paraId="021B324F" w14:textId="77777777" w:rsidR="009B789E" w:rsidRPr="009B789E" w:rsidRDefault="009B789E" w:rsidP="00260363">
      <w:pPr>
        <w:pStyle w:val="Policybulletlevel2"/>
      </w:pPr>
      <w:r w:rsidRPr="00AE128A">
        <w:t xml:space="preserve">When an applicant, on making their request for information, expresses a preference for communication by any one or more of the following means, </w:t>
      </w:r>
      <w:r w:rsidR="00C328DF" w:rsidRPr="00AE128A">
        <w:t>the Trust shall so far as reasonably practicable give effect to that preference</w:t>
      </w:r>
      <w:r w:rsidR="00C328DF">
        <w:t>:</w:t>
      </w:r>
    </w:p>
    <w:p w14:paraId="6865A616" w14:textId="77777777" w:rsidR="009B789E" w:rsidRPr="009B789E" w:rsidRDefault="009B789E" w:rsidP="00D07879">
      <w:pPr>
        <w:pStyle w:val="PolicybulletLevel3"/>
        <w:ind w:left="1701"/>
      </w:pPr>
      <w:r w:rsidRPr="00AE128A">
        <w:t>The provision to the applicant of a copy of the information in permanent form or in another form acceptable to the applicant</w:t>
      </w:r>
      <w:r w:rsidR="00C328DF">
        <w:t>;</w:t>
      </w:r>
    </w:p>
    <w:p w14:paraId="1EA18C56" w14:textId="77777777" w:rsidR="009B789E" w:rsidRPr="009B789E" w:rsidRDefault="009B789E" w:rsidP="00D07879">
      <w:pPr>
        <w:pStyle w:val="PolicybulletLevel3"/>
        <w:ind w:left="1701"/>
      </w:pPr>
      <w:r w:rsidRPr="00AE128A">
        <w:t>The provision to the applicant of a reasonable opportunity to inspect a record containing the information</w:t>
      </w:r>
      <w:r w:rsidR="00C328DF">
        <w:t>;</w:t>
      </w:r>
      <w:r w:rsidR="00C328DF" w:rsidRPr="00AE128A">
        <w:t xml:space="preserve"> </w:t>
      </w:r>
      <w:r w:rsidRPr="00AE128A">
        <w:t>and</w:t>
      </w:r>
    </w:p>
    <w:p w14:paraId="369190C4" w14:textId="77777777" w:rsidR="009B789E" w:rsidRPr="009B789E" w:rsidRDefault="009B789E" w:rsidP="00D07879">
      <w:pPr>
        <w:pStyle w:val="PolicybulletLevel3"/>
        <w:ind w:left="1701"/>
      </w:pPr>
      <w:r w:rsidRPr="00AE128A">
        <w:t>The provision to the applicant of a digest or summary of the information in permanent form or in another form acceptable to the applicant</w:t>
      </w:r>
      <w:r w:rsidR="00C328DF">
        <w:t>.</w:t>
      </w:r>
      <w:r w:rsidR="00C328DF" w:rsidRPr="00AE128A">
        <w:t xml:space="preserve"> </w:t>
      </w:r>
    </w:p>
    <w:p w14:paraId="096B7AA9" w14:textId="77777777" w:rsidR="009B789E" w:rsidRPr="009B789E" w:rsidRDefault="009B789E" w:rsidP="00D07879">
      <w:pPr>
        <w:pStyle w:val="Policybulletlevel2"/>
      </w:pPr>
      <w:r w:rsidRPr="00AE128A">
        <w:t>In determining whether it is reasonably practicable to communicate information by a particular means, the Trust will consider all the circumstances, including the cost of doing so. If the Trust determines that it is not reasonably practicable to comply with any preference expressed, the Trust will give the reasons for its determination and will provide the information by such means as it deems reasonable in the circumstances.</w:t>
      </w:r>
    </w:p>
    <w:p w14:paraId="7E1C6D8F" w14:textId="52DE6B64" w:rsidR="002B67AD" w:rsidRDefault="009B789E" w:rsidP="002B67AD">
      <w:pPr>
        <w:pStyle w:val="Policybulletlevel2"/>
      </w:pPr>
      <w:r w:rsidRPr="00F13D31">
        <w:t>The Trust will establish systems and procedures to monitor the provision of information arising from requests.</w:t>
      </w:r>
    </w:p>
    <w:p w14:paraId="39CAAF36" w14:textId="3E5764B3" w:rsidR="002B67AD" w:rsidRPr="009B789E" w:rsidRDefault="002B67AD" w:rsidP="002B67AD">
      <w:pPr>
        <w:pStyle w:val="Policybulletlevel2"/>
      </w:pPr>
      <w:r>
        <w:t>The Trust FOI response template will include a statement allowing the applicant to request information in an alternative accessible format (for example, “</w:t>
      </w:r>
      <w:r w:rsidRPr="00A65CD7">
        <w:t xml:space="preserve">If you would like this information in a different format, please contact </w:t>
      </w:r>
      <w:hyperlink r:id="rId16" w:history="1">
        <w:r w:rsidRPr="00D25EF2">
          <w:rPr>
            <w:rStyle w:val="Hyperlink"/>
          </w:rPr>
          <w:t>ekh-tr.FOI@nhs.net</w:t>
        </w:r>
      </w:hyperlink>
      <w:r>
        <w:t>”).  This does not apply to translation into foreign languages.</w:t>
      </w:r>
    </w:p>
    <w:p w14:paraId="60D5DA80" w14:textId="34B7A9B5" w:rsidR="009B789E" w:rsidRPr="009B789E" w:rsidRDefault="009B789E" w:rsidP="00F73ACA">
      <w:pPr>
        <w:pStyle w:val="Policyheader"/>
      </w:pPr>
      <w:bookmarkStart w:id="41" w:name="_Toc176527328"/>
      <w:r>
        <w:t xml:space="preserve">Refusal of </w:t>
      </w:r>
      <w:r w:rsidR="00F56D17">
        <w:t>R</w:t>
      </w:r>
      <w:r>
        <w:t>equests</w:t>
      </w:r>
      <w:bookmarkEnd w:id="41"/>
    </w:p>
    <w:p w14:paraId="072C59F6" w14:textId="77777777" w:rsidR="009B789E" w:rsidRPr="009B789E" w:rsidRDefault="009B789E" w:rsidP="00D07879">
      <w:pPr>
        <w:pStyle w:val="Policybulletlevel2"/>
      </w:pPr>
      <w:r w:rsidRPr="00AE128A">
        <w:t xml:space="preserve">As indicated above, the duty to </w:t>
      </w:r>
      <w:r>
        <w:t xml:space="preserve">provide the information requested </w:t>
      </w:r>
      <w:r w:rsidRPr="00AE128A">
        <w:t>does not arise if the Trust:</w:t>
      </w:r>
    </w:p>
    <w:p w14:paraId="4B83F6B4" w14:textId="77777777" w:rsidR="009B789E" w:rsidRPr="009B789E" w:rsidRDefault="009B789E" w:rsidP="00D07879">
      <w:pPr>
        <w:pStyle w:val="PolicybulletLevel3"/>
        <w:ind w:left="1701"/>
      </w:pPr>
      <w:r w:rsidRPr="00AE128A">
        <w:lastRenderedPageBreak/>
        <w:t>Applies an exemption under Part II of the Act (refer to</w:t>
      </w:r>
      <w:r w:rsidR="006251DF">
        <w:t xml:space="preserve"> 7</w:t>
      </w:r>
      <w:r w:rsidR="00C328DF" w:rsidRPr="00AE128A">
        <w:t>)</w:t>
      </w:r>
      <w:r w:rsidR="00C328DF">
        <w:t>;</w:t>
      </w:r>
    </w:p>
    <w:p w14:paraId="209C240B" w14:textId="77777777" w:rsidR="009B789E" w:rsidRPr="009B789E" w:rsidRDefault="009B789E" w:rsidP="00D07879">
      <w:pPr>
        <w:pStyle w:val="PolicybulletLevel3"/>
        <w:ind w:left="1701"/>
      </w:pPr>
      <w:r w:rsidRPr="00AE128A">
        <w:t xml:space="preserve">Has issued a </w:t>
      </w:r>
      <w:proofErr w:type="gramStart"/>
      <w:r w:rsidRPr="00AE128A">
        <w:t>fees</w:t>
      </w:r>
      <w:proofErr w:type="gramEnd"/>
      <w:r w:rsidRPr="00AE128A">
        <w:t xml:space="preserve"> notice under section 9 of the Act and the fee has not been paid within a period of three months (refer to </w:t>
      </w:r>
      <w:r w:rsidR="006251DF">
        <w:t>7.4</w:t>
      </w:r>
      <w:r w:rsidR="00C328DF">
        <w:t>);</w:t>
      </w:r>
    </w:p>
    <w:p w14:paraId="211F8CDE" w14:textId="77777777" w:rsidR="009B789E" w:rsidRPr="009B789E" w:rsidRDefault="009B789E" w:rsidP="00D07879">
      <w:pPr>
        <w:pStyle w:val="PolicybulletLevel3"/>
        <w:ind w:left="1701"/>
      </w:pPr>
      <w:r w:rsidRPr="00AE128A">
        <w:t xml:space="preserve">Estimates that the cost of compliance with the request for information exceeds the appropriate limit (refer to </w:t>
      </w:r>
      <w:r w:rsidR="006251DF">
        <w:t>8</w:t>
      </w:r>
      <w:r w:rsidR="00C328DF" w:rsidRPr="00AE128A">
        <w:t>)</w:t>
      </w:r>
      <w:r w:rsidR="00C328DF">
        <w:t>;</w:t>
      </w:r>
    </w:p>
    <w:p w14:paraId="526BF671" w14:textId="77777777" w:rsidR="009B789E" w:rsidRPr="009B789E" w:rsidRDefault="009B789E" w:rsidP="00D07879">
      <w:pPr>
        <w:pStyle w:val="PolicybulletLevel3"/>
        <w:ind w:left="1701"/>
      </w:pPr>
      <w:r w:rsidRPr="00AE128A">
        <w:t xml:space="preserve">Can demonstrate that the request for information is vexatious or repeated (refer to </w:t>
      </w:r>
      <w:r w:rsidR="006251DF">
        <w:t>7</w:t>
      </w:r>
      <w:r>
        <w:t>.6</w:t>
      </w:r>
      <w:r w:rsidRPr="00AE128A">
        <w:t>).</w:t>
      </w:r>
    </w:p>
    <w:p w14:paraId="12DA2612" w14:textId="77777777" w:rsidR="009B789E" w:rsidRPr="009B789E" w:rsidRDefault="00920BEE" w:rsidP="00D07879">
      <w:pPr>
        <w:pStyle w:val="Policybulletlevel2"/>
      </w:pPr>
      <w:r w:rsidRPr="00AE128A">
        <w:t>If the Trust chooses to refuse a request for information under any of the above clauses, the applicant will be informed of the reasons for this decision within twenty working days. The applicant will also be informed of the procedures for making a complaint under the Act and of the right conferred by section 50 of the Act.</w:t>
      </w:r>
    </w:p>
    <w:p w14:paraId="55F32BEC" w14:textId="77777777" w:rsidR="009B789E" w:rsidRPr="009B789E" w:rsidRDefault="00920BEE" w:rsidP="00D07879">
      <w:pPr>
        <w:pStyle w:val="Policybulletlevel2"/>
      </w:pPr>
      <w:r w:rsidRPr="00AE128A">
        <w:t xml:space="preserve">If the Trust is to any extent relying on a claim that any provision of Part </w:t>
      </w:r>
      <w:r>
        <w:t>II</w:t>
      </w:r>
      <w:r w:rsidRPr="00AE128A">
        <w:t xml:space="preserve"> relating to the duty to confirm or deny is relevant to the request or on a claim that information is exempt information a notice will be issued within twenty working days. The notice will:</w:t>
      </w:r>
    </w:p>
    <w:p w14:paraId="6CE8DD17" w14:textId="77777777" w:rsidR="009B789E" w:rsidRPr="009B789E" w:rsidRDefault="00920BEE" w:rsidP="00D07879">
      <w:pPr>
        <w:pStyle w:val="PolicybulletLevel3"/>
        <w:ind w:left="1701"/>
      </w:pPr>
      <w:r w:rsidRPr="00AE128A">
        <w:t>Specify the exemption in question, and (if that would not otherwise be apparent) why the exemption applies.</w:t>
      </w:r>
    </w:p>
    <w:p w14:paraId="3C76ABD3" w14:textId="77777777" w:rsidR="009B789E" w:rsidRPr="009B789E" w:rsidRDefault="00920BEE" w:rsidP="00D07879">
      <w:pPr>
        <w:pStyle w:val="PolicybulletLevel3"/>
        <w:ind w:left="1701"/>
      </w:pPr>
      <w:r w:rsidRPr="00AE128A">
        <w:t>Where the Trust at the time when the notice is given to the applicant has not yet reached a decision - the notice will indicate that no decision as to the application of an exemption has been reached and contain an estimate of the date by which the Trust expects that a decision will have been reached.</w:t>
      </w:r>
    </w:p>
    <w:p w14:paraId="2FAA89DB" w14:textId="77777777" w:rsidR="009B789E" w:rsidRPr="009B789E" w:rsidRDefault="00920BEE" w:rsidP="00D07879">
      <w:pPr>
        <w:pStyle w:val="Policybulletlevel2"/>
      </w:pPr>
      <w:r w:rsidRPr="00F13D31">
        <w:t>If an estimate is exceeded, the applicant will be given a reason(s) for the delay and offered an apology. If the Trust finds, while considering the public interest, that the estimate is proving unrealistic, the applicant will be kept informed. The Trust will keep a record of instances where estimates are exceeded, and where this happens more than occasionally, take steps to identify the problem and rectify it.</w:t>
      </w:r>
      <w:r>
        <w:t xml:space="preserve"> This will be monitored by the FOI Office.</w:t>
      </w:r>
    </w:p>
    <w:p w14:paraId="3C7765FC" w14:textId="79618698" w:rsidR="009B789E" w:rsidRPr="00920BEE" w:rsidRDefault="00920BEE" w:rsidP="00D07879">
      <w:pPr>
        <w:pStyle w:val="Policybulletlevel2"/>
      </w:pPr>
      <w:r w:rsidRPr="00F13D31">
        <w:t xml:space="preserve">If applying a qualified </w:t>
      </w:r>
      <w:r w:rsidR="00A067CE" w:rsidRPr="00F13D31">
        <w:t>exemption,</w:t>
      </w:r>
      <w:r w:rsidRPr="00F13D31">
        <w:t xml:space="preserve"> the Trust will, either in the notice issued under paragraph </w:t>
      </w:r>
      <w:r w:rsidR="005021AD">
        <w:t>11.3</w:t>
      </w:r>
      <w:r w:rsidRPr="00F13D31">
        <w:t xml:space="preserve"> above or a separate notice given within such a time as is reasonable in the circumstances, state the reasons for claiming:</w:t>
      </w:r>
    </w:p>
    <w:p w14:paraId="4B903CB4" w14:textId="77777777" w:rsidR="00920BEE" w:rsidRPr="00920BEE" w:rsidRDefault="00920BEE" w:rsidP="003862B2">
      <w:pPr>
        <w:pStyle w:val="PolicybulletLevel3"/>
        <w:ind w:left="1701"/>
      </w:pPr>
      <w:r w:rsidRPr="00F13D31">
        <w:t>That, in all the circumstances, the public interest in maintaining the exclusion of the duty to confirm or deny outweighs the public interest in disclosing whether the Trust holds the information, or</w:t>
      </w:r>
    </w:p>
    <w:p w14:paraId="77759C28" w14:textId="77777777" w:rsidR="00920BEE" w:rsidRPr="00920BEE" w:rsidRDefault="00920BEE" w:rsidP="003862B2">
      <w:pPr>
        <w:pStyle w:val="PolicybulletLevel3"/>
        <w:ind w:left="1701"/>
      </w:pPr>
      <w:r w:rsidRPr="00F13D31">
        <w:t>That, in all circumstances, the public interest in maintaining the exemption outweighs the public interest in disclosing the information.</w:t>
      </w:r>
    </w:p>
    <w:p w14:paraId="75F49168" w14:textId="77777777" w:rsidR="00920BEE" w:rsidRPr="009B789E" w:rsidRDefault="00920BEE" w:rsidP="00D07879">
      <w:pPr>
        <w:pStyle w:val="Policybulletlevel2"/>
      </w:pPr>
      <w:r w:rsidRPr="00F13D31">
        <w:lastRenderedPageBreak/>
        <w:t xml:space="preserve">The statement should not involve the disclosure of </w:t>
      </w:r>
      <w:r w:rsidR="002E7F0B" w:rsidRPr="00F13D31">
        <w:t>information, which</w:t>
      </w:r>
      <w:r w:rsidRPr="00F13D31">
        <w:t xml:space="preserve"> would itself be exempt information.</w:t>
      </w:r>
    </w:p>
    <w:p w14:paraId="427B2BC2" w14:textId="77777777" w:rsidR="009B789E" w:rsidRPr="009B789E" w:rsidRDefault="00920BEE" w:rsidP="00D07879">
      <w:pPr>
        <w:pStyle w:val="Policybulletlevel2"/>
      </w:pPr>
      <w:r w:rsidRPr="00F13D31">
        <w:t>If the Trust is relying on a claim that section 12 or 14 of the Act apply, the notice will state that fact. If the Trust is relying on a claim that the request is vexatious or repeated under section 14 of the Act, and a notice under section 17 has already been issued to the applicant stating this fact, a further notice is not required.</w:t>
      </w:r>
    </w:p>
    <w:p w14:paraId="0A4A7763" w14:textId="77777777" w:rsidR="009B789E" w:rsidRPr="00F56936" w:rsidRDefault="00920BEE" w:rsidP="00D07879">
      <w:pPr>
        <w:pStyle w:val="Policybulletlevel2"/>
      </w:pPr>
      <w:r w:rsidRPr="00F13D31">
        <w:t xml:space="preserve">The Trust will keep a record of all notices issued to </w:t>
      </w:r>
      <w:r>
        <w:t>refuse requests for information.</w:t>
      </w:r>
    </w:p>
    <w:p w14:paraId="65D2D67F" w14:textId="4FE0CCAD" w:rsidR="009B789E" w:rsidRPr="00F56936" w:rsidRDefault="00F56936" w:rsidP="00F73ACA">
      <w:pPr>
        <w:pStyle w:val="Policyheader"/>
      </w:pPr>
      <w:bookmarkStart w:id="42" w:name="_Toc31192935"/>
      <w:bookmarkStart w:id="43" w:name="_Toc176527329"/>
      <w:bookmarkEnd w:id="42"/>
      <w:r>
        <w:t xml:space="preserve">Duty to </w:t>
      </w:r>
      <w:r w:rsidR="00F56D17">
        <w:t>P</w:t>
      </w:r>
      <w:r>
        <w:t xml:space="preserve">rovide </w:t>
      </w:r>
      <w:r w:rsidR="00F56D17">
        <w:t>A</w:t>
      </w:r>
      <w:r>
        <w:t xml:space="preserve">dvice and </w:t>
      </w:r>
      <w:r w:rsidR="00F56D17">
        <w:t>A</w:t>
      </w:r>
      <w:r>
        <w:t>ssistance</w:t>
      </w:r>
      <w:bookmarkEnd w:id="43"/>
    </w:p>
    <w:p w14:paraId="647BB58E" w14:textId="112FEE4C" w:rsidR="00F56936" w:rsidRPr="00F56936" w:rsidRDefault="00F56936" w:rsidP="00F73ACA">
      <w:pPr>
        <w:pStyle w:val="PolicybulletLevel3"/>
      </w:pPr>
      <w:r w:rsidRPr="00F13D31">
        <w:t>The Trust will ensure that systems and procedures are in place to meet its duty to provide advice and assistance, so far as is reasonable, to persons who propose to make, or have made, requests for information.</w:t>
      </w:r>
      <w:r w:rsidR="00CC462B">
        <w:t xml:space="preserve"> This includes the provision of assistance to potential applicants who may </w:t>
      </w:r>
      <w:r w:rsidR="006930D7">
        <w:t>be unable to submit their request in writing.</w:t>
      </w:r>
    </w:p>
    <w:p w14:paraId="78F0E63E" w14:textId="77777777" w:rsidR="00F56936" w:rsidRPr="00F56936" w:rsidRDefault="00F56936" w:rsidP="00F73ACA">
      <w:pPr>
        <w:pStyle w:val="PolicybulletLevel3"/>
      </w:pPr>
      <w:r w:rsidRPr="00F13D31">
        <w:t>The Trust will ensure that the systems and procedures deployed to meet the section 16 duty also conform to the Code of Practice issued under the Act.</w:t>
      </w:r>
    </w:p>
    <w:p w14:paraId="4CBDDAAC" w14:textId="37273716" w:rsidR="00F56936" w:rsidRPr="00F56936" w:rsidRDefault="00F56936" w:rsidP="00F73ACA">
      <w:pPr>
        <w:pStyle w:val="Policyheader"/>
      </w:pPr>
      <w:bookmarkStart w:id="44" w:name="_Toc31192937"/>
      <w:bookmarkStart w:id="45" w:name="_Toc176527330"/>
      <w:bookmarkEnd w:id="44"/>
      <w:r>
        <w:t xml:space="preserve">Transferring </w:t>
      </w:r>
      <w:r w:rsidR="00F56D17">
        <w:t>R</w:t>
      </w:r>
      <w:r>
        <w:t xml:space="preserve">equests for </w:t>
      </w:r>
      <w:r w:rsidR="00F56D17">
        <w:t>I</w:t>
      </w:r>
      <w:r>
        <w:t>nformation</w:t>
      </w:r>
      <w:bookmarkEnd w:id="45"/>
    </w:p>
    <w:p w14:paraId="2A7AE5F5" w14:textId="071DEC10" w:rsidR="00F56936" w:rsidRPr="00F56936" w:rsidRDefault="00F56936" w:rsidP="00D07879">
      <w:pPr>
        <w:pStyle w:val="Policybulletlevel2"/>
      </w:pPr>
      <w:r w:rsidRPr="00F13D31">
        <w:t xml:space="preserve">A request can only be transferred where the Trust receives a request for </w:t>
      </w:r>
      <w:r w:rsidR="00EB2051" w:rsidRPr="00F13D31">
        <w:t>information which</w:t>
      </w:r>
      <w:r w:rsidRPr="00F13D31">
        <w:t xml:space="preserve"> it does not hold, but which is held by another public authority. If the Trust holds some of the information requested, a transfer can only be made in respect of the information it does not hold (but is held by another public authority). The Trust recognises that "holding" information includes holding a copy of a record produced or supplied by another person or body (but does not extend to holding a record on behalf of another person or body as provided for in section 3(2)(a) of the Act).</w:t>
      </w:r>
    </w:p>
    <w:p w14:paraId="47D4A9F1" w14:textId="77777777" w:rsidR="00F56936" w:rsidRPr="00F56936" w:rsidRDefault="00F56936" w:rsidP="00D07879">
      <w:pPr>
        <w:pStyle w:val="Policybulletlevel2"/>
      </w:pPr>
      <w:r w:rsidRPr="00F13D31">
        <w:t>Upon receiving the initial request for information, the Trust will always process it in accordance with the Act in respect of such information as it holds. The Trust will also advise the applicant that it does not hold part of the requested information, or all of it, whichever applies. Prior to doing this, the Trust must be certain as to the extent of the information relating to the request that it holds itself.</w:t>
      </w:r>
    </w:p>
    <w:p w14:paraId="44885665" w14:textId="77777777" w:rsidR="00F56936" w:rsidRPr="00084446" w:rsidRDefault="00F56936" w:rsidP="00D07879">
      <w:pPr>
        <w:pStyle w:val="Policybulletlevel2"/>
      </w:pPr>
      <w:r w:rsidRPr="00F13D31">
        <w:t>If the Trust believes that some or all of the information requested is held by another public authority, the Trust will consider what would be the most helpful way of assisting the applicant with his or her request. In most cases this is likely to involve:</w:t>
      </w:r>
    </w:p>
    <w:p w14:paraId="3D674459" w14:textId="77777777" w:rsidR="00084446" w:rsidRPr="00084446" w:rsidRDefault="00084446" w:rsidP="00D07879">
      <w:pPr>
        <w:pStyle w:val="PolicybulletLevel3"/>
        <w:ind w:left="1701"/>
      </w:pPr>
      <w:r w:rsidRPr="00084446">
        <w:lastRenderedPageBreak/>
        <w:t xml:space="preserve">Contacting the applicant and advising that the information requested may be held by another public authority; </w:t>
      </w:r>
    </w:p>
    <w:p w14:paraId="3DB5D423" w14:textId="77777777" w:rsidR="00084446" w:rsidRDefault="00084446" w:rsidP="00D07879">
      <w:pPr>
        <w:pStyle w:val="PolicybulletLevel3"/>
        <w:ind w:left="1701"/>
      </w:pPr>
      <w:r w:rsidRPr="00F13D31">
        <w:t>Suggesting that the applicant re-applies to the authority which the original authority believes to hold the information;</w:t>
      </w:r>
    </w:p>
    <w:p w14:paraId="03981956" w14:textId="77777777" w:rsidR="00084446" w:rsidRPr="00084446" w:rsidRDefault="00084446" w:rsidP="00D07879">
      <w:pPr>
        <w:pStyle w:val="PolicybulletLevel3"/>
        <w:ind w:left="1701"/>
      </w:pPr>
      <w:r w:rsidRPr="00F13D31">
        <w:t>Providing contact details for that authority.</w:t>
      </w:r>
    </w:p>
    <w:p w14:paraId="7D10AAD1" w14:textId="77777777" w:rsidR="00084446" w:rsidRDefault="00084446" w:rsidP="00D07879">
      <w:pPr>
        <w:pStyle w:val="Policybulletlevel2"/>
      </w:pPr>
      <w:r w:rsidRPr="00F13D31">
        <w:t>If the Trust considers it to be more appropriate to transfer the request to another authority in respect of information it does not hold, consultation will take place with the other authority with a view to ascertaining whether it holds the information and, if so, whether it should transfer the request to it. A request (or part of a request) will not be transferred without confirmation by the second authority that it holds the information. Prior to transferring a request for information to another authority, the Trust will consider:</w:t>
      </w:r>
    </w:p>
    <w:p w14:paraId="03760512" w14:textId="77777777" w:rsidR="00084446" w:rsidRDefault="00084446" w:rsidP="00D07879">
      <w:pPr>
        <w:pStyle w:val="PolicybulletLevel3"/>
        <w:ind w:left="1701"/>
      </w:pPr>
      <w:r>
        <w:t>Whether a transfer is appropriate; and if so</w:t>
      </w:r>
    </w:p>
    <w:p w14:paraId="61AD41CE" w14:textId="77777777" w:rsidR="00307364" w:rsidRDefault="00084446" w:rsidP="00D07879">
      <w:pPr>
        <w:pStyle w:val="PolicybulletLevel3"/>
        <w:ind w:left="1701"/>
      </w:pPr>
      <w:r>
        <w:t>Whether the applicant is likely to have any grounds to object to the transfer</w:t>
      </w:r>
      <w:r w:rsidR="00D07879">
        <w:t>.</w:t>
      </w:r>
    </w:p>
    <w:p w14:paraId="4EC25380" w14:textId="77777777" w:rsidR="00084446" w:rsidRDefault="00084446" w:rsidP="00D07879">
      <w:pPr>
        <w:pStyle w:val="Policybulletlevel2"/>
      </w:pPr>
      <w:r w:rsidRPr="00084446">
        <w:t>If the Trust reasonably concludes that the applicant is not likely to object, it may transfer the request without going back to the applicant, but will inform the applicant that it has done so.</w:t>
      </w:r>
    </w:p>
    <w:p w14:paraId="100A4346" w14:textId="77777777" w:rsidR="00084446" w:rsidRDefault="00084446" w:rsidP="00D07879">
      <w:pPr>
        <w:pStyle w:val="Policybulletlevel2"/>
      </w:pPr>
      <w:r w:rsidRPr="00084446">
        <w:t>Where there are reasonable grounds to believe an applicant is likely to object, the Trust will only transfer the request to another authority with consent. If there is any doubt, the applicant will be contacted to suggest that he or she makes a new request to the other authority.</w:t>
      </w:r>
    </w:p>
    <w:p w14:paraId="74C38BE0" w14:textId="77777777" w:rsidR="00084446" w:rsidRDefault="00084446" w:rsidP="00D07879">
      <w:pPr>
        <w:pStyle w:val="Policybulletlevel2"/>
      </w:pPr>
      <w:r w:rsidRPr="00084446">
        <w:t>All transfers of requests will take place as soon as is practicable, and the applicant will be informed as soon as possible. Where the Trust is unable either to advise the applicant that it holds, or may hold, the requested information or facilitate the transfer of the request to another authority (or considers it inappropriate to do so) it will consider what advice, if any, it can provide to the applicant to pursue his or her request.</w:t>
      </w:r>
    </w:p>
    <w:p w14:paraId="0CD9FA1A" w14:textId="0CCE0430" w:rsidR="00F56936" w:rsidRPr="002828D1" w:rsidRDefault="002828D1" w:rsidP="00F73ACA">
      <w:pPr>
        <w:pStyle w:val="Policyheader"/>
      </w:pPr>
      <w:bookmarkStart w:id="46" w:name="_Toc176527331"/>
      <w:r>
        <w:t xml:space="preserve">Complaints about the </w:t>
      </w:r>
      <w:r w:rsidR="00F56D17">
        <w:t>D</w:t>
      </w:r>
      <w:r>
        <w:t xml:space="preserve">ischarge of the </w:t>
      </w:r>
      <w:r w:rsidR="00F56D17">
        <w:t>D</w:t>
      </w:r>
      <w:r>
        <w:t>uties of the Trust under the Act</w:t>
      </w:r>
      <w:bookmarkEnd w:id="46"/>
    </w:p>
    <w:p w14:paraId="215C7650" w14:textId="2D756444" w:rsidR="002828D1" w:rsidRDefault="002828D1" w:rsidP="00F73ACA">
      <w:pPr>
        <w:pStyle w:val="Policybulletlevel2"/>
      </w:pPr>
      <w:r w:rsidRPr="00F13D31">
        <w:t>The Trust will implement a procedure for dealing with complaints about the discharge of the duties of the Trust under the Act, including the handling of requests for information</w:t>
      </w:r>
      <w:r w:rsidR="002B67AD">
        <w:t xml:space="preserve"> (r</w:t>
      </w:r>
      <w:r>
        <w:t xml:space="preserve">efer to Appendix </w:t>
      </w:r>
      <w:r w:rsidR="001E3590">
        <w:t>B</w:t>
      </w:r>
      <w:r w:rsidR="002B67AD">
        <w:t>).</w:t>
      </w:r>
    </w:p>
    <w:p w14:paraId="73339DBF" w14:textId="77777777" w:rsidR="002828D1" w:rsidRPr="002828D1" w:rsidRDefault="00933358" w:rsidP="00F73ACA">
      <w:pPr>
        <w:pStyle w:val="Policybulletlevel2"/>
      </w:pPr>
      <w:r w:rsidRPr="00F13D31">
        <w:t>The procedure will refer applicants to the right to apply to the Information Commissioner if they remain dissatisfied with the Trust following attempts at local resolution of their complaint.</w:t>
      </w:r>
    </w:p>
    <w:p w14:paraId="1E379B8E" w14:textId="77777777" w:rsidR="002828D1" w:rsidRPr="002828D1" w:rsidRDefault="00933358" w:rsidP="00F73ACA">
      <w:pPr>
        <w:pStyle w:val="Policybulletlevel2"/>
      </w:pPr>
      <w:r w:rsidRPr="00933358">
        <w:lastRenderedPageBreak/>
        <w:t>Correspondence to the requester will provide details of the procedure to following should they be dissatisfied with the handling of their request for information.</w:t>
      </w:r>
    </w:p>
    <w:p w14:paraId="5657511B" w14:textId="1EA0A386" w:rsidR="002828D1" w:rsidRDefault="00933358" w:rsidP="00F73ACA">
      <w:pPr>
        <w:pStyle w:val="Policyheader"/>
      </w:pPr>
      <w:bookmarkStart w:id="47" w:name="_Toc31192940"/>
      <w:bookmarkStart w:id="48" w:name="_Toc176527332"/>
      <w:bookmarkEnd w:id="47"/>
      <w:r w:rsidRPr="00933358">
        <w:t xml:space="preserve">Publication </w:t>
      </w:r>
      <w:r w:rsidR="00F56D17">
        <w:t>S</w:t>
      </w:r>
      <w:r w:rsidRPr="00933358">
        <w:t>cheme</w:t>
      </w:r>
      <w:bookmarkEnd w:id="48"/>
    </w:p>
    <w:p w14:paraId="6ECF4D53" w14:textId="77777777" w:rsidR="00933358" w:rsidRPr="00933358" w:rsidRDefault="00933358" w:rsidP="00F73ACA">
      <w:pPr>
        <w:pStyle w:val="Policybulletlevel2"/>
      </w:pPr>
      <w:r w:rsidRPr="00933358">
        <w:t>Under Section 19 of the Freedom of Information Act 2000 public authorities have a legal duty to adopt and maintain a Publication Scheme.  A Publication Scheme is a complete guide to the information routinely published by a public authority.</w:t>
      </w:r>
    </w:p>
    <w:p w14:paraId="21D66529" w14:textId="77777777" w:rsidR="00933358" w:rsidRDefault="00933358" w:rsidP="00F73ACA">
      <w:pPr>
        <w:pStyle w:val="Policybulletlevel2"/>
      </w:pPr>
      <w:r w:rsidRPr="00963F67">
        <w:t xml:space="preserve">The Information Commissioner’s Office (ICO) has developed a model publication scheme which public sector organisations are required to adopt from 1 January 2009.  </w:t>
      </w:r>
      <w:r>
        <w:t>The Trust</w:t>
      </w:r>
      <w:r w:rsidRPr="00963F67">
        <w:t xml:space="preserve"> has adopted this scheme in its entirety.</w:t>
      </w:r>
    </w:p>
    <w:p w14:paraId="38F3A10C" w14:textId="77777777" w:rsidR="00933358" w:rsidRPr="00933358" w:rsidRDefault="00933358" w:rsidP="00F73ACA">
      <w:pPr>
        <w:pStyle w:val="Policybulletlevel2"/>
      </w:pPr>
      <w:r w:rsidRPr="00963F67">
        <w:t>The Trust’s Publication Scheme will detail the information that the Trust publishes and intends to publish. It will detail the format in which the information is available and whether or not a charge will be made for the provision of that information. It will be available in hard copy on request and through our website.</w:t>
      </w:r>
    </w:p>
    <w:p w14:paraId="75762A50" w14:textId="0B943FAD" w:rsidR="00F70BA6" w:rsidRPr="00F04DEC" w:rsidRDefault="00933358" w:rsidP="00F73ACA">
      <w:pPr>
        <w:pStyle w:val="Policybulletlevel2"/>
      </w:pPr>
      <w:bookmarkStart w:id="49" w:name="_Hlk98937526"/>
      <w:r w:rsidRPr="00963F67">
        <w:t xml:space="preserve">The </w:t>
      </w:r>
      <w:r w:rsidR="002B67AD">
        <w:t>Director of Quality Governance</w:t>
      </w:r>
      <w:r w:rsidR="00D07879" w:rsidRPr="00260363">
        <w:t xml:space="preserve"> </w:t>
      </w:r>
      <w:r w:rsidRPr="00963F67">
        <w:t>has overall responsibility for the development and updating of the Trust’s publication scheme</w:t>
      </w:r>
      <w:r w:rsidR="00164FA0">
        <w:t xml:space="preserve"> in line with the requirements of the ICO Model Publication Scheme</w:t>
      </w:r>
      <w:r w:rsidRPr="00963F67">
        <w:t>.  This scheme will provide links to information already publicised on the Trust’s website.</w:t>
      </w:r>
    </w:p>
    <w:p w14:paraId="514240EA" w14:textId="77777777" w:rsidR="00F70BA6" w:rsidRPr="00F04DEC" w:rsidRDefault="005021AD" w:rsidP="003862B2">
      <w:pPr>
        <w:pStyle w:val="Policyheader"/>
      </w:pPr>
      <w:bookmarkStart w:id="50" w:name="_Toc31192942"/>
      <w:bookmarkStart w:id="51" w:name="_Toc176527333"/>
      <w:bookmarkEnd w:id="49"/>
      <w:bookmarkEnd w:id="50"/>
      <w:r>
        <w:t xml:space="preserve">Information Requests - </w:t>
      </w:r>
      <w:bookmarkStart w:id="52" w:name="_Toc31192943"/>
      <w:bookmarkEnd w:id="52"/>
      <w:r>
        <w:t>C</w:t>
      </w:r>
      <w:r w:rsidR="00F04DEC">
        <w:t xml:space="preserve">onsultation with </w:t>
      </w:r>
      <w:r>
        <w:t>T</w:t>
      </w:r>
      <w:r w:rsidR="00F04DEC">
        <w:t xml:space="preserve">hird </w:t>
      </w:r>
      <w:r>
        <w:t>P</w:t>
      </w:r>
      <w:r w:rsidR="00F04DEC">
        <w:t>arties</w:t>
      </w:r>
      <w:bookmarkEnd w:id="51"/>
    </w:p>
    <w:p w14:paraId="75C1229A" w14:textId="77777777" w:rsidR="00F04DEC" w:rsidRPr="00F04DEC" w:rsidRDefault="00F04DEC" w:rsidP="003862B2">
      <w:pPr>
        <w:pStyle w:val="Policybulletlevel2"/>
      </w:pPr>
      <w:r w:rsidRPr="00F13D31">
        <w:t xml:space="preserve">The Trust recognises that in some cases the disclosure of information may affect the legal rights of a third party, for example where information is subject to the common law duty of confidence or where it constitutes "personal data" within the meaning of the Data Protection Act </w:t>
      </w:r>
      <w:r w:rsidR="00CC146F">
        <w:t>2018</w:t>
      </w:r>
      <w:r w:rsidRPr="00F13D31">
        <w:fldChar w:fldCharType="begin"/>
      </w:r>
      <w:r w:rsidRPr="00F13D31">
        <w:instrText xml:space="preserve"> XE "Data Protection Act 1998" </w:instrText>
      </w:r>
      <w:r w:rsidRPr="00F13D31">
        <w:fldChar w:fldCharType="end"/>
      </w:r>
      <w:r w:rsidRPr="00F13D31">
        <w:t xml:space="preserve"> ("the DPA"). Unless an exemption provided for in the Act applies, the Trust will be obliged to disclose that information in response to a request.</w:t>
      </w:r>
    </w:p>
    <w:p w14:paraId="0D5966BC" w14:textId="77777777" w:rsidR="00F04DEC" w:rsidRPr="00F04DEC" w:rsidRDefault="00F04DEC" w:rsidP="003862B2">
      <w:pPr>
        <w:pStyle w:val="Policybulletlevel2"/>
      </w:pPr>
      <w:r w:rsidRPr="00F13D31">
        <w:t>Where a disclosure of information cannot be made without the consent of a third party (for example, disclosure of the information without their consent would constitute an actionable breach of confidence), the Trust will consult them with a view to seeking their consent to the disclosure, unless such a consultation is not practicable, for example because they cannot be located or because the costs of consulting them would be disproportionate. Where the interests of the third party, which may be affected by a disclosure, do not give rise to legal rights, consultation may still be appropriate.</w:t>
      </w:r>
    </w:p>
    <w:p w14:paraId="39C6E648" w14:textId="77777777" w:rsidR="00F04DEC" w:rsidRPr="00F04DEC" w:rsidRDefault="00F04DEC" w:rsidP="003862B2">
      <w:pPr>
        <w:pStyle w:val="Policybulletlevel2"/>
      </w:pPr>
      <w:r w:rsidRPr="00F13D31">
        <w:t>Where information constitutes "personal data" within the meaning of the DPA, the Trust will have regard to section 40 of the Act, which makes detailed provision for cases in which a request relates to such information and the interplay between the Act and the DPA in such cases.</w:t>
      </w:r>
    </w:p>
    <w:p w14:paraId="1E7D2389" w14:textId="77777777" w:rsidR="00F04DEC" w:rsidRPr="00F04DEC" w:rsidRDefault="00F04DEC" w:rsidP="003862B2">
      <w:pPr>
        <w:pStyle w:val="Policybulletlevel2"/>
      </w:pPr>
      <w:r w:rsidRPr="00F13D31">
        <w:lastRenderedPageBreak/>
        <w:t>The Trust will undertake consultation where:</w:t>
      </w:r>
    </w:p>
    <w:p w14:paraId="41C90E45" w14:textId="77777777" w:rsidR="00F04DEC" w:rsidRDefault="00F04DEC" w:rsidP="00D07879">
      <w:pPr>
        <w:pStyle w:val="PolicybulletLevel3"/>
        <w:ind w:left="1701"/>
      </w:pPr>
      <w:r>
        <w:t>The views of the third party may assist the authority to determine whether an exemption under the Act applies to the information requested; or</w:t>
      </w:r>
    </w:p>
    <w:p w14:paraId="59353C31" w14:textId="77777777" w:rsidR="00F04DEC" w:rsidRPr="00F04DEC" w:rsidRDefault="00F04DEC" w:rsidP="00D07879">
      <w:pPr>
        <w:pStyle w:val="PolicybulletLevel3"/>
        <w:ind w:left="1701"/>
      </w:pPr>
      <w:r>
        <w:t>The views of the third party may assist the authority to determine where the public interest lies under section 2 of the Act.</w:t>
      </w:r>
    </w:p>
    <w:p w14:paraId="6A52F672" w14:textId="77777777" w:rsidR="00F04DEC" w:rsidRPr="00F04DEC" w:rsidRDefault="00F04DEC" w:rsidP="00D07879">
      <w:pPr>
        <w:pStyle w:val="Policybulletlevel2"/>
      </w:pPr>
      <w:r w:rsidRPr="00F13D31">
        <w:t>The Trust may consider that consultation is not appropriate where the cost would be disproportionate. In such cases, the Trust will consider what is the mos</w:t>
      </w:r>
      <w:r>
        <w:t>t reasonable course of action</w:t>
      </w:r>
      <w:r w:rsidRPr="00F13D31">
        <w:t>. Consultation will be unnecessary where:</w:t>
      </w:r>
    </w:p>
    <w:p w14:paraId="0BC55AAB" w14:textId="77777777" w:rsidR="00F04DEC" w:rsidRPr="00F04DEC" w:rsidRDefault="00F04DEC" w:rsidP="00027F0B">
      <w:pPr>
        <w:pStyle w:val="PolicybulletLevel3"/>
        <w:ind w:left="1701" w:hanging="850"/>
      </w:pPr>
      <w:r w:rsidRPr="00F13D31">
        <w:t>It does not intend to disclose the information relying on some other legitimate ground under the terms of the Act;</w:t>
      </w:r>
    </w:p>
    <w:p w14:paraId="2D341123" w14:textId="77777777" w:rsidR="00F04DEC" w:rsidRDefault="00F04DEC" w:rsidP="00D07879">
      <w:pPr>
        <w:pStyle w:val="PolicybulletLevel3"/>
        <w:ind w:left="1701"/>
      </w:pPr>
      <w:r>
        <w:t>The views of the third party can have no effect on the decision of the Trust, for example, where there is other legislation preventing or requiring the disclosure of this information;</w:t>
      </w:r>
    </w:p>
    <w:p w14:paraId="41823C57" w14:textId="77777777" w:rsidR="00F04DEC" w:rsidRPr="00F04DEC" w:rsidRDefault="00F04DEC" w:rsidP="00D07879">
      <w:pPr>
        <w:pStyle w:val="PolicybulletLevel3"/>
        <w:ind w:left="1701"/>
      </w:pPr>
      <w:r>
        <w:t>No exemption applies and so under the Act's provisions, the information must be provided.</w:t>
      </w:r>
    </w:p>
    <w:p w14:paraId="3C519A2A" w14:textId="77777777" w:rsidR="00F04DEC" w:rsidRPr="00F04DEC" w:rsidRDefault="00CF3DF2" w:rsidP="00D07879">
      <w:pPr>
        <w:pStyle w:val="Policybulletlevel2"/>
      </w:pPr>
      <w:r w:rsidRPr="00F13D31">
        <w:t>Where the interests of a number of third parties may be affected by a disclosure, and they have a representative organisation, the Trust may, if it considers consultation appropriate, consider that it would be sufficient to consult that organisation. If there is no representative organisation, the Trust may consider it sufficient to consult a representative sample of those concerned.</w:t>
      </w:r>
    </w:p>
    <w:p w14:paraId="21941ED1" w14:textId="77777777" w:rsidR="00F04DEC" w:rsidRPr="00F04DEC" w:rsidRDefault="00CF3DF2" w:rsidP="00D07879">
      <w:pPr>
        <w:pStyle w:val="Policybulletlevel2"/>
      </w:pPr>
      <w:r w:rsidRPr="00F13D31">
        <w:t>The fact that the third party has not responded does not relieve the Trust of its duty to disclose information under the Act, or its duty to reply within the time specified in the Act. In all cases, it is for the Trust to determine whether or not information should be disclosed under the Act. A refusal to consent to disclosure by a third party does not, in itself, mean information should be withheld.</w:t>
      </w:r>
    </w:p>
    <w:p w14:paraId="4A6EFE6F" w14:textId="191EE54C" w:rsidR="00F04DEC" w:rsidRPr="00CF3DF2" w:rsidRDefault="00CF3DF2" w:rsidP="00F73ACA">
      <w:pPr>
        <w:pStyle w:val="Policyheader"/>
      </w:pPr>
      <w:bookmarkStart w:id="53" w:name="_Toc176527334"/>
      <w:r>
        <w:t xml:space="preserve">Accepting </w:t>
      </w:r>
      <w:r w:rsidR="00F56D17">
        <w:t>I</w:t>
      </w:r>
      <w:r>
        <w:t>nformation from Third parties</w:t>
      </w:r>
      <w:bookmarkEnd w:id="53"/>
    </w:p>
    <w:p w14:paraId="1F23BF3E" w14:textId="77777777" w:rsidR="00CF3DF2" w:rsidRPr="006048D2" w:rsidRDefault="00CF3DF2" w:rsidP="00F73ACA">
      <w:pPr>
        <w:pStyle w:val="Policybulletlevel2"/>
      </w:pPr>
      <w:r w:rsidRPr="00F13D31">
        <w:t>The Trust will only accept information from third parties in confidence if it is necessary to obtain that information in connection with the exercise of any of the authority's functions and it would not otherwise be provided.</w:t>
      </w:r>
    </w:p>
    <w:p w14:paraId="396C7BF9" w14:textId="77777777" w:rsidR="006048D2" w:rsidRDefault="006048D2" w:rsidP="00F73ACA">
      <w:pPr>
        <w:pStyle w:val="Policybulletlevel2"/>
      </w:pPr>
      <w:r w:rsidRPr="00F13D31">
        <w:t>The Trust will not agree to hold information received from third parties "in confidence" which is not confidential in nature. Again, acceptance of any confidentiality provisions must be for good reasons, capable of being justified to the Information Commissioner.</w:t>
      </w:r>
    </w:p>
    <w:p w14:paraId="11DCE01E" w14:textId="77777777" w:rsidR="00CE4C7B" w:rsidRPr="009B13EE" w:rsidRDefault="00CE4C7B" w:rsidP="00CE4C7B">
      <w:pPr>
        <w:pStyle w:val="Policyheader"/>
        <w:spacing w:after="120"/>
        <w:ind w:right="0"/>
        <w:rPr>
          <w:sz w:val="24"/>
        </w:rPr>
      </w:pPr>
      <w:bookmarkStart w:id="54" w:name="_Toc31192946"/>
      <w:bookmarkStart w:id="55" w:name="_Toc4687550"/>
      <w:bookmarkStart w:id="56" w:name="_Toc12517068"/>
      <w:bookmarkStart w:id="57" w:name="_Toc176527335"/>
      <w:bookmarkEnd w:id="54"/>
      <w:r w:rsidRPr="009B13EE">
        <w:t xml:space="preserve">Policy Development, Approval and </w:t>
      </w:r>
      <w:bookmarkEnd w:id="55"/>
      <w:r>
        <w:t>Authorisation</w:t>
      </w:r>
      <w:bookmarkEnd w:id="56"/>
      <w:bookmarkEnd w:id="57"/>
      <w:r w:rsidRPr="009B13EE">
        <w:t xml:space="preserve"> </w:t>
      </w:r>
    </w:p>
    <w:p w14:paraId="618E9E83" w14:textId="1BAF98C7" w:rsidR="006048D2" w:rsidRPr="0017280F" w:rsidRDefault="00CE4C7B" w:rsidP="00D07879">
      <w:pPr>
        <w:pStyle w:val="Policybulletlevel2"/>
      </w:pPr>
      <w:r>
        <w:t>This p</w:t>
      </w:r>
      <w:r w:rsidR="006048D2" w:rsidRPr="00672A14">
        <w:t>olicy</w:t>
      </w:r>
      <w:r>
        <w:t xml:space="preserve"> </w:t>
      </w:r>
      <w:r w:rsidR="00FC74F2">
        <w:t>will b</w:t>
      </w:r>
      <w:r>
        <w:t xml:space="preserve">e </w:t>
      </w:r>
      <w:r w:rsidR="006048D2" w:rsidRPr="00672A14">
        <w:t xml:space="preserve">approved by the </w:t>
      </w:r>
      <w:r w:rsidR="00FC74F2">
        <w:t xml:space="preserve">Regulatory </w:t>
      </w:r>
      <w:r w:rsidR="001E3590">
        <w:t xml:space="preserve">Oversight </w:t>
      </w:r>
      <w:r w:rsidR="006048D2">
        <w:t>Group</w:t>
      </w:r>
      <w:r w:rsidR="006048D2" w:rsidRPr="00672A14">
        <w:t>.</w:t>
      </w:r>
    </w:p>
    <w:p w14:paraId="3763E999" w14:textId="77777777" w:rsidR="00C91539" w:rsidRDefault="00A51641" w:rsidP="00D07879">
      <w:pPr>
        <w:pStyle w:val="Policybulletlevel2"/>
      </w:pPr>
      <w:r>
        <w:lastRenderedPageBreak/>
        <w:t>This policy will be ratif</w:t>
      </w:r>
      <w:r w:rsidR="00C91539">
        <w:t>ied by the Policy Authorisation</w:t>
      </w:r>
      <w:r>
        <w:t xml:space="preserve"> Group.</w:t>
      </w:r>
    </w:p>
    <w:p w14:paraId="0F055C8A" w14:textId="77777777" w:rsidR="00901EDC" w:rsidRDefault="00901EDC" w:rsidP="00F73ACA">
      <w:pPr>
        <w:pStyle w:val="Policyheader"/>
      </w:pPr>
      <w:bookmarkStart w:id="58" w:name="_Toc523986728"/>
      <w:bookmarkStart w:id="59" w:name="_Toc523989246"/>
      <w:bookmarkStart w:id="60" w:name="_Toc176527336"/>
      <w:r w:rsidRPr="00D5698E">
        <w:t>Review</w:t>
      </w:r>
      <w:r w:rsidRPr="00AE6AAE">
        <w:t xml:space="preserve"> and Revision Arrangements</w:t>
      </w:r>
      <w:bookmarkEnd w:id="58"/>
      <w:bookmarkEnd w:id="59"/>
      <w:bookmarkEnd w:id="60"/>
    </w:p>
    <w:p w14:paraId="5BBBD852" w14:textId="0BBAEC05" w:rsidR="00A4563E" w:rsidRDefault="00A4563E" w:rsidP="00F73ACA">
      <w:pPr>
        <w:pStyle w:val="Policybulletlevel2"/>
      </w:pPr>
      <w:r w:rsidRPr="000146EA">
        <w:t xml:space="preserve">This policy will be reviewed </w:t>
      </w:r>
      <w:r w:rsidR="00CC146F">
        <w:t xml:space="preserve">by the </w:t>
      </w:r>
      <w:r w:rsidR="0068612A">
        <w:t xml:space="preserve">Group Company </w:t>
      </w:r>
      <w:r w:rsidR="006A652B">
        <w:t>Secretary</w:t>
      </w:r>
      <w:r w:rsidR="00D07879" w:rsidRPr="00D07879">
        <w:t xml:space="preserve"> </w:t>
      </w:r>
      <w:r w:rsidRPr="000146EA">
        <w:t>as scheduled in three years’ time unless legislative or other changes necessitate an earlier review.</w:t>
      </w:r>
    </w:p>
    <w:p w14:paraId="1CFD2DA5" w14:textId="3247C483" w:rsidR="00C73037" w:rsidRDefault="00C73037" w:rsidP="00F73ACA">
      <w:pPr>
        <w:pStyle w:val="Policybulletlevel2"/>
      </w:pPr>
      <w:r w:rsidRPr="00C73037">
        <w:t>It will be ratified by the Policy Authorisation Group every three years, or when there are significant changes and/or changes to underpinning legislation in accordance with the policy for the Development and Management of Trust Policies.</w:t>
      </w:r>
    </w:p>
    <w:p w14:paraId="5066B8D9" w14:textId="47596BD3" w:rsidR="00901EDC" w:rsidRDefault="00C73037" w:rsidP="00F73ACA">
      <w:pPr>
        <w:pStyle w:val="Policyheader"/>
      </w:pPr>
      <w:bookmarkStart w:id="61" w:name="_Toc176527337"/>
      <w:r>
        <w:t>Policy Implementation</w:t>
      </w:r>
      <w:bookmarkEnd w:id="61"/>
    </w:p>
    <w:p w14:paraId="551BB7CD" w14:textId="77777777" w:rsidR="008F4721" w:rsidRPr="0093661A" w:rsidRDefault="008F4721" w:rsidP="008F4721">
      <w:pPr>
        <w:pStyle w:val="Policybulletlevel2"/>
      </w:pPr>
      <w:r w:rsidRPr="00F13D31">
        <w:t xml:space="preserve">The </w:t>
      </w:r>
      <w:r>
        <w:t>Director of Corporate Governance</w:t>
      </w:r>
      <w:r w:rsidRPr="00260363">
        <w:t xml:space="preserve"> </w:t>
      </w:r>
      <w:r>
        <w:t xml:space="preserve">has overall responsibility for </w:t>
      </w:r>
      <w:r w:rsidRPr="00F13D31">
        <w:t xml:space="preserve">the implementation of the </w:t>
      </w:r>
      <w:r>
        <w:t>Freedom of Information Act and this policy</w:t>
      </w:r>
      <w:r w:rsidRPr="00F13D31">
        <w:t>.</w:t>
      </w:r>
    </w:p>
    <w:p w14:paraId="23671B53" w14:textId="77777777" w:rsidR="008F4721" w:rsidRDefault="008F4721" w:rsidP="008F4721">
      <w:pPr>
        <w:pStyle w:val="Policybulletlevel2"/>
      </w:pPr>
      <w:r w:rsidRPr="00F13D31">
        <w:t xml:space="preserve">The </w:t>
      </w:r>
      <w:r>
        <w:t>Director of Corporate Governance</w:t>
      </w:r>
      <w:r w:rsidRPr="00260363">
        <w:t xml:space="preserve"> </w:t>
      </w:r>
      <w:r w:rsidRPr="00F13D31">
        <w:t xml:space="preserve">will </w:t>
      </w:r>
      <w:r>
        <w:t>facilitate awareness of the Freedom of Information Act to members of staff</w:t>
      </w:r>
      <w:r w:rsidRPr="00F13D31">
        <w:t>.</w:t>
      </w:r>
      <w:r>
        <w:t xml:space="preserve">  </w:t>
      </w:r>
    </w:p>
    <w:p w14:paraId="0FCE4EBA" w14:textId="7EF882B1" w:rsidR="00EA480F" w:rsidRDefault="00EA480F" w:rsidP="00F73ACA">
      <w:pPr>
        <w:pStyle w:val="Policybulletlevel2"/>
      </w:pPr>
      <w:r>
        <w:t>This policy will be distributed</w:t>
      </w:r>
      <w:r w:rsidR="005021AD">
        <w:t xml:space="preserve"> by hyperlink</w:t>
      </w:r>
      <w:r>
        <w:t xml:space="preserve"> to all Trust FOI Leads for reference purposes. </w:t>
      </w:r>
    </w:p>
    <w:p w14:paraId="78AEECA4" w14:textId="77777777" w:rsidR="00EA480F" w:rsidRDefault="00EA480F" w:rsidP="00F73ACA">
      <w:pPr>
        <w:pStyle w:val="Policybulletlevel2"/>
      </w:pPr>
      <w:r>
        <w:t xml:space="preserve">This policy will be available on the Policy </w:t>
      </w:r>
      <w:r w:rsidR="000146EA">
        <w:t>Centre, which</w:t>
      </w:r>
      <w:r>
        <w:t xml:space="preserve"> can be accessed through the Trust intranet.  </w:t>
      </w:r>
    </w:p>
    <w:p w14:paraId="69B93CD2" w14:textId="77777777" w:rsidR="00EA480F" w:rsidRDefault="00EA480F" w:rsidP="00F73ACA">
      <w:pPr>
        <w:pStyle w:val="Policybulletlevel2"/>
      </w:pPr>
      <w:r>
        <w:t xml:space="preserve">The policy will be available on the Freedom of Information section of the Trust’s website: </w:t>
      </w:r>
      <w:hyperlink r:id="rId17" w:history="1">
        <w:r w:rsidR="00F45482" w:rsidRPr="00F45482">
          <w:rPr>
            <w:color w:val="0000FF"/>
            <w:u w:val="single"/>
          </w:rPr>
          <w:t>https://www.ekhuft.nhs.uk/patients-and-visitors/about-us/freedom-of-information/</w:t>
        </w:r>
      </w:hyperlink>
    </w:p>
    <w:p w14:paraId="025F3E34" w14:textId="77777777" w:rsidR="00901EDC" w:rsidRDefault="00901EDC" w:rsidP="00F73ACA">
      <w:pPr>
        <w:pStyle w:val="Policyheader"/>
      </w:pPr>
      <w:bookmarkStart w:id="62" w:name="_Toc523986730"/>
      <w:bookmarkStart w:id="63" w:name="_Toc523989248"/>
      <w:bookmarkStart w:id="64" w:name="_Toc176527338"/>
      <w:r w:rsidRPr="00A37AEE">
        <w:t>Document Control including Archiving Arrangements</w:t>
      </w:r>
      <w:bookmarkEnd w:id="62"/>
      <w:bookmarkEnd w:id="63"/>
      <w:bookmarkEnd w:id="64"/>
    </w:p>
    <w:p w14:paraId="1AE1F250" w14:textId="77777777" w:rsidR="00D40ED0" w:rsidRDefault="00D40ED0" w:rsidP="00F73ACA">
      <w:pPr>
        <w:pStyle w:val="Policybulletlevel2"/>
      </w:pPr>
      <w:r w:rsidRPr="00CF5FEE">
        <w:t>This policy conform</w:t>
      </w:r>
      <w:r>
        <w:t>s</w:t>
      </w:r>
      <w:r w:rsidRPr="00CF5FEE">
        <w:t xml:space="preserve"> to the policy for the Development and Management of Procedural Documents</w:t>
      </w:r>
      <w:r>
        <w:t>.</w:t>
      </w:r>
      <w:r w:rsidRPr="00A51641">
        <w:t xml:space="preserve"> </w:t>
      </w:r>
    </w:p>
    <w:p w14:paraId="69199AFD" w14:textId="77777777" w:rsidR="00D40ED0" w:rsidRPr="00D40ED0" w:rsidRDefault="00D40ED0" w:rsidP="00F73ACA">
      <w:pPr>
        <w:pStyle w:val="Policybulletlevel2"/>
      </w:pPr>
      <w:r w:rsidRPr="00D40ED0">
        <w:t xml:space="preserve">Archiving of </w:t>
      </w:r>
      <w:r>
        <w:t>this policy</w:t>
      </w:r>
      <w:r w:rsidRPr="00D40ED0">
        <w:t xml:space="preserve"> will conform to the EKHUFT Information Lifecycle </w:t>
      </w:r>
      <w:r w:rsidR="002D69EB" w:rsidRPr="00D40ED0">
        <w:t>policy, which</w:t>
      </w:r>
      <w:r w:rsidRPr="00D40ED0">
        <w:t xml:space="preserve"> sets out EKHUFT’s policy </w:t>
      </w:r>
      <w:r>
        <w:t>on</w:t>
      </w:r>
      <w:r w:rsidRPr="00D40ED0">
        <w:t xml:space="preserve"> the management of its infor</w:t>
      </w:r>
      <w:r>
        <w:t>mation.</w:t>
      </w:r>
    </w:p>
    <w:p w14:paraId="165BC809" w14:textId="77777777" w:rsidR="00A51641" w:rsidRPr="00A37AEE" w:rsidRDefault="00A51641" w:rsidP="00F73ACA">
      <w:pPr>
        <w:pStyle w:val="Policybulletlevel2"/>
      </w:pPr>
      <w:r>
        <w:t xml:space="preserve">This policy will be uploaded to the </w:t>
      </w:r>
      <w:r w:rsidR="00CE4C7B" w:rsidRPr="00D07879">
        <w:t>Trust’s policy management system</w:t>
      </w:r>
      <w:r>
        <w:t>.</w:t>
      </w:r>
    </w:p>
    <w:p w14:paraId="5A15B8DD" w14:textId="77777777" w:rsidR="00901EDC" w:rsidRDefault="00901EDC" w:rsidP="00F73ACA">
      <w:pPr>
        <w:pStyle w:val="Policyheader"/>
      </w:pPr>
      <w:bookmarkStart w:id="65" w:name="_Toc523986731"/>
      <w:bookmarkStart w:id="66" w:name="_Toc523989249"/>
      <w:bookmarkStart w:id="67" w:name="_Toc176527339"/>
      <w:r w:rsidRPr="00901EDC">
        <w:t>Monitoring Compliance</w:t>
      </w:r>
      <w:bookmarkEnd w:id="65"/>
      <w:bookmarkEnd w:id="66"/>
      <w:bookmarkEnd w:id="67"/>
    </w:p>
    <w:p w14:paraId="33B3FCED" w14:textId="5CAB204F" w:rsidR="00F70BA6" w:rsidRDefault="008F4721" w:rsidP="00F73ACA">
      <w:pPr>
        <w:pStyle w:val="Policybulletlevel2"/>
      </w:pPr>
      <w:r>
        <w:t>Reports</w:t>
      </w:r>
      <w:r w:rsidR="0093661A">
        <w:t xml:space="preserve"> will be produced </w:t>
      </w:r>
      <w:r w:rsidR="00164FA0">
        <w:t xml:space="preserve">by the </w:t>
      </w:r>
      <w:r w:rsidR="00C73037">
        <w:t xml:space="preserve">Policy &amp; FOI Manager </w:t>
      </w:r>
      <w:r w:rsidR="001E3590">
        <w:t xml:space="preserve">and </w:t>
      </w:r>
      <w:r w:rsidR="0093661A">
        <w:t>presented to the</w:t>
      </w:r>
      <w:r>
        <w:t xml:space="preserve"> Regulatory Oversight Group on a quarter-yearly basis and to the</w:t>
      </w:r>
      <w:r w:rsidR="0093661A">
        <w:t xml:space="preserve"> Integrated Audit and Governance Committee</w:t>
      </w:r>
      <w:r w:rsidR="0093661A" w:rsidRPr="00596B36">
        <w:t xml:space="preserve"> </w:t>
      </w:r>
      <w:r>
        <w:t xml:space="preserve">on an annual basis </w:t>
      </w:r>
      <w:r w:rsidR="0093661A" w:rsidRPr="00596B36">
        <w:t>to demonstrate compliance with the Freedom of Inf</w:t>
      </w:r>
      <w:r w:rsidR="0093661A">
        <w:t>ormation Act 2000.</w:t>
      </w:r>
    </w:p>
    <w:p w14:paraId="2C0FF35A" w14:textId="53AC0CF7" w:rsidR="00C73037" w:rsidRPr="00F45482" w:rsidRDefault="00C73037" w:rsidP="00F73ACA">
      <w:pPr>
        <w:pStyle w:val="Policybulletlevel2"/>
      </w:pPr>
      <w:r>
        <w:lastRenderedPageBreak/>
        <w:t>Compliance metrics will be published quarterly on the Trust’s website as required by the Information Commissioner’s Office.</w:t>
      </w:r>
    </w:p>
    <w:p w14:paraId="1AFAEDB0" w14:textId="77777777" w:rsidR="00901EDC" w:rsidRDefault="00901EDC" w:rsidP="00F73ACA">
      <w:pPr>
        <w:pStyle w:val="Policyheader"/>
      </w:pPr>
      <w:bookmarkStart w:id="68" w:name="_Toc523986732"/>
      <w:bookmarkStart w:id="69" w:name="_Toc523989250"/>
      <w:bookmarkStart w:id="70" w:name="_Toc176527340"/>
      <w:r>
        <w:t>References</w:t>
      </w:r>
      <w:bookmarkEnd w:id="68"/>
      <w:bookmarkEnd w:id="69"/>
      <w:bookmarkEnd w:id="70"/>
    </w:p>
    <w:p w14:paraId="277D2765" w14:textId="77777777" w:rsidR="0093661A" w:rsidRDefault="0093661A" w:rsidP="0067492E">
      <w:pPr>
        <w:pStyle w:val="PolicybulletLevel3"/>
        <w:numPr>
          <w:ilvl w:val="0"/>
          <w:numId w:val="0"/>
        </w:numPr>
        <w:spacing w:before="60" w:after="60"/>
        <w:ind w:left="851"/>
      </w:pPr>
      <w:r w:rsidRPr="00F13D31">
        <w:t xml:space="preserve">Data Protection Act </w:t>
      </w:r>
      <w:r w:rsidR="00CC146F">
        <w:t>2018</w:t>
      </w:r>
    </w:p>
    <w:p w14:paraId="075D18D9" w14:textId="77777777" w:rsidR="00D221DD" w:rsidRPr="0093661A" w:rsidRDefault="00D221DD" w:rsidP="0067492E">
      <w:pPr>
        <w:pStyle w:val="PolicybulletLevel3"/>
        <w:numPr>
          <w:ilvl w:val="0"/>
          <w:numId w:val="0"/>
        </w:numPr>
        <w:spacing w:before="60" w:after="60"/>
        <w:ind w:left="851"/>
      </w:pPr>
      <w:r>
        <w:t>Access to Health Records Act 1990</w:t>
      </w:r>
    </w:p>
    <w:p w14:paraId="198EF76E" w14:textId="57D154D2" w:rsidR="0093661A" w:rsidRDefault="0093661A" w:rsidP="0067492E">
      <w:pPr>
        <w:pStyle w:val="PolicybulletLevel3"/>
        <w:numPr>
          <w:ilvl w:val="0"/>
          <w:numId w:val="0"/>
        </w:numPr>
        <w:spacing w:before="60" w:after="60"/>
        <w:ind w:left="851"/>
      </w:pPr>
      <w:r w:rsidRPr="00F13D31">
        <w:t>Freedom of Information Act 2000</w:t>
      </w:r>
    </w:p>
    <w:p w14:paraId="14AFE9FD" w14:textId="7994C191" w:rsidR="00F56D17" w:rsidRDefault="00F56D17" w:rsidP="0067492E">
      <w:pPr>
        <w:pStyle w:val="PolicybulletLevel3"/>
        <w:numPr>
          <w:ilvl w:val="0"/>
          <w:numId w:val="0"/>
        </w:numPr>
        <w:spacing w:before="60" w:after="60"/>
        <w:ind w:left="851"/>
      </w:pPr>
      <w:r w:rsidRPr="00F56D17">
        <w:t>Freedom of Information Code of Practice</w:t>
      </w:r>
    </w:p>
    <w:p w14:paraId="0E2D65A5" w14:textId="1D155E5A" w:rsidR="00C73037" w:rsidRPr="0093661A" w:rsidRDefault="00C73037" w:rsidP="0067492E">
      <w:pPr>
        <w:pStyle w:val="PolicybulletLevel3"/>
        <w:numPr>
          <w:ilvl w:val="0"/>
          <w:numId w:val="0"/>
        </w:numPr>
        <w:spacing w:before="60" w:after="60"/>
        <w:ind w:left="851"/>
      </w:pPr>
      <w:r>
        <w:t>Environmental Information Regulations 2004</w:t>
      </w:r>
    </w:p>
    <w:p w14:paraId="1CB6EC16" w14:textId="77777777" w:rsidR="0093661A" w:rsidRPr="0093661A" w:rsidRDefault="0093661A" w:rsidP="0067492E">
      <w:pPr>
        <w:pStyle w:val="PolicybulletLevel3"/>
        <w:numPr>
          <w:ilvl w:val="0"/>
          <w:numId w:val="0"/>
        </w:numPr>
        <w:spacing w:before="60" w:after="60"/>
        <w:ind w:left="851"/>
      </w:pPr>
      <w:r>
        <w:t>Records Management:  NHS Code of Practice</w:t>
      </w:r>
    </w:p>
    <w:p w14:paraId="308BD984" w14:textId="091A3690" w:rsidR="0093661A" w:rsidRPr="0093661A" w:rsidRDefault="0093661A" w:rsidP="0067492E">
      <w:pPr>
        <w:pStyle w:val="PolicybulletLevel3"/>
        <w:numPr>
          <w:ilvl w:val="0"/>
          <w:numId w:val="0"/>
        </w:numPr>
        <w:spacing w:before="60" w:after="60"/>
        <w:ind w:left="851"/>
      </w:pPr>
      <w:r w:rsidRPr="00F13D31">
        <w:t xml:space="preserve">Lord Chancellor's </w:t>
      </w:r>
      <w:hyperlink r:id="rId18" w:history="1">
        <w:r w:rsidRPr="00F56D17">
          <w:rPr>
            <w:rStyle w:val="Hyperlink"/>
          </w:rPr>
          <w:t>Code of Practice</w:t>
        </w:r>
      </w:hyperlink>
      <w:r w:rsidRPr="00F13D31">
        <w:t xml:space="preserve"> on the Discharge of Public Authorities</w:t>
      </w:r>
      <w:r w:rsidRPr="00F13D31">
        <w:fldChar w:fldCharType="begin"/>
      </w:r>
      <w:r w:rsidRPr="00F13D31">
        <w:instrText xml:space="preserve"> XE "Lord Chancellor's Code of Practice on the Discharge of Public Authorities" </w:instrText>
      </w:r>
      <w:r w:rsidRPr="00F13D31">
        <w:fldChar w:fldCharType="end"/>
      </w:r>
      <w:r w:rsidR="000669EA">
        <w:t xml:space="preserve">' Functions </w:t>
      </w:r>
      <w:r w:rsidRPr="00F13D31">
        <w:t>under Part I of the Freedom of Information Act 2000</w:t>
      </w:r>
      <w:r w:rsidRPr="00F13D31">
        <w:fldChar w:fldCharType="begin"/>
      </w:r>
      <w:r w:rsidRPr="00F13D31">
        <w:instrText xml:space="preserve"> XE "Freedom of Information Act 2000" </w:instrText>
      </w:r>
      <w:r w:rsidRPr="00F13D31">
        <w:fldChar w:fldCharType="end"/>
      </w:r>
      <w:r w:rsidRPr="00F13D31">
        <w:t>, issued under section 45 of the Act.</w:t>
      </w:r>
      <w:r w:rsidR="00F56D17" w:rsidRPr="00F56D17">
        <w:t xml:space="preserve"> </w:t>
      </w:r>
    </w:p>
    <w:p w14:paraId="00246869" w14:textId="77777777" w:rsidR="00AC1B9B" w:rsidRDefault="00AC1B9B" w:rsidP="0067492E">
      <w:pPr>
        <w:pStyle w:val="PolicybulletLevel3"/>
        <w:numPr>
          <w:ilvl w:val="0"/>
          <w:numId w:val="0"/>
        </w:numPr>
        <w:spacing w:before="60" w:after="60"/>
        <w:ind w:left="851"/>
      </w:pPr>
      <w:r w:rsidRPr="00F13D31">
        <w:t>Lord Chancellor's Code of Practice on the Management of Records Under section 46</w:t>
      </w:r>
      <w:r w:rsidRPr="00F13D31">
        <w:fldChar w:fldCharType="begin"/>
      </w:r>
      <w:r w:rsidRPr="00F13D31">
        <w:instrText xml:space="preserve"> XE "Lord Chancellor's Code of Practice on the Management of Records Under section 46" </w:instrText>
      </w:r>
      <w:r w:rsidRPr="00F13D31">
        <w:fldChar w:fldCharType="end"/>
      </w:r>
      <w:r w:rsidRPr="00F13D31">
        <w:t xml:space="preserve"> of the Freedom of Information Act 2000</w:t>
      </w:r>
      <w:r w:rsidRPr="00F13D31">
        <w:fldChar w:fldCharType="begin"/>
      </w:r>
      <w:r w:rsidRPr="00F13D31">
        <w:instrText xml:space="preserve"> XE "Freedom of Information Act 2000" </w:instrText>
      </w:r>
      <w:r w:rsidRPr="00F13D31">
        <w:fldChar w:fldCharType="end"/>
      </w:r>
      <w:r w:rsidRPr="00F13D31">
        <w:t>.</w:t>
      </w:r>
    </w:p>
    <w:p w14:paraId="0FC63440" w14:textId="77777777" w:rsidR="00AC1B9B" w:rsidRPr="00AC1B9B" w:rsidRDefault="00AC1B9B" w:rsidP="0067492E">
      <w:pPr>
        <w:pStyle w:val="PolicybulletLevel3"/>
        <w:numPr>
          <w:ilvl w:val="0"/>
          <w:numId w:val="0"/>
        </w:numPr>
        <w:spacing w:before="60" w:after="60"/>
        <w:ind w:left="851"/>
      </w:pPr>
      <w:r>
        <w:t xml:space="preserve">Ministry of Justice - </w:t>
      </w:r>
      <w:hyperlink r:id="rId19" w:history="1">
        <w:r w:rsidRPr="00B75896">
          <w:rPr>
            <w:rStyle w:val="Hyperlink"/>
          </w:rPr>
          <w:t>http://www.gov.uk/government/organisations/ministry-of-justice</w:t>
        </w:r>
      </w:hyperlink>
    </w:p>
    <w:p w14:paraId="41CF4641" w14:textId="77777777" w:rsidR="00AC1B9B" w:rsidRPr="00AC1B9B" w:rsidRDefault="00AC1B9B" w:rsidP="0067492E">
      <w:pPr>
        <w:pStyle w:val="PolicybulletLevel3"/>
        <w:numPr>
          <w:ilvl w:val="0"/>
          <w:numId w:val="0"/>
        </w:numPr>
        <w:spacing w:before="60" w:after="60"/>
        <w:ind w:left="851"/>
      </w:pPr>
      <w:r>
        <w:t xml:space="preserve">Information Commissioners Office: </w:t>
      </w:r>
      <w:hyperlink r:id="rId20" w:history="1">
        <w:r w:rsidR="00D96298" w:rsidRPr="00241528">
          <w:rPr>
            <w:rStyle w:val="Hyperlink"/>
          </w:rPr>
          <w:t>http://www.ico.org.uk</w:t>
        </w:r>
      </w:hyperlink>
    </w:p>
    <w:p w14:paraId="47C70D00" w14:textId="77777777" w:rsidR="0093661A" w:rsidRDefault="00AC1B9B" w:rsidP="0067492E">
      <w:pPr>
        <w:pStyle w:val="PolicybulletLevel3"/>
        <w:numPr>
          <w:ilvl w:val="0"/>
          <w:numId w:val="0"/>
        </w:numPr>
        <w:spacing w:before="60" w:after="60"/>
        <w:ind w:left="851"/>
      </w:pPr>
      <w:r>
        <w:t xml:space="preserve">Secretary of State’s Code of Practice (datasets) on the discharge of public </w:t>
      </w:r>
      <w:r w:rsidR="000669EA">
        <w:t xml:space="preserve"> </w:t>
      </w:r>
      <w:r>
        <w:t>authorities’ functions under Part I of the Freedom of Information Act 2000 (issued under Section 45 of the Freedom of Information Act)</w:t>
      </w:r>
    </w:p>
    <w:p w14:paraId="3A4A9FCD" w14:textId="77777777" w:rsidR="00901EDC" w:rsidRDefault="00901EDC" w:rsidP="00F73ACA">
      <w:pPr>
        <w:pStyle w:val="Policyheader"/>
      </w:pPr>
      <w:bookmarkStart w:id="71" w:name="_Toc523986733"/>
      <w:bookmarkStart w:id="72" w:name="_Toc523989251"/>
      <w:bookmarkStart w:id="73" w:name="_Toc176527341"/>
      <w:r>
        <w:t>Appendices</w:t>
      </w:r>
      <w:bookmarkEnd w:id="71"/>
      <w:bookmarkEnd w:id="72"/>
      <w:bookmarkEnd w:id="73"/>
    </w:p>
    <w:p w14:paraId="215C3C23" w14:textId="5880F3BF" w:rsidR="00E3219F" w:rsidRDefault="003A26FA" w:rsidP="008B696D">
      <w:pPr>
        <w:pStyle w:val="Policyheader"/>
        <w:numPr>
          <w:ilvl w:val="0"/>
          <w:numId w:val="0"/>
        </w:numPr>
      </w:pPr>
      <w:r>
        <w:rPr>
          <w:bCs/>
          <w:color w:val="000000"/>
          <w:lang w:val="en"/>
        </w:rPr>
        <w:br w:type="page"/>
      </w:r>
      <w:bookmarkStart w:id="74" w:name="_Toc176527342"/>
      <w:bookmarkStart w:id="75" w:name="_Toc523986735"/>
      <w:bookmarkStart w:id="76" w:name="_Toc523989253"/>
      <w:r w:rsidR="00D07879" w:rsidRPr="008B696D">
        <w:lastRenderedPageBreak/>
        <w:t xml:space="preserve">Appendix </w:t>
      </w:r>
      <w:r w:rsidR="00ED760A">
        <w:t>A</w:t>
      </w:r>
      <w:r w:rsidR="00ED760A" w:rsidRPr="008B696D">
        <w:t xml:space="preserve"> </w:t>
      </w:r>
      <w:r w:rsidR="00D07879" w:rsidRPr="008B696D">
        <w:t>– Exempt Information under Part II of the Freedom of Information Act 2000</w:t>
      </w:r>
      <w:bookmarkEnd w:id="74"/>
    </w:p>
    <w:p w14:paraId="2D6953DB" w14:textId="77777777" w:rsidR="00E3219F" w:rsidRDefault="00E3219F" w:rsidP="00D07879">
      <w:pPr>
        <w:spacing w:before="60" w:after="120" w:line="300" w:lineRule="auto"/>
        <w:ind w:right="-23"/>
        <w:rPr>
          <w:rFonts w:cs="Arial"/>
        </w:rPr>
      </w:pPr>
      <w:r>
        <w:rPr>
          <w:rFonts w:cs="Arial"/>
        </w:rPr>
        <w:t>There are two types of class exemption:</w:t>
      </w:r>
    </w:p>
    <w:p w14:paraId="3CC2BDF1" w14:textId="77777777" w:rsidR="00E3219F" w:rsidRDefault="00E3219F" w:rsidP="00D07879">
      <w:pPr>
        <w:numPr>
          <w:ilvl w:val="0"/>
          <w:numId w:val="38"/>
        </w:numPr>
        <w:spacing w:before="60" w:after="60" w:line="300" w:lineRule="auto"/>
        <w:ind w:right="-23"/>
        <w:rPr>
          <w:rFonts w:cs="Arial"/>
        </w:rPr>
      </w:pPr>
      <w:r>
        <w:rPr>
          <w:rFonts w:cs="Arial"/>
        </w:rPr>
        <w:t>Absolute, which do not require a test of prejudice or the balance of public interest to be in favour of non-disclosure.</w:t>
      </w:r>
    </w:p>
    <w:p w14:paraId="15FDA809" w14:textId="77777777" w:rsidR="00E3219F" w:rsidRDefault="00E3219F" w:rsidP="00D07879">
      <w:pPr>
        <w:numPr>
          <w:ilvl w:val="0"/>
          <w:numId w:val="38"/>
        </w:numPr>
        <w:spacing w:before="60" w:after="60" w:line="300" w:lineRule="auto"/>
        <w:ind w:right="-23"/>
        <w:rPr>
          <w:rFonts w:cs="Arial"/>
        </w:rPr>
      </w:pPr>
      <w:r>
        <w:rPr>
          <w:rFonts w:cs="Arial"/>
        </w:rPr>
        <w:t xml:space="preserve">Qualified by the public interest test, which require the public body to decide whether it is in the balance of public interest to not disclose the information.  </w:t>
      </w:r>
    </w:p>
    <w:p w14:paraId="3F2420CF" w14:textId="77777777" w:rsidR="00E3219F" w:rsidRDefault="00E3219F" w:rsidP="00D07879">
      <w:pPr>
        <w:spacing w:before="240" w:after="60" w:line="300" w:lineRule="auto"/>
        <w:ind w:right="-23"/>
        <w:rPr>
          <w:rFonts w:cs="Arial"/>
        </w:rPr>
      </w:pPr>
      <w:r>
        <w:rPr>
          <w:rFonts w:cs="Arial"/>
        </w:rPr>
        <w:t>With the exception of s21 (Information available by other means) exemptions apply not only to the communication of information but also to the duty to confirm or deny, if that itself would disclose information that it is reasonable to withhold.</w:t>
      </w:r>
    </w:p>
    <w:p w14:paraId="680B803C" w14:textId="77777777" w:rsidR="00E3219F" w:rsidRDefault="00E3219F" w:rsidP="00D07879">
      <w:pPr>
        <w:spacing w:before="240" w:after="120" w:line="300" w:lineRule="auto"/>
        <w:ind w:right="-23"/>
        <w:rPr>
          <w:rFonts w:cs="Arial"/>
        </w:rPr>
      </w:pPr>
      <w:r>
        <w:rPr>
          <w:rFonts w:cs="Arial"/>
        </w:rPr>
        <w:t>The absolute exemptions under the Act are:</w:t>
      </w:r>
    </w:p>
    <w:p w14:paraId="1C43723D"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21</w:t>
      </w:r>
      <w:r w:rsidRPr="000F6DBB">
        <w:rPr>
          <w:rFonts w:cs="Arial"/>
        </w:rPr>
        <w:t>, Information accessible to applicant by other means</w:t>
      </w:r>
    </w:p>
    <w:p w14:paraId="62824BF9"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23</w:t>
      </w:r>
      <w:r w:rsidRPr="000F6DBB">
        <w:rPr>
          <w:rFonts w:cs="Arial"/>
        </w:rPr>
        <w:t>, Information supplied by, or relating to, bodies dealing with security matters</w:t>
      </w:r>
    </w:p>
    <w:p w14:paraId="3BA98A0A"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32</w:t>
      </w:r>
      <w:r w:rsidRPr="000F6DBB">
        <w:rPr>
          <w:rFonts w:cs="Arial"/>
        </w:rPr>
        <w:t>, Court Records</w:t>
      </w:r>
    </w:p>
    <w:p w14:paraId="722181C3"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34</w:t>
      </w:r>
      <w:r w:rsidRPr="000F6DBB">
        <w:rPr>
          <w:rFonts w:cs="Arial"/>
        </w:rPr>
        <w:t>, Parliamentary Privilege</w:t>
      </w:r>
    </w:p>
    <w:p w14:paraId="0A7C17C5"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36</w:t>
      </w:r>
      <w:r w:rsidRPr="000F6DBB">
        <w:rPr>
          <w:rFonts w:cs="Arial"/>
        </w:rPr>
        <w:t xml:space="preserve">, Prejudice to effective conduct of public affairs </w:t>
      </w:r>
    </w:p>
    <w:p w14:paraId="55A892D8" w14:textId="6613CB3D" w:rsidR="00E3219F" w:rsidRPr="000F6DBB" w:rsidRDefault="00E3219F" w:rsidP="00D07879">
      <w:pPr>
        <w:numPr>
          <w:ilvl w:val="0"/>
          <w:numId w:val="39"/>
        </w:numPr>
        <w:spacing w:before="60" w:after="60" w:line="300" w:lineRule="auto"/>
        <w:ind w:right="-23"/>
        <w:rPr>
          <w:rFonts w:cs="Arial"/>
        </w:rPr>
      </w:pPr>
      <w:r w:rsidRPr="000F6DBB">
        <w:rPr>
          <w:rFonts w:cs="Arial"/>
          <w:b/>
        </w:rPr>
        <w:t>Section 40</w:t>
      </w:r>
      <w:r w:rsidRPr="000F6DBB">
        <w:rPr>
          <w:rFonts w:cs="Arial"/>
        </w:rPr>
        <w:t xml:space="preserve">, Personal Information (where disclosure may contravene the Data Protection Act </w:t>
      </w:r>
      <w:r w:rsidR="004D4AC2">
        <w:rPr>
          <w:rFonts w:cs="Arial"/>
        </w:rPr>
        <w:t>2018</w:t>
      </w:r>
      <w:r w:rsidRPr="000F6DBB">
        <w:rPr>
          <w:rFonts w:cs="Arial"/>
        </w:rPr>
        <w:t>)</w:t>
      </w:r>
    </w:p>
    <w:p w14:paraId="3F163DBD"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41</w:t>
      </w:r>
      <w:r w:rsidRPr="000F6DBB">
        <w:rPr>
          <w:rFonts w:cs="Arial"/>
        </w:rPr>
        <w:t>, Information provided in confidence</w:t>
      </w:r>
    </w:p>
    <w:p w14:paraId="534B4A42" w14:textId="77777777" w:rsidR="00E3219F" w:rsidRPr="000F6DBB" w:rsidRDefault="00E3219F" w:rsidP="00D07879">
      <w:pPr>
        <w:numPr>
          <w:ilvl w:val="0"/>
          <w:numId w:val="39"/>
        </w:numPr>
        <w:spacing w:before="60" w:after="60" w:line="300" w:lineRule="auto"/>
        <w:ind w:right="-23"/>
        <w:rPr>
          <w:rFonts w:cs="Arial"/>
        </w:rPr>
      </w:pPr>
      <w:r w:rsidRPr="000F6DBB">
        <w:rPr>
          <w:rFonts w:cs="Arial"/>
          <w:b/>
        </w:rPr>
        <w:t>Section 44</w:t>
      </w:r>
      <w:r w:rsidRPr="000F6DBB">
        <w:rPr>
          <w:rFonts w:cs="Arial"/>
        </w:rPr>
        <w:t>, Prohibitions on disclosure</w:t>
      </w:r>
    </w:p>
    <w:p w14:paraId="0A6CB493" w14:textId="77777777" w:rsidR="00E3219F" w:rsidRDefault="00E3219F" w:rsidP="00D07879">
      <w:pPr>
        <w:spacing w:before="240" w:after="120" w:line="300" w:lineRule="auto"/>
        <w:ind w:right="-23"/>
        <w:rPr>
          <w:rFonts w:cs="Arial"/>
        </w:rPr>
      </w:pPr>
      <w:r>
        <w:rPr>
          <w:rFonts w:cs="Arial"/>
        </w:rPr>
        <w:t>The exemptions that are qualified by the public interest are:</w:t>
      </w:r>
    </w:p>
    <w:p w14:paraId="075822C7" w14:textId="77777777" w:rsidR="00E3219F" w:rsidRPr="00B90200" w:rsidRDefault="00E3219F" w:rsidP="00D07879">
      <w:pPr>
        <w:numPr>
          <w:ilvl w:val="0"/>
          <w:numId w:val="40"/>
        </w:numPr>
        <w:spacing w:before="60" w:after="60" w:line="300" w:lineRule="auto"/>
        <w:ind w:right="-23"/>
        <w:rPr>
          <w:rFonts w:cs="Arial"/>
        </w:rPr>
      </w:pPr>
      <w:r w:rsidRPr="000F6DBB">
        <w:rPr>
          <w:rFonts w:cs="Arial"/>
          <w:b/>
        </w:rPr>
        <w:t>Section 22</w:t>
      </w:r>
      <w:r w:rsidRPr="00B90200">
        <w:rPr>
          <w:rFonts w:cs="Arial"/>
        </w:rPr>
        <w:t>, Information intended for future publication</w:t>
      </w:r>
    </w:p>
    <w:p w14:paraId="5B3AE8AF"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24</w:t>
      </w:r>
      <w:r w:rsidRPr="000F6DBB">
        <w:rPr>
          <w:rFonts w:cs="Arial"/>
        </w:rPr>
        <w:t>, National security</w:t>
      </w:r>
    </w:p>
    <w:p w14:paraId="7DFD6AD8"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26</w:t>
      </w:r>
      <w:r w:rsidRPr="000F6DBB">
        <w:rPr>
          <w:rFonts w:cs="Arial"/>
        </w:rPr>
        <w:t>, Defence</w:t>
      </w:r>
    </w:p>
    <w:p w14:paraId="7DF8E889"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27</w:t>
      </w:r>
      <w:r w:rsidRPr="000F6DBB">
        <w:rPr>
          <w:rFonts w:cs="Arial"/>
        </w:rPr>
        <w:t>, International relations</w:t>
      </w:r>
    </w:p>
    <w:p w14:paraId="50FDCA94"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28</w:t>
      </w:r>
      <w:r w:rsidRPr="000F6DBB">
        <w:rPr>
          <w:rFonts w:cs="Arial"/>
        </w:rPr>
        <w:t xml:space="preserve">, Relations within the </w:t>
      </w:r>
      <w:smartTag w:uri="urn:schemas-microsoft-com:office:smarttags" w:element="place">
        <w:smartTag w:uri="urn:schemas-microsoft-com:office:smarttags" w:element="country-region">
          <w:smartTag w:uri="urn:schemas-microsoft-com:office:smarttags" w:element="PostalCode">
            <w:r w:rsidRPr="000F6DBB">
              <w:rPr>
                <w:rFonts w:cs="Arial"/>
              </w:rPr>
              <w:t>United Kingdom</w:t>
            </w:r>
          </w:smartTag>
        </w:smartTag>
      </w:smartTag>
    </w:p>
    <w:p w14:paraId="33515E84"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29</w:t>
      </w:r>
      <w:r w:rsidRPr="000F6DBB">
        <w:rPr>
          <w:rFonts w:cs="Arial"/>
        </w:rPr>
        <w:t>, The economy</w:t>
      </w:r>
    </w:p>
    <w:p w14:paraId="53A3C41F"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30</w:t>
      </w:r>
      <w:r w:rsidRPr="000F6DBB">
        <w:rPr>
          <w:rFonts w:cs="Arial"/>
        </w:rPr>
        <w:t>, Investigations and proceedings conducted by public authorities</w:t>
      </w:r>
    </w:p>
    <w:p w14:paraId="4CA7AEC1"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31</w:t>
      </w:r>
      <w:r w:rsidRPr="000F6DBB">
        <w:rPr>
          <w:rFonts w:cs="Arial"/>
        </w:rPr>
        <w:t>, Law enforcement</w:t>
      </w:r>
    </w:p>
    <w:p w14:paraId="57E8059E"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33</w:t>
      </w:r>
      <w:r w:rsidRPr="000F6DBB">
        <w:rPr>
          <w:rFonts w:cs="Arial"/>
        </w:rPr>
        <w:t>, Audit functions</w:t>
      </w:r>
    </w:p>
    <w:p w14:paraId="7B2C60A0"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35</w:t>
      </w:r>
      <w:r w:rsidRPr="000F6DBB">
        <w:rPr>
          <w:rFonts w:cs="Arial"/>
        </w:rPr>
        <w:t>, Formulation of Government policy</w:t>
      </w:r>
    </w:p>
    <w:p w14:paraId="7083DF58"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36</w:t>
      </w:r>
      <w:r w:rsidRPr="000F6DBB">
        <w:rPr>
          <w:rFonts w:cs="Arial"/>
        </w:rPr>
        <w:t xml:space="preserve">, Prejudice to effective conduct of public affairs </w:t>
      </w:r>
    </w:p>
    <w:p w14:paraId="0E1C31AD"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37</w:t>
      </w:r>
      <w:r w:rsidRPr="000F6DBB">
        <w:rPr>
          <w:rFonts w:cs="Arial"/>
        </w:rPr>
        <w:t>, Communications with Her Majesty, etc, and honours</w:t>
      </w:r>
    </w:p>
    <w:p w14:paraId="6AAA7351"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lastRenderedPageBreak/>
        <w:t>Section 38</w:t>
      </w:r>
      <w:r w:rsidRPr="000F6DBB">
        <w:rPr>
          <w:rFonts w:cs="Arial"/>
        </w:rPr>
        <w:t>, Health and safety</w:t>
      </w:r>
    </w:p>
    <w:p w14:paraId="2816D07B"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39</w:t>
      </w:r>
      <w:r w:rsidRPr="000F6DBB">
        <w:rPr>
          <w:rFonts w:cs="Arial"/>
        </w:rPr>
        <w:t>, Environmental information</w:t>
      </w:r>
    </w:p>
    <w:p w14:paraId="0E48C14C" w14:textId="77777777" w:rsidR="00E3219F" w:rsidRPr="000F6DBB" w:rsidRDefault="00E3219F" w:rsidP="00D07879">
      <w:pPr>
        <w:numPr>
          <w:ilvl w:val="0"/>
          <w:numId w:val="40"/>
        </w:numPr>
        <w:spacing w:before="60" w:after="60" w:line="300" w:lineRule="auto"/>
        <w:ind w:right="-23"/>
        <w:rPr>
          <w:rFonts w:cs="Arial"/>
        </w:rPr>
      </w:pPr>
      <w:r w:rsidRPr="000F6DBB">
        <w:rPr>
          <w:rFonts w:cs="Arial"/>
          <w:b/>
        </w:rPr>
        <w:t>Section 42</w:t>
      </w:r>
      <w:r w:rsidRPr="000F6DBB">
        <w:rPr>
          <w:rFonts w:cs="Arial"/>
        </w:rPr>
        <w:t>, Legal professional privilege</w:t>
      </w:r>
    </w:p>
    <w:p w14:paraId="182C4672" w14:textId="77777777" w:rsidR="00E3219F" w:rsidRPr="000F2665" w:rsidRDefault="00E3219F" w:rsidP="00D07879">
      <w:pPr>
        <w:numPr>
          <w:ilvl w:val="0"/>
          <w:numId w:val="40"/>
        </w:numPr>
        <w:spacing w:before="60" w:after="60" w:line="300" w:lineRule="auto"/>
        <w:ind w:right="-23"/>
        <w:rPr>
          <w:rFonts w:cs="Arial"/>
        </w:rPr>
      </w:pPr>
      <w:r>
        <w:rPr>
          <w:rFonts w:cs="Arial"/>
          <w:b/>
        </w:rPr>
        <w:t xml:space="preserve">Section 43(1), </w:t>
      </w:r>
      <w:r>
        <w:rPr>
          <w:rFonts w:cs="Arial"/>
        </w:rPr>
        <w:t>Trade Secrets</w:t>
      </w:r>
    </w:p>
    <w:p w14:paraId="759741FA" w14:textId="56835504" w:rsidR="00E3219F" w:rsidRDefault="00E3219F" w:rsidP="00D07879">
      <w:pPr>
        <w:numPr>
          <w:ilvl w:val="0"/>
          <w:numId w:val="40"/>
        </w:numPr>
        <w:spacing w:before="60" w:after="60" w:line="300" w:lineRule="auto"/>
        <w:ind w:right="-23"/>
        <w:rPr>
          <w:rFonts w:cs="Arial"/>
        </w:rPr>
      </w:pPr>
      <w:r>
        <w:rPr>
          <w:rFonts w:cs="Arial"/>
          <w:b/>
        </w:rPr>
        <w:t>Section 43(2)</w:t>
      </w:r>
      <w:r>
        <w:rPr>
          <w:rFonts w:cs="Arial"/>
        </w:rPr>
        <w:t>, Commercial interests</w:t>
      </w:r>
    </w:p>
    <w:p w14:paraId="46CB075C" w14:textId="77777777" w:rsidR="00E3219F" w:rsidRDefault="00E3219F" w:rsidP="00D07879">
      <w:pPr>
        <w:spacing w:before="60" w:after="60" w:line="300" w:lineRule="auto"/>
        <w:ind w:right="-23"/>
        <w:rPr>
          <w:rFonts w:cs="Arial"/>
          <w:b/>
        </w:rPr>
      </w:pPr>
    </w:p>
    <w:p w14:paraId="75E631DB" w14:textId="77777777" w:rsidR="00E3219F" w:rsidRDefault="00E3219F" w:rsidP="00D07879">
      <w:pPr>
        <w:spacing w:before="60" w:after="60" w:line="300" w:lineRule="auto"/>
        <w:ind w:right="-23"/>
        <w:rPr>
          <w:rFonts w:cs="Arial"/>
        </w:rPr>
      </w:pPr>
      <w:r>
        <w:rPr>
          <w:rFonts w:cs="Arial"/>
        </w:rPr>
        <w:t xml:space="preserve">More information on the exemptions can be found on the Information Commissioners website at </w:t>
      </w:r>
      <w:hyperlink r:id="rId21" w:history="1">
        <w:r w:rsidRPr="002615AF">
          <w:rPr>
            <w:rStyle w:val="Hyperlink"/>
            <w:rFonts w:cs="Arial"/>
          </w:rPr>
          <w:t>http://www.ico.gov.uk/home/what_we_cover/freedom_of_information</w:t>
        </w:r>
      </w:hyperlink>
    </w:p>
    <w:p w14:paraId="1B138BCE" w14:textId="2068CFBC" w:rsidR="00E3219F" w:rsidRPr="00E3219F" w:rsidRDefault="00E3219F" w:rsidP="00022E82">
      <w:pPr>
        <w:pStyle w:val="Policyheader"/>
        <w:numPr>
          <w:ilvl w:val="0"/>
          <w:numId w:val="0"/>
        </w:numPr>
      </w:pPr>
      <w:r>
        <w:br w:type="page"/>
      </w:r>
      <w:bookmarkStart w:id="77" w:name="_Toc176527343"/>
      <w:r w:rsidR="00022E82">
        <w:lastRenderedPageBreak/>
        <w:t xml:space="preserve">Appendix </w:t>
      </w:r>
      <w:r w:rsidR="00ED760A">
        <w:t xml:space="preserve">B </w:t>
      </w:r>
      <w:r w:rsidR="00022E82">
        <w:t>– Complaints Procedure</w:t>
      </w:r>
      <w:bookmarkEnd w:id="77"/>
    </w:p>
    <w:p w14:paraId="57E73161" w14:textId="77777777" w:rsidR="00E3219F" w:rsidRPr="009D039D" w:rsidRDefault="00E3219F" w:rsidP="0026425C">
      <w:pPr>
        <w:autoSpaceDE w:val="0"/>
        <w:autoSpaceDN w:val="0"/>
        <w:adjustRightInd w:val="0"/>
        <w:ind w:right="-23"/>
        <w:rPr>
          <w:rFonts w:eastAsia="Times New Roman" w:cs="Arial"/>
          <w:b/>
          <w:bCs/>
          <w:color w:val="000000"/>
        </w:rPr>
      </w:pPr>
      <w:r w:rsidRPr="009D039D">
        <w:rPr>
          <w:rFonts w:eastAsia="Times New Roman" w:cs="Arial"/>
          <w:b/>
          <w:bCs/>
          <w:color w:val="000000"/>
        </w:rPr>
        <w:t>Introduction</w:t>
      </w:r>
    </w:p>
    <w:p w14:paraId="5B5E4462" w14:textId="77777777" w:rsidR="00E3219F" w:rsidRPr="009D039D" w:rsidRDefault="00E3219F" w:rsidP="0026425C">
      <w:pPr>
        <w:autoSpaceDE w:val="0"/>
        <w:autoSpaceDN w:val="0"/>
        <w:adjustRightInd w:val="0"/>
        <w:ind w:right="-23"/>
        <w:rPr>
          <w:rFonts w:eastAsia="Times New Roman" w:cs="Arial"/>
          <w:color w:val="000000"/>
        </w:rPr>
      </w:pPr>
    </w:p>
    <w:p w14:paraId="4A723DE4" w14:textId="77777777" w:rsidR="00E3219F" w:rsidRPr="009D039D" w:rsidRDefault="00E3219F" w:rsidP="0026425C">
      <w:pPr>
        <w:autoSpaceDE w:val="0"/>
        <w:autoSpaceDN w:val="0"/>
        <w:adjustRightInd w:val="0"/>
        <w:ind w:right="-23"/>
        <w:rPr>
          <w:rFonts w:eastAsia="Times New Roman" w:cs="Arial"/>
          <w:color w:val="000000"/>
        </w:rPr>
      </w:pPr>
      <w:bookmarkStart w:id="78" w:name="_Hlk114046075"/>
      <w:r w:rsidRPr="009D039D">
        <w:rPr>
          <w:rFonts w:eastAsia="Times New Roman" w:cs="Arial"/>
          <w:color w:val="000000"/>
        </w:rPr>
        <w:t>Part VI of the Section 45 Code of Practice requires public authorities subject to the Freedom of Information Act 2000 to set up specific procedures to allow an applicant, who is dissatisfied in any way with a decision taken by the organisation on the provision of information, to require internal review of decisions taken.</w:t>
      </w:r>
    </w:p>
    <w:bookmarkEnd w:id="78"/>
    <w:p w14:paraId="1BBD28F3" w14:textId="77777777" w:rsidR="00E3219F" w:rsidRPr="009D039D" w:rsidRDefault="00E3219F" w:rsidP="0026425C">
      <w:pPr>
        <w:autoSpaceDE w:val="0"/>
        <w:autoSpaceDN w:val="0"/>
        <w:adjustRightInd w:val="0"/>
        <w:ind w:right="-23"/>
        <w:rPr>
          <w:rFonts w:eastAsia="Times New Roman" w:cs="Arial"/>
          <w:color w:val="000000"/>
        </w:rPr>
      </w:pPr>
    </w:p>
    <w:p w14:paraId="0E559807" w14:textId="77777777" w:rsidR="00E3219F" w:rsidRPr="009D039D" w:rsidRDefault="00E3219F" w:rsidP="0026425C">
      <w:pPr>
        <w:autoSpaceDE w:val="0"/>
        <w:autoSpaceDN w:val="0"/>
        <w:adjustRightInd w:val="0"/>
        <w:ind w:right="-23"/>
        <w:rPr>
          <w:rFonts w:eastAsia="Times New Roman" w:cs="Arial"/>
          <w:color w:val="000000"/>
        </w:rPr>
      </w:pPr>
    </w:p>
    <w:p w14:paraId="04B5FB2B" w14:textId="76FB71EA" w:rsidR="00E3219F" w:rsidRPr="009D039D" w:rsidRDefault="00E3219F" w:rsidP="0026425C">
      <w:pPr>
        <w:autoSpaceDE w:val="0"/>
        <w:autoSpaceDN w:val="0"/>
        <w:adjustRightInd w:val="0"/>
        <w:ind w:right="-23"/>
        <w:rPr>
          <w:rFonts w:eastAsia="Times New Roman" w:cs="Arial"/>
          <w:color w:val="000000"/>
        </w:rPr>
      </w:pPr>
      <w:bookmarkStart w:id="79" w:name="_Hlk114046109"/>
      <w:r w:rsidRPr="009D039D">
        <w:rPr>
          <w:rFonts w:eastAsia="Times New Roman" w:cs="Arial"/>
          <w:color w:val="000000"/>
        </w:rPr>
        <w:t xml:space="preserve">A requirement for review can arise in a number of circumstances including (but not limited to): </w:t>
      </w:r>
    </w:p>
    <w:p w14:paraId="5471640E" w14:textId="77777777" w:rsidR="00E3219F" w:rsidRPr="009D039D" w:rsidRDefault="00E3219F" w:rsidP="0026425C">
      <w:pPr>
        <w:autoSpaceDE w:val="0"/>
        <w:autoSpaceDN w:val="0"/>
        <w:adjustRightInd w:val="0"/>
        <w:ind w:right="-23"/>
        <w:rPr>
          <w:rFonts w:eastAsia="Times New Roman" w:cs="Arial"/>
          <w:color w:val="000000"/>
        </w:rPr>
      </w:pPr>
    </w:p>
    <w:p w14:paraId="1D185936" w14:textId="77777777" w:rsidR="00E3219F" w:rsidRPr="009D039D" w:rsidRDefault="00E3219F" w:rsidP="0026425C">
      <w:pPr>
        <w:numPr>
          <w:ilvl w:val="0"/>
          <w:numId w:val="41"/>
        </w:numPr>
        <w:autoSpaceDE w:val="0"/>
        <w:autoSpaceDN w:val="0"/>
        <w:adjustRightInd w:val="0"/>
        <w:ind w:right="-23" w:hanging="720"/>
        <w:rPr>
          <w:rFonts w:eastAsia="Times New Roman" w:cs="Arial"/>
          <w:color w:val="000000"/>
        </w:rPr>
      </w:pPr>
      <w:r w:rsidRPr="009D039D">
        <w:rPr>
          <w:rFonts w:eastAsia="Times New Roman" w:cs="Arial"/>
          <w:color w:val="000000"/>
        </w:rPr>
        <w:t>where we indicate that we do not hold the information, but the applicant believes we do; or</w:t>
      </w:r>
    </w:p>
    <w:p w14:paraId="4A232437" w14:textId="77777777" w:rsidR="00E3219F" w:rsidRPr="009D039D" w:rsidRDefault="00E3219F" w:rsidP="0026425C">
      <w:pPr>
        <w:autoSpaceDE w:val="0"/>
        <w:autoSpaceDN w:val="0"/>
        <w:adjustRightInd w:val="0"/>
        <w:ind w:right="-23" w:hanging="720"/>
        <w:rPr>
          <w:rFonts w:eastAsia="Times New Roman" w:cs="Arial"/>
          <w:color w:val="000000"/>
        </w:rPr>
      </w:pPr>
    </w:p>
    <w:p w14:paraId="41312347" w14:textId="77777777" w:rsidR="00E3219F" w:rsidRPr="009D039D" w:rsidRDefault="00E3219F" w:rsidP="0026425C">
      <w:pPr>
        <w:numPr>
          <w:ilvl w:val="0"/>
          <w:numId w:val="41"/>
        </w:numPr>
        <w:autoSpaceDE w:val="0"/>
        <w:autoSpaceDN w:val="0"/>
        <w:adjustRightInd w:val="0"/>
        <w:ind w:right="-23" w:hanging="720"/>
        <w:rPr>
          <w:rFonts w:eastAsia="Times New Roman" w:cs="Arial"/>
          <w:color w:val="000000"/>
        </w:rPr>
      </w:pPr>
      <w:r w:rsidRPr="009D039D">
        <w:rPr>
          <w:rFonts w:eastAsia="Times New Roman" w:cs="Arial"/>
          <w:color w:val="000000"/>
        </w:rPr>
        <w:t>where the applicant feels that we have not provided the advice and assistance we should have done; or</w:t>
      </w:r>
    </w:p>
    <w:p w14:paraId="152337B5" w14:textId="77777777" w:rsidR="00E3219F" w:rsidRPr="009D039D" w:rsidRDefault="00E3219F" w:rsidP="0026425C">
      <w:pPr>
        <w:autoSpaceDE w:val="0"/>
        <w:autoSpaceDN w:val="0"/>
        <w:adjustRightInd w:val="0"/>
        <w:ind w:right="-23" w:hanging="720"/>
        <w:rPr>
          <w:rFonts w:eastAsia="Times New Roman" w:cs="Arial"/>
          <w:color w:val="000000"/>
        </w:rPr>
      </w:pPr>
    </w:p>
    <w:p w14:paraId="031CD73A" w14:textId="77777777" w:rsidR="00E3219F" w:rsidRPr="009D039D" w:rsidRDefault="00E3219F" w:rsidP="0026425C">
      <w:pPr>
        <w:numPr>
          <w:ilvl w:val="0"/>
          <w:numId w:val="41"/>
        </w:numPr>
        <w:autoSpaceDE w:val="0"/>
        <w:autoSpaceDN w:val="0"/>
        <w:adjustRightInd w:val="0"/>
        <w:ind w:right="-23" w:hanging="720"/>
        <w:rPr>
          <w:rFonts w:eastAsia="Times New Roman" w:cs="Arial"/>
          <w:color w:val="000000"/>
        </w:rPr>
      </w:pPr>
      <w:r w:rsidRPr="009D039D">
        <w:rPr>
          <w:rFonts w:eastAsia="Times New Roman" w:cs="Arial"/>
          <w:color w:val="000000"/>
        </w:rPr>
        <w:t>where the applicant feels that exemptions have been wrongly applied; or</w:t>
      </w:r>
    </w:p>
    <w:p w14:paraId="04796F97" w14:textId="77777777" w:rsidR="00E3219F" w:rsidRPr="009D039D" w:rsidRDefault="00E3219F" w:rsidP="0026425C">
      <w:pPr>
        <w:autoSpaceDE w:val="0"/>
        <w:autoSpaceDN w:val="0"/>
        <w:adjustRightInd w:val="0"/>
        <w:ind w:right="-23" w:hanging="720"/>
        <w:rPr>
          <w:rFonts w:eastAsia="Times New Roman" w:cs="Arial"/>
          <w:color w:val="000000"/>
        </w:rPr>
      </w:pPr>
    </w:p>
    <w:p w14:paraId="41BAAB15" w14:textId="77777777" w:rsidR="00E3219F" w:rsidRPr="009D039D" w:rsidRDefault="00E3219F" w:rsidP="0026425C">
      <w:pPr>
        <w:numPr>
          <w:ilvl w:val="0"/>
          <w:numId w:val="41"/>
        </w:numPr>
        <w:autoSpaceDE w:val="0"/>
        <w:autoSpaceDN w:val="0"/>
        <w:adjustRightInd w:val="0"/>
        <w:ind w:right="-23" w:hanging="720"/>
        <w:rPr>
          <w:rFonts w:eastAsia="Times New Roman" w:cs="Arial"/>
          <w:color w:val="000000"/>
        </w:rPr>
      </w:pPr>
      <w:r w:rsidRPr="009D039D">
        <w:rPr>
          <w:rFonts w:eastAsia="Times New Roman" w:cs="Arial"/>
          <w:color w:val="000000"/>
        </w:rPr>
        <w:t>where we have failed to supply the information requested or failed to reply within the 20 working days limit; or</w:t>
      </w:r>
    </w:p>
    <w:p w14:paraId="31420A14" w14:textId="77777777" w:rsidR="00E3219F" w:rsidRPr="009D039D" w:rsidRDefault="00E3219F" w:rsidP="0026425C">
      <w:pPr>
        <w:autoSpaceDE w:val="0"/>
        <w:autoSpaceDN w:val="0"/>
        <w:adjustRightInd w:val="0"/>
        <w:ind w:right="-23" w:hanging="720"/>
        <w:rPr>
          <w:rFonts w:eastAsia="Times New Roman" w:cs="Arial"/>
          <w:color w:val="000000"/>
        </w:rPr>
      </w:pPr>
    </w:p>
    <w:p w14:paraId="4D897A6E" w14:textId="77777777" w:rsidR="00E3219F" w:rsidRPr="009D039D" w:rsidRDefault="00E3219F" w:rsidP="0026425C">
      <w:pPr>
        <w:numPr>
          <w:ilvl w:val="0"/>
          <w:numId w:val="41"/>
        </w:numPr>
        <w:autoSpaceDE w:val="0"/>
        <w:autoSpaceDN w:val="0"/>
        <w:adjustRightInd w:val="0"/>
        <w:ind w:right="-23" w:hanging="720"/>
        <w:rPr>
          <w:rFonts w:eastAsia="Times New Roman" w:cs="Arial"/>
          <w:color w:val="000000"/>
        </w:rPr>
      </w:pPr>
      <w:r w:rsidRPr="009D039D">
        <w:rPr>
          <w:rFonts w:eastAsia="Times New Roman" w:cs="Arial"/>
          <w:color w:val="000000"/>
        </w:rPr>
        <w:t>where the applicant feels the charge for providing the information is higher than it should be.</w:t>
      </w:r>
    </w:p>
    <w:p w14:paraId="2E2AADA5" w14:textId="77777777" w:rsidR="00E3219F" w:rsidRPr="009D039D" w:rsidRDefault="00E3219F" w:rsidP="0026425C">
      <w:pPr>
        <w:autoSpaceDE w:val="0"/>
        <w:autoSpaceDN w:val="0"/>
        <w:adjustRightInd w:val="0"/>
        <w:ind w:right="-23"/>
        <w:rPr>
          <w:rFonts w:eastAsia="Times New Roman" w:cs="Arial"/>
          <w:color w:val="000000"/>
        </w:rPr>
      </w:pPr>
    </w:p>
    <w:p w14:paraId="36546B0F" w14:textId="52F6CDD1" w:rsidR="00E3219F" w:rsidRPr="009D039D" w:rsidRDefault="00E3219F" w:rsidP="0026425C">
      <w:pPr>
        <w:autoSpaceDE w:val="0"/>
        <w:autoSpaceDN w:val="0"/>
        <w:adjustRightInd w:val="0"/>
        <w:ind w:right="-23"/>
        <w:rPr>
          <w:rFonts w:eastAsia="Times New Roman" w:cs="Arial"/>
          <w:color w:val="000000"/>
        </w:rPr>
      </w:pPr>
      <w:r w:rsidRPr="009D039D">
        <w:rPr>
          <w:rFonts w:eastAsia="Times New Roman" w:cs="Arial"/>
          <w:color w:val="000000"/>
        </w:rPr>
        <w:t xml:space="preserve">If the applicant is dissatisfied in any way </w:t>
      </w:r>
      <w:r w:rsidR="0069078E">
        <w:rPr>
          <w:rFonts w:eastAsia="Times New Roman" w:cs="Arial"/>
          <w:color w:val="000000"/>
        </w:rPr>
        <w:t>they</w:t>
      </w:r>
      <w:r w:rsidR="005F0F2B">
        <w:rPr>
          <w:rFonts w:eastAsia="Times New Roman" w:cs="Arial"/>
          <w:color w:val="000000"/>
        </w:rPr>
        <w:t xml:space="preserve"> </w:t>
      </w:r>
      <w:r w:rsidRPr="009D039D">
        <w:rPr>
          <w:rFonts w:eastAsia="Times New Roman" w:cs="Arial"/>
          <w:color w:val="000000"/>
        </w:rPr>
        <w:t xml:space="preserve">can </w:t>
      </w:r>
      <w:r w:rsidR="005F0F2B">
        <w:rPr>
          <w:rFonts w:eastAsia="Times New Roman" w:cs="Arial"/>
          <w:color w:val="000000"/>
        </w:rPr>
        <w:t xml:space="preserve">ask </w:t>
      </w:r>
      <w:r w:rsidRPr="009D039D">
        <w:rPr>
          <w:rFonts w:eastAsia="Times New Roman" w:cs="Arial"/>
          <w:color w:val="000000"/>
        </w:rPr>
        <w:t>the Trust to review the way the request was handled or the decision</w:t>
      </w:r>
      <w:r w:rsidR="005F0F2B">
        <w:rPr>
          <w:rFonts w:eastAsia="Times New Roman" w:cs="Arial"/>
          <w:color w:val="000000"/>
        </w:rPr>
        <w:t xml:space="preserve"> that was</w:t>
      </w:r>
      <w:r w:rsidRPr="009D039D">
        <w:rPr>
          <w:rFonts w:eastAsia="Times New Roman" w:cs="Arial"/>
          <w:color w:val="000000"/>
        </w:rPr>
        <w:t xml:space="preserve"> reached.</w:t>
      </w:r>
    </w:p>
    <w:p w14:paraId="5F9BE94D" w14:textId="77777777" w:rsidR="00E3219F" w:rsidRPr="009D039D" w:rsidRDefault="00E3219F" w:rsidP="0026425C">
      <w:pPr>
        <w:autoSpaceDE w:val="0"/>
        <w:autoSpaceDN w:val="0"/>
        <w:adjustRightInd w:val="0"/>
        <w:ind w:right="-23"/>
        <w:rPr>
          <w:rFonts w:eastAsia="Times New Roman" w:cs="Arial"/>
          <w:color w:val="000000"/>
        </w:rPr>
      </w:pPr>
    </w:p>
    <w:bookmarkEnd w:id="79"/>
    <w:p w14:paraId="7B521A6B" w14:textId="77777777" w:rsidR="00E3219F" w:rsidRPr="009D039D" w:rsidRDefault="00E3219F" w:rsidP="00022E82">
      <w:pPr>
        <w:rPr>
          <w:rFonts w:eastAsia="Times New Roman" w:cs="Arial"/>
          <w:b/>
          <w:bCs/>
          <w:color w:val="000000"/>
        </w:rPr>
      </w:pPr>
      <w:r w:rsidRPr="009D039D">
        <w:rPr>
          <w:rFonts w:eastAsia="Times New Roman" w:cs="Arial"/>
          <w:b/>
          <w:bCs/>
          <w:color w:val="000000"/>
        </w:rPr>
        <w:t>Submission of Requirement for Review</w:t>
      </w:r>
    </w:p>
    <w:p w14:paraId="17CC66D8" w14:textId="77777777" w:rsidR="00E3219F" w:rsidRPr="009D039D" w:rsidRDefault="00E3219F" w:rsidP="0026425C">
      <w:pPr>
        <w:ind w:right="-23"/>
        <w:rPr>
          <w:rFonts w:eastAsia="Times New Roman" w:cs="Arial"/>
          <w:color w:val="000000"/>
        </w:rPr>
      </w:pPr>
    </w:p>
    <w:p w14:paraId="17923C92" w14:textId="10350CB0" w:rsidR="00E3219F" w:rsidRPr="009D039D" w:rsidRDefault="00E3219F" w:rsidP="0026425C">
      <w:pPr>
        <w:ind w:right="-23"/>
        <w:rPr>
          <w:rFonts w:eastAsia="Times New Roman" w:cs="Arial"/>
          <w:color w:val="000000"/>
        </w:rPr>
      </w:pPr>
      <w:r w:rsidRPr="009D039D">
        <w:rPr>
          <w:rFonts w:eastAsia="Times New Roman" w:cs="Arial"/>
          <w:color w:val="000000"/>
        </w:rPr>
        <w:t>.  This procedure applies to:</w:t>
      </w:r>
    </w:p>
    <w:p w14:paraId="602A672F" w14:textId="1B808164" w:rsidR="00E3219F" w:rsidRPr="009D039D" w:rsidRDefault="00E3219F" w:rsidP="0026425C">
      <w:pPr>
        <w:ind w:right="-23"/>
        <w:rPr>
          <w:rFonts w:eastAsia="Times New Roman" w:cs="Arial"/>
          <w:color w:val="000000"/>
        </w:rPr>
      </w:pPr>
    </w:p>
    <w:p w14:paraId="55C54E1D" w14:textId="2BF09BA4" w:rsidR="00E3219F" w:rsidRPr="009D039D" w:rsidRDefault="00E3219F" w:rsidP="0026425C">
      <w:pPr>
        <w:ind w:left="720" w:right="-23" w:hanging="720"/>
        <w:rPr>
          <w:rFonts w:eastAsia="Times New Roman" w:cs="Arial"/>
          <w:color w:val="000000"/>
        </w:rPr>
      </w:pPr>
      <w:r w:rsidRPr="009D039D">
        <w:rPr>
          <w:rFonts w:eastAsia="Times New Roman" w:cs="Arial"/>
          <w:color w:val="000000"/>
        </w:rPr>
        <w:t>(a)</w:t>
      </w:r>
      <w:r w:rsidRPr="009D039D">
        <w:rPr>
          <w:rFonts w:eastAsia="Times New Roman" w:cs="Arial"/>
          <w:color w:val="000000"/>
        </w:rPr>
        <w:tab/>
        <w:t>any written reply from an applicant expressing dissatisfaction with the Trust’s response to a request for information; and/or</w:t>
      </w:r>
    </w:p>
    <w:p w14:paraId="0D5298C9" w14:textId="488FB2E7" w:rsidR="00E3219F" w:rsidRPr="009D039D" w:rsidRDefault="00E3219F" w:rsidP="0026425C">
      <w:pPr>
        <w:ind w:left="720" w:right="-23" w:hanging="720"/>
        <w:rPr>
          <w:rFonts w:eastAsia="Times New Roman" w:cs="Arial"/>
          <w:color w:val="000000"/>
        </w:rPr>
      </w:pPr>
    </w:p>
    <w:p w14:paraId="302D164E" w14:textId="26364E78" w:rsidR="00E3219F" w:rsidRPr="009D039D" w:rsidRDefault="00E3219F" w:rsidP="0026425C">
      <w:pPr>
        <w:ind w:left="720" w:right="-23" w:hanging="720"/>
        <w:rPr>
          <w:rFonts w:eastAsia="Times New Roman" w:cs="Arial"/>
          <w:color w:val="000000"/>
        </w:rPr>
      </w:pPr>
      <w:r w:rsidRPr="009D039D">
        <w:rPr>
          <w:rFonts w:eastAsia="Times New Roman" w:cs="Arial"/>
          <w:color w:val="000000"/>
        </w:rPr>
        <w:t>(b)</w:t>
      </w:r>
      <w:r w:rsidRPr="009D039D">
        <w:rPr>
          <w:rFonts w:eastAsia="Times New Roman" w:cs="Arial"/>
          <w:color w:val="000000"/>
        </w:rPr>
        <w:tab/>
        <w:t>any written communication from a person who considers that the Trust is not complying with its publication scheme.</w:t>
      </w:r>
      <w:r w:rsidR="006F7C0C" w:rsidRPr="009D039D">
        <w:rPr>
          <w:rFonts w:eastAsia="Times New Roman" w:cs="Arial"/>
          <w:color w:val="000000"/>
        </w:rPr>
        <w:t xml:space="preserve"> </w:t>
      </w:r>
    </w:p>
    <w:p w14:paraId="4CBD81E1" w14:textId="77777777" w:rsidR="00E3219F" w:rsidRDefault="00E3219F" w:rsidP="0026425C">
      <w:pPr>
        <w:ind w:right="-23"/>
        <w:rPr>
          <w:rFonts w:eastAsia="Times New Roman" w:cs="Arial"/>
          <w:color w:val="000000"/>
        </w:rPr>
      </w:pPr>
      <w:r w:rsidRPr="009D039D">
        <w:rPr>
          <w:rFonts w:eastAsia="Times New Roman" w:cs="Arial"/>
          <w:color w:val="000000"/>
        </w:rPr>
        <w:t>Requests must be made in writing (email or other electronic means) and include a return address for the Trust to send their response.  A brief statement explaining why the applicant feels aggrieved at the decision taken by the Trust should accompany any request for review.</w:t>
      </w:r>
    </w:p>
    <w:p w14:paraId="1D2C82E3" w14:textId="77777777" w:rsidR="00E3219F" w:rsidRDefault="00E3219F" w:rsidP="0026425C">
      <w:pPr>
        <w:ind w:right="-23"/>
        <w:rPr>
          <w:rFonts w:eastAsia="Times New Roman" w:cs="Arial"/>
          <w:color w:val="000000"/>
        </w:rPr>
      </w:pPr>
    </w:p>
    <w:p w14:paraId="4FA5F264" w14:textId="76276F83" w:rsidR="006F7C0C" w:rsidRDefault="00E3219F" w:rsidP="006F7C0C">
      <w:pPr>
        <w:ind w:right="-23"/>
      </w:pPr>
      <w:r w:rsidRPr="009D039D">
        <w:rPr>
          <w:rFonts w:eastAsia="Times New Roman" w:cs="Arial"/>
          <w:color w:val="000000"/>
        </w:rPr>
        <w:t>Requests for internal review must be addressed to:</w:t>
      </w:r>
      <w:r w:rsidR="006F7C0C">
        <w:t xml:space="preserve"> </w:t>
      </w:r>
    </w:p>
    <w:p w14:paraId="684CF9B5" w14:textId="340476BE" w:rsidR="00E3219F" w:rsidRPr="009D039D" w:rsidRDefault="001E3590" w:rsidP="006F7C0C">
      <w:pPr>
        <w:ind w:right="-23"/>
        <w:rPr>
          <w:rFonts w:eastAsia="Times New Roman" w:cs="Arial"/>
          <w:color w:val="000000"/>
        </w:rPr>
      </w:pPr>
      <w:r>
        <w:t xml:space="preserve">Director of Corporate </w:t>
      </w:r>
      <w:proofErr w:type="spellStart"/>
      <w:r>
        <w:t>Governance</w:t>
      </w:r>
      <w:r w:rsidR="00E3219F" w:rsidRPr="009D039D">
        <w:rPr>
          <w:rFonts w:eastAsia="Times New Roman" w:cs="Arial"/>
          <w:color w:val="000000"/>
        </w:rPr>
        <w:t>East</w:t>
      </w:r>
      <w:proofErr w:type="spellEnd"/>
      <w:r w:rsidR="00E3219F" w:rsidRPr="009D039D">
        <w:rPr>
          <w:rFonts w:eastAsia="Times New Roman" w:cs="Arial"/>
          <w:color w:val="000000"/>
        </w:rPr>
        <w:t xml:space="preserve"> Kent Hospitals NHS </w:t>
      </w:r>
      <w:proofErr w:type="spellStart"/>
      <w:r w:rsidR="00E3219F" w:rsidRPr="009D039D">
        <w:rPr>
          <w:rFonts w:eastAsia="Times New Roman" w:cs="Arial"/>
          <w:color w:val="000000"/>
        </w:rPr>
        <w:t>TrustKent</w:t>
      </w:r>
      <w:proofErr w:type="spellEnd"/>
      <w:r w:rsidR="00E3219F" w:rsidRPr="009D039D">
        <w:rPr>
          <w:rFonts w:eastAsia="Times New Roman" w:cs="Arial"/>
          <w:color w:val="000000"/>
        </w:rPr>
        <w:t xml:space="preserve"> and Canterbury </w:t>
      </w:r>
      <w:proofErr w:type="spellStart"/>
      <w:r w:rsidR="00E3219F" w:rsidRPr="009D039D">
        <w:rPr>
          <w:rFonts w:eastAsia="Times New Roman" w:cs="Arial"/>
          <w:color w:val="000000"/>
        </w:rPr>
        <w:t>HospitalEthelbert</w:t>
      </w:r>
      <w:proofErr w:type="spellEnd"/>
      <w:r w:rsidR="00E3219F" w:rsidRPr="009D039D">
        <w:rPr>
          <w:rFonts w:eastAsia="Times New Roman" w:cs="Arial"/>
          <w:color w:val="000000"/>
        </w:rPr>
        <w:t xml:space="preserve"> Road, Canterbury, CT1 3NGE-mail:  </w:t>
      </w:r>
      <w:hyperlink r:id="rId22" w:history="1">
        <w:r w:rsidR="00E3219F" w:rsidRPr="009D039D">
          <w:rPr>
            <w:rFonts w:eastAsia="Times New Roman" w:cs="Arial"/>
            <w:color w:val="0000FF"/>
            <w:u w:val="single"/>
          </w:rPr>
          <w:t>ekh-tr.foi@nhs.net</w:t>
        </w:r>
      </w:hyperlink>
    </w:p>
    <w:p w14:paraId="6C1472B6" w14:textId="77777777" w:rsidR="00E3219F" w:rsidRPr="009D039D" w:rsidRDefault="00E3219F" w:rsidP="0026425C">
      <w:pPr>
        <w:ind w:right="-23"/>
        <w:rPr>
          <w:rFonts w:eastAsia="Times New Roman" w:cs="Arial"/>
          <w:color w:val="000000"/>
        </w:rPr>
      </w:pPr>
    </w:p>
    <w:p w14:paraId="740E5A47" w14:textId="44ED8322" w:rsidR="00E3219F" w:rsidRPr="009D039D" w:rsidRDefault="00E3219F" w:rsidP="0026425C">
      <w:pPr>
        <w:ind w:right="-23"/>
        <w:rPr>
          <w:rFonts w:eastAsia="Times New Roman" w:cs="Arial"/>
          <w:color w:val="000000"/>
        </w:rPr>
      </w:pPr>
      <w:r w:rsidRPr="009D039D">
        <w:rPr>
          <w:rFonts w:eastAsia="Times New Roman" w:cs="Arial"/>
          <w:color w:val="000000"/>
        </w:rPr>
        <w:t xml:space="preserve">The </w:t>
      </w:r>
      <w:r w:rsidR="001E3590">
        <w:t>Director of Corporate Governance</w:t>
      </w:r>
      <w:r w:rsidR="001E3590" w:rsidRPr="00260363">
        <w:t xml:space="preserve"> </w:t>
      </w:r>
      <w:r w:rsidRPr="009D039D">
        <w:rPr>
          <w:rFonts w:eastAsia="Times New Roman" w:cs="Arial"/>
          <w:color w:val="000000"/>
        </w:rPr>
        <w:t>will receive the request for review and take the necessary action.</w:t>
      </w:r>
      <w:r w:rsidR="006F7C0C" w:rsidRPr="009D039D">
        <w:rPr>
          <w:rFonts w:eastAsia="Times New Roman" w:cs="Arial"/>
          <w:color w:val="000000"/>
        </w:rPr>
        <w:t xml:space="preserve"> </w:t>
      </w:r>
    </w:p>
    <w:p w14:paraId="65AA3F97" w14:textId="77777777" w:rsidR="00E3219F" w:rsidRPr="009D039D" w:rsidRDefault="00E3219F" w:rsidP="00022E82">
      <w:pPr>
        <w:rPr>
          <w:rFonts w:eastAsia="Times New Roman" w:cs="Arial"/>
          <w:b/>
          <w:bCs/>
          <w:color w:val="000000"/>
        </w:rPr>
      </w:pPr>
      <w:r w:rsidRPr="009D039D">
        <w:rPr>
          <w:rFonts w:eastAsia="Times New Roman" w:cs="Arial"/>
          <w:b/>
          <w:bCs/>
          <w:color w:val="000000"/>
        </w:rPr>
        <w:t>Review Procedure</w:t>
      </w:r>
    </w:p>
    <w:p w14:paraId="4F566FFA" w14:textId="77777777" w:rsidR="00E3219F" w:rsidRPr="009D039D" w:rsidRDefault="00E3219F" w:rsidP="0026425C">
      <w:pPr>
        <w:ind w:right="-23"/>
        <w:rPr>
          <w:rFonts w:ascii="Times New Roman" w:eastAsia="Times New Roman" w:hAnsi="Times New Roman"/>
          <w:color w:val="000000"/>
        </w:rPr>
      </w:pPr>
    </w:p>
    <w:p w14:paraId="60BB74F4" w14:textId="50E8A0C3" w:rsidR="00E3219F" w:rsidRPr="009D039D" w:rsidRDefault="00E3219F" w:rsidP="0026425C">
      <w:pPr>
        <w:ind w:right="-23"/>
        <w:rPr>
          <w:rFonts w:eastAsia="Times New Roman" w:cs="Arial"/>
          <w:color w:val="000000"/>
        </w:rPr>
      </w:pPr>
      <w:r w:rsidRPr="009D039D">
        <w:rPr>
          <w:rFonts w:eastAsia="Times New Roman" w:cs="Arial"/>
          <w:color w:val="000000"/>
        </w:rPr>
        <w:t xml:space="preserve">The Information Commissioner’s view is that a reasonable time for completing an internal review is </w:t>
      </w:r>
      <w:r w:rsidRPr="009D039D">
        <w:rPr>
          <w:rFonts w:eastAsia="Times New Roman" w:cs="Arial"/>
          <w:b/>
          <w:color w:val="000000"/>
        </w:rPr>
        <w:t>20 working days</w:t>
      </w:r>
      <w:r w:rsidRPr="009D039D">
        <w:rPr>
          <w:rFonts w:eastAsia="Times New Roman" w:cs="Arial"/>
          <w:color w:val="000000"/>
        </w:rPr>
        <w:t xml:space="preserve"> from the date of the request for review and only exceptional cases should take longer.  The Information Commissioner considers that no case should take longer than 40 working days.</w:t>
      </w:r>
      <w:r w:rsidR="006F7C0C" w:rsidRPr="009D039D">
        <w:rPr>
          <w:rFonts w:eastAsia="Times New Roman" w:cs="Arial"/>
          <w:color w:val="000000"/>
        </w:rPr>
        <w:t xml:space="preserve"> </w:t>
      </w:r>
    </w:p>
    <w:p w14:paraId="1282918E" w14:textId="77777777" w:rsidR="00E3219F" w:rsidRPr="009D039D" w:rsidRDefault="00E3219F" w:rsidP="0026425C">
      <w:pPr>
        <w:ind w:right="-23"/>
        <w:rPr>
          <w:rFonts w:eastAsia="Times New Roman" w:cs="Arial"/>
          <w:color w:val="000000"/>
        </w:rPr>
      </w:pPr>
      <w:r w:rsidRPr="009D039D">
        <w:rPr>
          <w:rFonts w:eastAsia="Times New Roman" w:cs="Arial"/>
          <w:color w:val="000000"/>
        </w:rPr>
        <w:t>The review procedure is to be accessible, prompt, fair and impartial.  It may result in a different decision to that originally taken being made and will be binding on the organisation.</w:t>
      </w:r>
    </w:p>
    <w:p w14:paraId="3616B10E" w14:textId="77777777" w:rsidR="00E3219F" w:rsidRPr="009D039D" w:rsidRDefault="00E3219F" w:rsidP="0026425C">
      <w:pPr>
        <w:ind w:right="-23"/>
        <w:rPr>
          <w:rFonts w:eastAsia="Times New Roman" w:cs="Arial"/>
          <w:color w:val="000000"/>
        </w:rPr>
      </w:pPr>
    </w:p>
    <w:p w14:paraId="1F932FF8" w14:textId="77777777" w:rsidR="00E3219F" w:rsidRPr="009D039D" w:rsidRDefault="00E3219F" w:rsidP="0026425C">
      <w:pPr>
        <w:ind w:right="-23"/>
        <w:rPr>
          <w:rFonts w:eastAsia="Times New Roman" w:cs="Arial"/>
          <w:color w:val="000000"/>
        </w:rPr>
      </w:pPr>
      <w:r w:rsidRPr="009D039D">
        <w:rPr>
          <w:rFonts w:eastAsia="Times New Roman" w:cs="Arial"/>
          <w:color w:val="000000"/>
        </w:rPr>
        <w:t>The Trust will therefore adopt the following procedure for dealing with requests for an internal review:</w:t>
      </w:r>
    </w:p>
    <w:p w14:paraId="6CA3F450" w14:textId="307CB30F" w:rsidR="00E3219F" w:rsidRPr="009D039D" w:rsidRDefault="00E3219F" w:rsidP="0026425C">
      <w:pPr>
        <w:ind w:right="-23"/>
        <w:rPr>
          <w:rFonts w:eastAsia="Times New Roman" w:cs="Arial"/>
          <w:b/>
          <w:bCs/>
          <w:color w:val="000000"/>
        </w:rPr>
      </w:pPr>
    </w:p>
    <w:p w14:paraId="68E09C3E" w14:textId="61DD8854" w:rsidR="00E3219F" w:rsidRPr="009D039D" w:rsidRDefault="00E3219F" w:rsidP="00A067CE">
      <w:pPr>
        <w:numPr>
          <w:ilvl w:val="0"/>
          <w:numId w:val="42"/>
        </w:numPr>
        <w:tabs>
          <w:tab w:val="clear" w:pos="1080"/>
          <w:tab w:val="num" w:pos="0"/>
          <w:tab w:val="num" w:pos="709"/>
        </w:tabs>
        <w:spacing w:before="120"/>
        <w:ind w:left="567" w:right="-23" w:hanging="567"/>
        <w:rPr>
          <w:rFonts w:eastAsia="Times New Roman" w:cs="Arial"/>
          <w:color w:val="000000"/>
        </w:rPr>
      </w:pPr>
      <w:r>
        <w:rPr>
          <w:rFonts w:eastAsia="Times New Roman" w:cs="Arial"/>
          <w:color w:val="000000"/>
        </w:rPr>
        <w:t>The FOI</w:t>
      </w:r>
      <w:r w:rsidR="001E3590">
        <w:rPr>
          <w:rFonts w:eastAsia="Times New Roman" w:cs="Arial"/>
          <w:color w:val="000000"/>
        </w:rPr>
        <w:t xml:space="preserve"> &amp;</w:t>
      </w:r>
      <w:r w:rsidR="00E6405E">
        <w:rPr>
          <w:rFonts w:eastAsia="Times New Roman" w:cs="Arial"/>
          <w:color w:val="000000"/>
        </w:rPr>
        <w:t xml:space="preserve"> Policy </w:t>
      </w:r>
      <w:r>
        <w:rPr>
          <w:rFonts w:eastAsia="Times New Roman" w:cs="Arial"/>
          <w:color w:val="000000"/>
        </w:rPr>
        <w:t>Administrator</w:t>
      </w:r>
      <w:r w:rsidRPr="009D039D">
        <w:rPr>
          <w:rFonts w:eastAsia="Times New Roman" w:cs="Arial"/>
          <w:color w:val="000000"/>
        </w:rPr>
        <w:t xml:space="preserve"> will:</w:t>
      </w:r>
    </w:p>
    <w:p w14:paraId="0F01F57E" w14:textId="44ADD6CC" w:rsidR="00E3219F" w:rsidRPr="009D039D" w:rsidRDefault="000D4731" w:rsidP="00A067CE">
      <w:pPr>
        <w:numPr>
          <w:ilvl w:val="1"/>
          <w:numId w:val="42"/>
        </w:numPr>
        <w:tabs>
          <w:tab w:val="num" w:pos="1080"/>
        </w:tabs>
        <w:spacing w:before="120"/>
        <w:ind w:left="1080" w:right="-23"/>
        <w:rPr>
          <w:rFonts w:eastAsia="Times New Roman" w:cs="Arial"/>
          <w:color w:val="000000"/>
        </w:rPr>
      </w:pPr>
      <w:r w:rsidRPr="000D4731">
        <w:rPr>
          <w:rFonts w:eastAsia="Times New Roman" w:cs="Arial"/>
          <w:color w:val="000000"/>
        </w:rPr>
        <w:t>A</w:t>
      </w:r>
      <w:r w:rsidR="00E3219F" w:rsidRPr="000D4731">
        <w:rPr>
          <w:rFonts w:eastAsia="Times New Roman" w:cs="Arial"/>
          <w:color w:val="000000"/>
        </w:rPr>
        <w:t xml:space="preserve">cknowledge its receipt within 3 working days and state that it is Trust policy to respond to internal reviews within </w:t>
      </w:r>
      <w:r w:rsidR="00E3219F" w:rsidRPr="000D4731">
        <w:rPr>
          <w:rFonts w:eastAsia="Times New Roman" w:cs="Arial"/>
          <w:b/>
          <w:color w:val="000000"/>
        </w:rPr>
        <w:t>20 working days</w:t>
      </w:r>
      <w:r w:rsidR="00E3219F" w:rsidRPr="000D4731">
        <w:rPr>
          <w:rFonts w:eastAsia="Times New Roman" w:cs="Arial"/>
          <w:color w:val="000000"/>
        </w:rPr>
        <w:t xml:space="preserve">. </w:t>
      </w:r>
      <w:r w:rsidRPr="000D4731">
        <w:rPr>
          <w:rFonts w:eastAsia="Times New Roman" w:cs="Arial"/>
          <w:color w:val="000000"/>
        </w:rPr>
        <w:t>[</w:t>
      </w:r>
      <w:r w:rsidR="00E3219F" w:rsidRPr="009D039D">
        <w:rPr>
          <w:rFonts w:eastAsia="Times New Roman" w:cs="Arial"/>
          <w:color w:val="000000"/>
        </w:rPr>
        <w:t>If it becomes clear at any stage of the internal review that the Trust will not be able to meet the deadline,</w:t>
      </w:r>
      <w:r w:rsidR="005F0F2B">
        <w:rPr>
          <w:rFonts w:eastAsia="Times New Roman" w:cs="Arial"/>
          <w:color w:val="000000"/>
        </w:rPr>
        <w:t xml:space="preserve"> as above,</w:t>
      </w:r>
      <w:r w:rsidR="00E3219F" w:rsidRPr="009D039D">
        <w:rPr>
          <w:rFonts w:eastAsia="Times New Roman" w:cs="Arial"/>
          <w:color w:val="000000"/>
        </w:rPr>
        <w:t xml:space="preserve"> the applicant will be advised accordingly.</w:t>
      </w:r>
      <w:r>
        <w:rPr>
          <w:rFonts w:eastAsia="Times New Roman" w:cs="Arial"/>
          <w:color w:val="000000"/>
        </w:rPr>
        <w:t>]</w:t>
      </w:r>
      <w:r w:rsidR="00E3219F" w:rsidRPr="009D039D">
        <w:rPr>
          <w:rFonts w:eastAsia="Times New Roman" w:cs="Arial"/>
          <w:color w:val="000000"/>
        </w:rPr>
        <w:t xml:space="preserve"> </w:t>
      </w:r>
    </w:p>
    <w:p w14:paraId="33C8B051" w14:textId="6482F6AE" w:rsidR="00E3219F" w:rsidRPr="000D4731" w:rsidRDefault="00F32655" w:rsidP="00A067CE">
      <w:pPr>
        <w:numPr>
          <w:ilvl w:val="1"/>
          <w:numId w:val="42"/>
        </w:numPr>
        <w:tabs>
          <w:tab w:val="num" w:pos="1080"/>
        </w:tabs>
        <w:spacing w:before="120"/>
        <w:ind w:left="1080" w:right="-23"/>
        <w:rPr>
          <w:rFonts w:eastAsia="Times New Roman" w:cs="Arial"/>
          <w:color w:val="000000"/>
        </w:rPr>
      </w:pPr>
      <w:r w:rsidRPr="000D4731">
        <w:rPr>
          <w:rFonts w:eastAsia="Times New Roman" w:cs="Arial"/>
          <w:color w:val="000000"/>
        </w:rPr>
        <w:t xml:space="preserve">Send </w:t>
      </w:r>
      <w:r w:rsidR="00E3219F" w:rsidRPr="000D4731">
        <w:rPr>
          <w:rFonts w:eastAsia="Times New Roman" w:cs="Arial"/>
          <w:color w:val="000000"/>
        </w:rPr>
        <w:t>the request, together with</w:t>
      </w:r>
      <w:r w:rsidR="000D4731">
        <w:rPr>
          <w:rFonts w:eastAsia="Times New Roman" w:cs="Arial"/>
          <w:color w:val="000000"/>
        </w:rPr>
        <w:t xml:space="preserve"> </w:t>
      </w:r>
      <w:r w:rsidR="00E3219F" w:rsidRPr="000D4731">
        <w:rPr>
          <w:rFonts w:eastAsia="Times New Roman" w:cs="Arial"/>
          <w:color w:val="000000"/>
        </w:rPr>
        <w:t xml:space="preserve">any comments on the original decision to the </w:t>
      </w:r>
      <w:r w:rsidR="00E3219F" w:rsidRPr="000D4731">
        <w:rPr>
          <w:rFonts w:eastAsia="Times New Roman" w:cs="Arial"/>
          <w:b/>
          <w:color w:val="000000"/>
        </w:rPr>
        <w:t>provider of the original information and Executive Director</w:t>
      </w:r>
      <w:r w:rsidR="00E3219F" w:rsidRPr="000D4731">
        <w:rPr>
          <w:rFonts w:eastAsia="Times New Roman" w:cs="Arial"/>
          <w:color w:val="000000"/>
        </w:rPr>
        <w:t xml:space="preserve"> who has overall responsibility for the information provided.  </w:t>
      </w:r>
    </w:p>
    <w:p w14:paraId="48E63E84" w14:textId="6A393180" w:rsidR="00E77072" w:rsidRDefault="00E3219F" w:rsidP="000D4731">
      <w:pPr>
        <w:numPr>
          <w:ilvl w:val="0"/>
          <w:numId w:val="42"/>
        </w:numPr>
        <w:tabs>
          <w:tab w:val="num" w:pos="720"/>
        </w:tabs>
        <w:spacing w:before="120"/>
        <w:ind w:left="720" w:right="-23"/>
        <w:rPr>
          <w:rFonts w:eastAsia="Times New Roman" w:cs="Arial"/>
          <w:color w:val="000000"/>
        </w:rPr>
      </w:pPr>
      <w:r w:rsidRPr="009D039D">
        <w:rPr>
          <w:rFonts w:eastAsia="Times New Roman" w:cs="Arial"/>
          <w:color w:val="000000"/>
        </w:rPr>
        <w:t xml:space="preserve">The </w:t>
      </w:r>
      <w:r w:rsidRPr="009D039D">
        <w:rPr>
          <w:rFonts w:eastAsia="Times New Roman" w:cs="Arial"/>
          <w:b/>
          <w:color w:val="000000"/>
        </w:rPr>
        <w:t xml:space="preserve">provider of the original information and </w:t>
      </w:r>
      <w:r w:rsidRPr="009D039D">
        <w:rPr>
          <w:rFonts w:eastAsia="Times New Roman" w:cs="Arial"/>
          <w:b/>
          <w:bCs/>
          <w:color w:val="000000"/>
        </w:rPr>
        <w:t xml:space="preserve">Executive Director </w:t>
      </w:r>
      <w:r w:rsidRPr="009D039D">
        <w:rPr>
          <w:rFonts w:eastAsia="Times New Roman" w:cs="Arial"/>
          <w:color w:val="000000"/>
        </w:rPr>
        <w:t xml:space="preserve">shall be asked to review the documentation received and (in consultation with such persons as </w:t>
      </w:r>
      <w:r w:rsidR="005F0F2B">
        <w:rPr>
          <w:rFonts w:eastAsia="Times New Roman" w:cs="Arial"/>
          <w:color w:val="000000"/>
        </w:rPr>
        <w:t xml:space="preserve">they </w:t>
      </w:r>
      <w:r w:rsidRPr="009D039D">
        <w:rPr>
          <w:rFonts w:eastAsia="Times New Roman" w:cs="Arial"/>
          <w:color w:val="000000"/>
        </w:rPr>
        <w:t>feel appropriate) consider the request for review</w:t>
      </w:r>
      <w:r w:rsidR="00DC52BE">
        <w:rPr>
          <w:rFonts w:eastAsia="Times New Roman" w:cs="Arial"/>
          <w:color w:val="000000"/>
        </w:rPr>
        <w:t>.</w:t>
      </w:r>
      <w:r w:rsidRPr="009D039D">
        <w:rPr>
          <w:rFonts w:eastAsia="Times New Roman" w:cs="Arial"/>
          <w:color w:val="000000"/>
        </w:rPr>
        <w:t xml:space="preserve"> </w:t>
      </w:r>
    </w:p>
    <w:p w14:paraId="4A21680C" w14:textId="70D445ED" w:rsidR="00E3219F" w:rsidRPr="009D039D" w:rsidRDefault="00E77072" w:rsidP="000D4731">
      <w:pPr>
        <w:numPr>
          <w:ilvl w:val="0"/>
          <w:numId w:val="42"/>
        </w:numPr>
        <w:tabs>
          <w:tab w:val="num" w:pos="720"/>
        </w:tabs>
        <w:spacing w:before="120"/>
        <w:ind w:left="720" w:right="-23"/>
        <w:rPr>
          <w:rFonts w:eastAsia="Times New Roman" w:cs="Arial"/>
          <w:color w:val="000000"/>
        </w:rPr>
      </w:pPr>
      <w:r>
        <w:rPr>
          <w:rFonts w:eastAsia="Times New Roman" w:cs="Arial"/>
          <w:color w:val="000000"/>
        </w:rPr>
        <w:t xml:space="preserve">This information shall then be presented to the </w:t>
      </w:r>
      <w:r w:rsidR="001E3590">
        <w:t>Director of Corporate Governance</w:t>
      </w:r>
      <w:r w:rsidR="001E3590" w:rsidRPr="00260363">
        <w:t xml:space="preserve"> </w:t>
      </w:r>
      <w:r>
        <w:rPr>
          <w:rFonts w:eastAsia="Times New Roman" w:cs="Arial"/>
          <w:color w:val="000000"/>
        </w:rPr>
        <w:t xml:space="preserve">or their independent nominated Executive Director to review </w:t>
      </w:r>
      <w:r w:rsidR="00E3219F" w:rsidRPr="009D039D">
        <w:rPr>
          <w:rFonts w:eastAsia="Times New Roman" w:cs="Arial"/>
          <w:color w:val="000000"/>
        </w:rPr>
        <w:t xml:space="preserve">and reach a decision on that request within the timeframe advised by the </w:t>
      </w:r>
      <w:r w:rsidR="00E3219F">
        <w:rPr>
          <w:rFonts w:eastAsia="Times New Roman" w:cs="Arial"/>
          <w:color w:val="000000"/>
        </w:rPr>
        <w:t>FOI</w:t>
      </w:r>
      <w:r w:rsidR="001E3590">
        <w:rPr>
          <w:rFonts w:eastAsia="Times New Roman" w:cs="Arial"/>
          <w:color w:val="000000"/>
        </w:rPr>
        <w:t xml:space="preserve"> &amp;</w:t>
      </w:r>
      <w:r w:rsidR="00E6405E">
        <w:rPr>
          <w:rFonts w:eastAsia="Times New Roman" w:cs="Arial"/>
          <w:color w:val="000000"/>
        </w:rPr>
        <w:t xml:space="preserve"> Policy </w:t>
      </w:r>
      <w:r w:rsidR="00E3219F">
        <w:rPr>
          <w:rFonts w:eastAsia="Times New Roman" w:cs="Arial"/>
          <w:color w:val="000000"/>
        </w:rPr>
        <w:t>Administrator</w:t>
      </w:r>
      <w:r w:rsidR="00E3219F" w:rsidRPr="009D039D">
        <w:rPr>
          <w:rFonts w:eastAsia="Times New Roman" w:cs="Arial"/>
          <w:color w:val="000000"/>
        </w:rPr>
        <w:t xml:space="preserve">. </w:t>
      </w:r>
      <w:r>
        <w:rPr>
          <w:rFonts w:eastAsia="Times New Roman" w:cs="Arial"/>
          <w:color w:val="000000"/>
        </w:rPr>
        <w:t xml:space="preserve">The response will be </w:t>
      </w:r>
      <w:bookmarkStart w:id="80" w:name="_Hlk114045043"/>
      <w:r>
        <w:rPr>
          <w:rFonts w:eastAsia="Times New Roman" w:cs="Arial"/>
          <w:color w:val="000000"/>
        </w:rPr>
        <w:t>either to uphold the initial response provided or make recommendations of the information that should be delivered to the applicant</w:t>
      </w:r>
      <w:bookmarkEnd w:id="80"/>
      <w:r>
        <w:rPr>
          <w:rFonts w:eastAsia="Times New Roman" w:cs="Arial"/>
          <w:color w:val="000000"/>
        </w:rPr>
        <w:t>.</w:t>
      </w:r>
      <w:r w:rsidR="00E3219F" w:rsidRPr="009D039D">
        <w:rPr>
          <w:rFonts w:eastAsia="Times New Roman" w:cs="Arial"/>
          <w:color w:val="000000"/>
        </w:rPr>
        <w:t xml:space="preserve"> The </w:t>
      </w:r>
      <w:r w:rsidR="001E3590">
        <w:t>Director of Corporate Governance</w:t>
      </w:r>
      <w:r w:rsidR="001E3590" w:rsidRPr="00260363">
        <w:t xml:space="preserve"> </w:t>
      </w:r>
      <w:r w:rsidR="00E3219F" w:rsidRPr="009D039D">
        <w:rPr>
          <w:rFonts w:eastAsia="Times New Roman" w:cs="Arial"/>
          <w:color w:val="000000"/>
        </w:rPr>
        <w:t xml:space="preserve">shall notify </w:t>
      </w:r>
      <w:r w:rsidR="00F32655">
        <w:rPr>
          <w:rFonts w:eastAsia="Times New Roman" w:cs="Arial"/>
          <w:color w:val="000000"/>
        </w:rPr>
        <w:t xml:space="preserve">the </w:t>
      </w:r>
      <w:r w:rsidR="006025A0">
        <w:rPr>
          <w:rFonts w:eastAsia="Times New Roman" w:cs="Arial"/>
          <w:color w:val="000000"/>
        </w:rPr>
        <w:t>FOI team</w:t>
      </w:r>
      <w:r w:rsidR="00F32655">
        <w:rPr>
          <w:rFonts w:eastAsia="Times New Roman" w:cs="Arial"/>
          <w:color w:val="000000"/>
        </w:rPr>
        <w:t xml:space="preserve"> of their </w:t>
      </w:r>
      <w:r w:rsidR="00E3219F" w:rsidRPr="009D039D">
        <w:rPr>
          <w:rFonts w:eastAsia="Times New Roman" w:cs="Arial"/>
          <w:color w:val="000000"/>
        </w:rPr>
        <w:t>decision and the reason for that decision in writing.</w:t>
      </w:r>
    </w:p>
    <w:p w14:paraId="15044A0F" w14:textId="273FE784" w:rsidR="00E3219F" w:rsidRPr="009D039D" w:rsidRDefault="00516BB5" w:rsidP="000D4731">
      <w:pPr>
        <w:numPr>
          <w:ilvl w:val="0"/>
          <w:numId w:val="42"/>
        </w:numPr>
        <w:tabs>
          <w:tab w:val="num" w:pos="720"/>
        </w:tabs>
        <w:spacing w:before="120"/>
        <w:ind w:left="720" w:right="-23"/>
        <w:rPr>
          <w:rFonts w:eastAsia="Times New Roman" w:cs="Arial"/>
          <w:color w:val="000000"/>
        </w:rPr>
      </w:pPr>
      <w:r>
        <w:rPr>
          <w:rFonts w:eastAsia="Times New Roman" w:cs="Arial"/>
          <w:color w:val="000000"/>
        </w:rPr>
        <w:t>T</w:t>
      </w:r>
      <w:r w:rsidR="00E3219F" w:rsidRPr="009D039D">
        <w:rPr>
          <w:rFonts w:eastAsia="Times New Roman" w:cs="Arial"/>
          <w:color w:val="000000"/>
        </w:rPr>
        <w:t xml:space="preserve">he </w:t>
      </w:r>
      <w:r w:rsidR="00E3219F">
        <w:rPr>
          <w:rFonts w:eastAsia="Times New Roman" w:cs="Arial"/>
          <w:b/>
          <w:color w:val="000000"/>
        </w:rPr>
        <w:t>FOI</w:t>
      </w:r>
      <w:r w:rsidR="001E3590">
        <w:rPr>
          <w:rFonts w:eastAsia="Times New Roman" w:cs="Arial"/>
          <w:b/>
          <w:color w:val="000000"/>
        </w:rPr>
        <w:t xml:space="preserve"> </w:t>
      </w:r>
      <w:r w:rsidR="000D4731">
        <w:rPr>
          <w:rFonts w:eastAsia="Times New Roman" w:cs="Arial"/>
          <w:b/>
          <w:color w:val="000000"/>
        </w:rPr>
        <w:t>Team</w:t>
      </w:r>
      <w:r w:rsidR="00E3219F" w:rsidRPr="009D039D">
        <w:rPr>
          <w:rFonts w:eastAsia="Times New Roman" w:cs="Arial"/>
          <w:b/>
          <w:bCs/>
          <w:color w:val="000000"/>
        </w:rPr>
        <w:t xml:space="preserve">, </w:t>
      </w:r>
      <w:r w:rsidR="00E3219F" w:rsidRPr="009D039D">
        <w:rPr>
          <w:rFonts w:eastAsia="Times New Roman" w:cs="Arial"/>
          <w:color w:val="000000"/>
        </w:rPr>
        <w:t>shall then ensure that:</w:t>
      </w:r>
    </w:p>
    <w:p w14:paraId="0C2DAFDF" w14:textId="14432984" w:rsidR="00E3219F" w:rsidRPr="009D039D" w:rsidRDefault="00E3219F" w:rsidP="000D4731">
      <w:pPr>
        <w:numPr>
          <w:ilvl w:val="1"/>
          <w:numId w:val="42"/>
        </w:numPr>
        <w:tabs>
          <w:tab w:val="clear" w:pos="1440"/>
          <w:tab w:val="num" w:pos="1134"/>
        </w:tabs>
        <w:spacing w:before="120"/>
        <w:ind w:right="-23" w:hanging="589"/>
        <w:rPr>
          <w:rFonts w:eastAsia="Times New Roman" w:cs="Arial"/>
          <w:color w:val="000000"/>
        </w:rPr>
      </w:pPr>
      <w:r w:rsidRPr="009D039D">
        <w:rPr>
          <w:rFonts w:eastAsia="Times New Roman" w:cs="Arial"/>
          <w:color w:val="000000"/>
        </w:rPr>
        <w:t xml:space="preserve">the decision is conveyed in writing to the applicant </w:t>
      </w:r>
      <w:r w:rsidR="006025A0">
        <w:rPr>
          <w:rFonts w:eastAsia="Times New Roman" w:cs="Arial"/>
          <w:color w:val="000000"/>
        </w:rPr>
        <w:t>within the appropriate timeframe</w:t>
      </w:r>
      <w:r w:rsidR="005F0F2B">
        <w:rPr>
          <w:rFonts w:eastAsia="Times New Roman" w:cs="Arial"/>
          <w:color w:val="000000"/>
        </w:rPr>
        <w:t xml:space="preserve"> (as above)</w:t>
      </w:r>
    </w:p>
    <w:p w14:paraId="2F740DED" w14:textId="73F73AD6" w:rsidR="00E3219F" w:rsidRPr="009D039D" w:rsidRDefault="00E3219F" w:rsidP="000D4731">
      <w:pPr>
        <w:numPr>
          <w:ilvl w:val="1"/>
          <w:numId w:val="42"/>
        </w:numPr>
        <w:tabs>
          <w:tab w:val="clear" w:pos="1440"/>
          <w:tab w:val="num" w:pos="1134"/>
        </w:tabs>
        <w:spacing w:before="120"/>
        <w:ind w:right="-23" w:hanging="589"/>
        <w:rPr>
          <w:rFonts w:eastAsia="Times New Roman" w:cs="Arial"/>
          <w:color w:val="000000"/>
        </w:rPr>
      </w:pPr>
      <w:r w:rsidRPr="009D039D">
        <w:rPr>
          <w:rFonts w:eastAsia="Times New Roman" w:cs="Arial"/>
          <w:color w:val="000000"/>
        </w:rPr>
        <w:t>if the applicant has been unfairly treated, an apology is offered on behalf of the organisation</w:t>
      </w:r>
      <w:r w:rsidR="000D4731">
        <w:rPr>
          <w:rFonts w:eastAsia="Times New Roman" w:cs="Arial"/>
          <w:color w:val="000000"/>
        </w:rPr>
        <w:t>;</w:t>
      </w:r>
    </w:p>
    <w:p w14:paraId="4BA6CE1A" w14:textId="6F9C5BC8" w:rsidR="00E3219F" w:rsidRPr="009D039D" w:rsidRDefault="00E3219F" w:rsidP="000D4731">
      <w:pPr>
        <w:numPr>
          <w:ilvl w:val="1"/>
          <w:numId w:val="42"/>
        </w:numPr>
        <w:tabs>
          <w:tab w:val="clear" w:pos="1440"/>
          <w:tab w:val="num" w:pos="1418"/>
        </w:tabs>
        <w:spacing w:before="120"/>
        <w:ind w:right="-23" w:hanging="589"/>
        <w:rPr>
          <w:rFonts w:eastAsia="Times New Roman" w:cs="Arial"/>
          <w:color w:val="000000"/>
        </w:rPr>
      </w:pPr>
      <w:r w:rsidRPr="009D039D">
        <w:rPr>
          <w:rFonts w:eastAsia="Times New Roman" w:cs="Arial"/>
          <w:color w:val="000000"/>
        </w:rPr>
        <w:t xml:space="preserve">any remedial action (e.g. provision of information requested where appropriate) is sent to the applicant without delay </w:t>
      </w:r>
    </w:p>
    <w:p w14:paraId="593D956F" w14:textId="77777777" w:rsidR="00E3219F" w:rsidRPr="009D039D" w:rsidRDefault="00E3219F" w:rsidP="00F56D17">
      <w:pPr>
        <w:tabs>
          <w:tab w:val="num" w:pos="1134"/>
        </w:tabs>
        <w:ind w:right="-23" w:hanging="589"/>
        <w:rPr>
          <w:rFonts w:eastAsia="Times New Roman" w:cs="Arial"/>
          <w:color w:val="000000"/>
        </w:rPr>
      </w:pPr>
    </w:p>
    <w:p w14:paraId="2A9AA2EF" w14:textId="05BFA12E" w:rsidR="00E3219F" w:rsidRPr="009D039D" w:rsidRDefault="00E3219F" w:rsidP="00F56D17">
      <w:pPr>
        <w:numPr>
          <w:ilvl w:val="1"/>
          <w:numId w:val="42"/>
        </w:numPr>
        <w:tabs>
          <w:tab w:val="clear" w:pos="1440"/>
          <w:tab w:val="num" w:pos="1134"/>
        </w:tabs>
        <w:ind w:right="-23" w:hanging="589"/>
        <w:rPr>
          <w:rFonts w:eastAsia="Times New Roman" w:cs="Arial"/>
          <w:color w:val="000000"/>
        </w:rPr>
      </w:pPr>
      <w:r w:rsidRPr="009D039D">
        <w:rPr>
          <w:rFonts w:eastAsia="Times New Roman" w:cs="Arial"/>
          <w:color w:val="000000"/>
        </w:rPr>
        <w:t xml:space="preserve">The applicant is advised of </w:t>
      </w:r>
      <w:r w:rsidR="006025A0">
        <w:rPr>
          <w:rFonts w:eastAsia="Times New Roman" w:cs="Arial"/>
          <w:color w:val="000000"/>
        </w:rPr>
        <w:t xml:space="preserve">their </w:t>
      </w:r>
      <w:r w:rsidRPr="009D039D">
        <w:rPr>
          <w:rFonts w:eastAsia="Times New Roman" w:cs="Arial"/>
          <w:color w:val="000000"/>
        </w:rPr>
        <w:t xml:space="preserve">right to </w:t>
      </w:r>
      <w:bookmarkStart w:id="81" w:name="_Hlk114045182"/>
      <w:r w:rsidRPr="009D039D">
        <w:rPr>
          <w:rFonts w:eastAsia="Times New Roman" w:cs="Arial"/>
          <w:color w:val="000000"/>
        </w:rPr>
        <w:t xml:space="preserve">raise the matter further with the Information Commissioner if </w:t>
      </w:r>
      <w:r w:rsidR="006025A0">
        <w:rPr>
          <w:rFonts w:eastAsia="Times New Roman" w:cs="Arial"/>
          <w:color w:val="000000"/>
        </w:rPr>
        <w:t xml:space="preserve">they </w:t>
      </w:r>
      <w:r w:rsidRPr="009D039D">
        <w:rPr>
          <w:rFonts w:eastAsia="Times New Roman" w:cs="Arial"/>
          <w:color w:val="000000"/>
        </w:rPr>
        <w:t>remain dissatisfied with the decision of the organisation</w:t>
      </w:r>
      <w:bookmarkEnd w:id="81"/>
      <w:r w:rsidRPr="009D039D">
        <w:rPr>
          <w:rFonts w:eastAsia="Times New Roman" w:cs="Arial"/>
          <w:color w:val="000000"/>
        </w:rPr>
        <w:t>.  In advising of this right, the applicant should be given details of the contact address and e-mail address of the commissioner at:-</w:t>
      </w:r>
    </w:p>
    <w:p w14:paraId="09697BFA" w14:textId="77777777" w:rsidR="00E3219F" w:rsidRPr="009D039D" w:rsidRDefault="00E3219F" w:rsidP="00F56D17">
      <w:pPr>
        <w:tabs>
          <w:tab w:val="num" w:pos="1134"/>
        </w:tabs>
        <w:ind w:right="-23" w:hanging="589"/>
        <w:rPr>
          <w:rFonts w:eastAsia="Times New Roman" w:cs="Arial"/>
          <w:color w:val="000000"/>
          <w:szCs w:val="15"/>
          <w:shd w:val="clear" w:color="auto" w:fill="FFFFFF"/>
        </w:rPr>
      </w:pPr>
    </w:p>
    <w:p w14:paraId="2EC5CE6F" w14:textId="77777777" w:rsidR="00E3219F" w:rsidRPr="009D039D" w:rsidRDefault="00E3219F" w:rsidP="0026425C">
      <w:pPr>
        <w:ind w:left="720" w:right="-23" w:firstLine="720"/>
        <w:rPr>
          <w:rFonts w:eastAsia="Times New Roman" w:cs="Arial"/>
          <w:color w:val="000000"/>
          <w:szCs w:val="15"/>
          <w:shd w:val="clear" w:color="auto" w:fill="FFFFFF"/>
        </w:rPr>
      </w:pPr>
      <w:r w:rsidRPr="009D039D">
        <w:rPr>
          <w:rFonts w:eastAsia="Times New Roman" w:cs="Arial"/>
          <w:color w:val="000000"/>
          <w:szCs w:val="15"/>
          <w:shd w:val="clear" w:color="auto" w:fill="FFFFFF"/>
        </w:rPr>
        <w:t>Information Commissioner's Office</w:t>
      </w:r>
    </w:p>
    <w:p w14:paraId="758D3D08" w14:textId="77777777" w:rsidR="00E3219F" w:rsidRPr="009D039D" w:rsidRDefault="00E3219F" w:rsidP="0026425C">
      <w:pPr>
        <w:ind w:left="1440" w:right="-23"/>
        <w:rPr>
          <w:rFonts w:eastAsia="Times New Roman" w:cs="Arial"/>
          <w:color w:val="000000"/>
          <w:szCs w:val="15"/>
          <w:shd w:val="clear" w:color="auto" w:fill="FFFFFF"/>
        </w:rPr>
      </w:pPr>
      <w:r w:rsidRPr="009D039D">
        <w:rPr>
          <w:rFonts w:eastAsia="Times New Roman" w:cs="Arial"/>
          <w:color w:val="000000"/>
          <w:szCs w:val="15"/>
          <w:shd w:val="clear" w:color="auto" w:fill="FFFFFF"/>
        </w:rPr>
        <w:t xml:space="preserve">Freedom of Information </w:t>
      </w:r>
    </w:p>
    <w:p w14:paraId="466B4B66" w14:textId="6DBC33D0" w:rsidR="006F7C0C" w:rsidRPr="009D039D" w:rsidRDefault="00E3219F" w:rsidP="006F7C0C">
      <w:pPr>
        <w:ind w:left="1440" w:right="-23"/>
        <w:rPr>
          <w:rFonts w:eastAsia="Times New Roman" w:cs="Arial"/>
          <w:color w:val="000000"/>
        </w:rPr>
      </w:pPr>
      <w:r w:rsidRPr="009D039D">
        <w:rPr>
          <w:rFonts w:eastAsia="Times New Roman" w:cs="Arial"/>
          <w:color w:val="000000"/>
          <w:szCs w:val="15"/>
          <w:shd w:val="clear" w:color="auto" w:fill="FFFFFF"/>
        </w:rPr>
        <w:t xml:space="preserve">Wycliffe House  </w:t>
      </w:r>
      <w:r w:rsidRPr="009D039D">
        <w:rPr>
          <w:rFonts w:eastAsia="Times New Roman" w:cs="Arial"/>
          <w:color w:val="000000"/>
          <w:szCs w:val="15"/>
          <w:shd w:val="clear" w:color="auto" w:fill="FFFFFF"/>
        </w:rPr>
        <w:br/>
        <w:t>Water Lane, Wilmslow, Cheshire, SK9 5AF</w:t>
      </w:r>
    </w:p>
    <w:p w14:paraId="18AE4D3E" w14:textId="076C49C3" w:rsidR="00E3219F" w:rsidRDefault="00E3219F" w:rsidP="0026425C">
      <w:pPr>
        <w:ind w:right="-23"/>
        <w:rPr>
          <w:rFonts w:eastAsia="Times New Roman" w:cs="Arial"/>
          <w:color w:val="000000"/>
          <w:szCs w:val="15"/>
          <w:shd w:val="clear" w:color="auto" w:fill="FFFFFF"/>
        </w:rPr>
      </w:pPr>
      <w:r w:rsidRPr="009D039D">
        <w:rPr>
          <w:rFonts w:eastAsia="Times New Roman" w:cs="Arial"/>
          <w:color w:val="000000"/>
        </w:rPr>
        <w:lastRenderedPageBreak/>
        <w:t xml:space="preserve">E-mail  </w:t>
      </w:r>
      <w:hyperlink r:id="rId23" w:history="1">
        <w:r w:rsidRPr="000225F6">
          <w:rPr>
            <w:rStyle w:val="Hyperlink"/>
            <w:rFonts w:eastAsia="Times New Roman" w:cs="Arial"/>
            <w:szCs w:val="15"/>
            <w:shd w:val="clear" w:color="auto" w:fill="FFFFFF"/>
          </w:rPr>
          <w:t>mail@ico.gsi.gov.uk</w:t>
        </w:r>
      </w:hyperlink>
    </w:p>
    <w:p w14:paraId="71D60AED" w14:textId="77777777" w:rsidR="00E3219F" w:rsidRPr="009D039D" w:rsidRDefault="00E3219F" w:rsidP="0026425C">
      <w:pPr>
        <w:ind w:right="-23"/>
        <w:rPr>
          <w:rFonts w:eastAsia="Times New Roman" w:cs="Arial"/>
          <w:color w:val="000000"/>
          <w:szCs w:val="15"/>
          <w:shd w:val="clear" w:color="auto" w:fill="FFFFFF"/>
        </w:rPr>
      </w:pPr>
    </w:p>
    <w:p w14:paraId="3B6E2A46" w14:textId="24094EEB" w:rsidR="00E3219F" w:rsidRPr="009D039D" w:rsidRDefault="00E3219F" w:rsidP="000D4731">
      <w:pPr>
        <w:numPr>
          <w:ilvl w:val="1"/>
          <w:numId w:val="42"/>
        </w:numPr>
        <w:tabs>
          <w:tab w:val="clear" w:pos="1440"/>
          <w:tab w:val="num" w:pos="1418"/>
        </w:tabs>
        <w:spacing w:before="120"/>
        <w:ind w:left="1418" w:right="-23" w:hanging="567"/>
        <w:rPr>
          <w:rFonts w:eastAsia="Times New Roman" w:cs="Arial"/>
          <w:color w:val="000000"/>
          <w:szCs w:val="15"/>
          <w:shd w:val="clear" w:color="auto" w:fill="FFFFFF"/>
        </w:rPr>
      </w:pPr>
      <w:r w:rsidRPr="009D039D">
        <w:rPr>
          <w:rFonts w:eastAsia="Times New Roman" w:cs="Arial"/>
          <w:color w:val="000000"/>
          <w:szCs w:val="15"/>
          <w:shd w:val="clear" w:color="auto" w:fill="FFFFFF"/>
        </w:rPr>
        <w:t>procedures are reviewed so that the organisation learns from the decisions</w:t>
      </w:r>
      <w:r w:rsidR="007C5FED">
        <w:rPr>
          <w:rFonts w:eastAsia="Times New Roman" w:cs="Arial"/>
          <w:color w:val="000000"/>
          <w:szCs w:val="15"/>
          <w:shd w:val="clear" w:color="auto" w:fill="FFFFFF"/>
        </w:rPr>
        <w:t xml:space="preserve"> </w:t>
      </w:r>
      <w:r w:rsidRPr="009D039D">
        <w:rPr>
          <w:rFonts w:eastAsia="Times New Roman" w:cs="Arial"/>
          <w:color w:val="000000"/>
          <w:szCs w:val="15"/>
          <w:shd w:val="clear" w:color="auto" w:fill="FFFFFF"/>
        </w:rPr>
        <w:t>reached on review.</w:t>
      </w:r>
    </w:p>
    <w:p w14:paraId="0C5882CB" w14:textId="77777777" w:rsidR="00E3219F" w:rsidRPr="009D039D" w:rsidRDefault="00E3219F" w:rsidP="0026425C">
      <w:pPr>
        <w:ind w:right="-23"/>
        <w:rPr>
          <w:rFonts w:eastAsia="Times New Roman" w:cs="Arial"/>
          <w:color w:val="000000"/>
          <w:szCs w:val="15"/>
          <w:shd w:val="clear" w:color="auto" w:fill="FFFFFF"/>
        </w:rPr>
      </w:pPr>
    </w:p>
    <w:p w14:paraId="3A9E6489" w14:textId="239721A0" w:rsidR="00E3219F" w:rsidRPr="009D039D" w:rsidRDefault="00E3219F" w:rsidP="0026425C">
      <w:pPr>
        <w:ind w:right="-23"/>
        <w:rPr>
          <w:rFonts w:eastAsia="Times New Roman" w:cs="Arial"/>
          <w:b/>
          <w:color w:val="000000"/>
          <w:szCs w:val="15"/>
          <w:shd w:val="clear" w:color="auto" w:fill="FFFFFF"/>
        </w:rPr>
      </w:pPr>
      <w:r w:rsidRPr="009D039D">
        <w:rPr>
          <w:rFonts w:eastAsia="Times New Roman" w:cs="Arial"/>
          <w:b/>
          <w:color w:val="000000"/>
          <w:szCs w:val="15"/>
          <w:shd w:val="clear" w:color="auto" w:fill="FFFFFF"/>
        </w:rPr>
        <w:t xml:space="preserve">N.B.  Where the request for review relates to a decision by the Chief Executive exercising personal responsibility to withhold information as ‘Prejudicial to the Effective Conduct of Public Affairs’ (Section 36 FOI Act) the applicant must be advised promptly that </w:t>
      </w:r>
      <w:r w:rsidR="001E3590">
        <w:rPr>
          <w:rFonts w:eastAsia="Times New Roman" w:cs="Arial"/>
          <w:b/>
          <w:color w:val="000000"/>
          <w:szCs w:val="15"/>
          <w:shd w:val="clear" w:color="auto" w:fill="FFFFFF"/>
        </w:rPr>
        <w:t>they</w:t>
      </w:r>
      <w:r w:rsidRPr="009D039D">
        <w:rPr>
          <w:rFonts w:eastAsia="Times New Roman" w:cs="Arial"/>
          <w:b/>
          <w:color w:val="000000"/>
          <w:szCs w:val="15"/>
          <w:shd w:val="clear" w:color="auto" w:fill="FFFFFF"/>
        </w:rPr>
        <w:t xml:space="preserve"> should raise the matter directly with the Information Commissioner, as this cannot be handled by the Trust’s FOI Complaints Procedure.</w:t>
      </w:r>
    </w:p>
    <w:p w14:paraId="6983BDD9" w14:textId="77777777" w:rsidR="00E3219F" w:rsidRPr="009D039D" w:rsidRDefault="00E3219F" w:rsidP="0026425C">
      <w:pPr>
        <w:ind w:right="-23"/>
        <w:rPr>
          <w:rFonts w:eastAsia="Times New Roman" w:cs="Arial"/>
          <w:color w:val="000000"/>
          <w:szCs w:val="15"/>
          <w:shd w:val="clear" w:color="auto" w:fill="FFFFFF"/>
        </w:rPr>
      </w:pPr>
    </w:p>
    <w:p w14:paraId="7E17251D" w14:textId="77777777" w:rsidR="00E3219F" w:rsidRPr="009D039D" w:rsidRDefault="00E3219F" w:rsidP="000D4731">
      <w:pPr>
        <w:keepNext/>
        <w:ind w:right="-23"/>
        <w:rPr>
          <w:rFonts w:eastAsia="Times New Roman" w:cs="Arial"/>
          <w:b/>
          <w:bCs/>
          <w:color w:val="000000"/>
          <w:shd w:val="clear" w:color="auto" w:fill="FFFFFF"/>
        </w:rPr>
      </w:pPr>
      <w:r w:rsidRPr="009D039D">
        <w:rPr>
          <w:rFonts w:eastAsia="Times New Roman" w:cs="Arial"/>
          <w:b/>
          <w:bCs/>
          <w:color w:val="000000"/>
          <w:shd w:val="clear" w:color="auto" w:fill="FFFFFF"/>
        </w:rPr>
        <w:t>Assistance to Applicants</w:t>
      </w:r>
    </w:p>
    <w:p w14:paraId="58F7D054" w14:textId="77777777" w:rsidR="00E3219F" w:rsidRPr="009D039D" w:rsidRDefault="00E3219F" w:rsidP="0026425C">
      <w:pPr>
        <w:ind w:right="-23"/>
        <w:rPr>
          <w:rFonts w:eastAsia="Times New Roman" w:cs="Arial"/>
          <w:b/>
          <w:bCs/>
          <w:color w:val="000000"/>
          <w:szCs w:val="15"/>
          <w:shd w:val="clear" w:color="auto" w:fill="FFFFFF"/>
        </w:rPr>
      </w:pPr>
    </w:p>
    <w:p w14:paraId="36001E07" w14:textId="77777777" w:rsidR="00E3219F" w:rsidRPr="009D039D" w:rsidRDefault="00E3219F" w:rsidP="0026425C">
      <w:pPr>
        <w:ind w:right="-23"/>
        <w:rPr>
          <w:rFonts w:eastAsia="Times New Roman" w:cs="Arial"/>
          <w:color w:val="000000"/>
          <w:szCs w:val="15"/>
          <w:shd w:val="clear" w:color="auto" w:fill="FFFFFF"/>
        </w:rPr>
      </w:pPr>
      <w:r w:rsidRPr="009D039D">
        <w:rPr>
          <w:rFonts w:eastAsia="Times New Roman" w:cs="Arial"/>
          <w:color w:val="000000"/>
          <w:szCs w:val="15"/>
          <w:shd w:val="clear" w:color="auto" w:fill="FFFFFF"/>
        </w:rPr>
        <w:t xml:space="preserve">Under the spirit of the Freedom of Information Act 2000 the Trust will provide assistance, if required, to any applicant who seeks it.  It will also ensure that the needs of persons with a disability within the terms of the Disability Discrimination Act 1995 are not unfairly disadvantaged as a consequence of the procedure described above and shall make appropriate adjustments to the procedure where appropriate under the terms of this Act. </w:t>
      </w:r>
    </w:p>
    <w:p w14:paraId="2274BDE9" w14:textId="77777777" w:rsidR="001E3590" w:rsidRDefault="001E3590">
      <w:pPr>
        <w:rPr>
          <w:b/>
          <w:sz w:val="28"/>
        </w:rPr>
      </w:pPr>
      <w:r>
        <w:br w:type="page"/>
      </w:r>
    </w:p>
    <w:p w14:paraId="0D8165AD" w14:textId="77F1CEA3" w:rsidR="00E3219F" w:rsidRDefault="00022E82" w:rsidP="00022E82">
      <w:pPr>
        <w:pStyle w:val="Policyheader"/>
        <w:numPr>
          <w:ilvl w:val="0"/>
          <w:numId w:val="0"/>
        </w:numPr>
      </w:pPr>
      <w:bookmarkStart w:id="82" w:name="_Toc176527344"/>
      <w:r>
        <w:lastRenderedPageBreak/>
        <w:t xml:space="preserve">Appendix </w:t>
      </w:r>
      <w:r w:rsidR="00ED760A">
        <w:t xml:space="preserve">C </w:t>
      </w:r>
      <w:r>
        <w:t>– Equality Analysis</w:t>
      </w:r>
      <w:bookmarkEnd w:id="82"/>
      <w:r>
        <w:t xml:space="preserve"> </w:t>
      </w:r>
    </w:p>
    <w:p w14:paraId="2FDBB7CD" w14:textId="77777777" w:rsidR="001137FB" w:rsidRDefault="001137FB" w:rsidP="001137FB">
      <w:pPr>
        <w:rPr>
          <w:rFonts w:eastAsia="Times New Roman"/>
        </w:rPr>
      </w:pPr>
      <w:r w:rsidRPr="00FB769F">
        <w:rPr>
          <w:rFonts w:eastAsia="Times New Roman"/>
        </w:rPr>
        <w:t>An Equality Analysis not just about addressing discrimination or adverse impact; the policy should also positively promote equal opportunities, improved access, participation in public life and good relations.</w:t>
      </w:r>
    </w:p>
    <w:p w14:paraId="1B271123" w14:textId="77777777" w:rsidR="001137FB" w:rsidRDefault="001137FB" w:rsidP="001137FB">
      <w:pPr>
        <w:rPr>
          <w:rFonts w:eastAsia="Times New Roman"/>
        </w:rPr>
      </w:pPr>
    </w:p>
    <w:p w14:paraId="44C92124" w14:textId="77777777" w:rsidR="001137FB" w:rsidRPr="001B5DE0" w:rsidRDefault="001137FB" w:rsidP="001137FB">
      <w:pPr>
        <w:rPr>
          <w:b/>
        </w:rPr>
      </w:pPr>
      <w:r w:rsidRPr="001B5DE0">
        <w:rPr>
          <w:b/>
        </w:rPr>
        <w:t>Person completing the Analysis</w:t>
      </w:r>
    </w:p>
    <w:p w14:paraId="7309291B" w14:textId="048A2C26" w:rsidR="001137FB" w:rsidRDefault="001137FB" w:rsidP="001137FB">
      <w:pPr>
        <w:tabs>
          <w:tab w:val="left" w:pos="2835"/>
        </w:tabs>
        <w:spacing w:after="120"/>
      </w:pPr>
      <w:r>
        <w:t xml:space="preserve">Job title: </w:t>
      </w:r>
      <w:r>
        <w:tab/>
      </w:r>
      <w:r>
        <w:rPr>
          <w:rFonts w:cs="Arial"/>
          <w:lang w:eastAsia="en-US"/>
        </w:rPr>
        <w:t>Policy &amp; FOI Manager</w:t>
      </w:r>
    </w:p>
    <w:p w14:paraId="417AF881" w14:textId="0C579442" w:rsidR="001137FB" w:rsidRDefault="001137FB" w:rsidP="001137FB">
      <w:pPr>
        <w:tabs>
          <w:tab w:val="left" w:pos="2835"/>
        </w:tabs>
        <w:spacing w:after="120"/>
      </w:pPr>
      <w:r>
        <w:t>Care Group/Department:</w:t>
      </w:r>
      <w:r>
        <w:tab/>
      </w:r>
      <w:r>
        <w:rPr>
          <w:rFonts w:cs="Arial"/>
          <w:lang w:eastAsia="en-US"/>
        </w:rPr>
        <w:t>Trust Management</w:t>
      </w:r>
    </w:p>
    <w:p w14:paraId="259C44E8" w14:textId="0B3C2B65" w:rsidR="001137FB" w:rsidRDefault="001137FB" w:rsidP="001137FB">
      <w:pPr>
        <w:tabs>
          <w:tab w:val="left" w:pos="2835"/>
        </w:tabs>
        <w:spacing w:after="120"/>
      </w:pPr>
      <w:r>
        <w:t>Date completed:</w:t>
      </w:r>
      <w:r>
        <w:tab/>
      </w:r>
      <w:r>
        <w:rPr>
          <w:rFonts w:cs="Arial"/>
          <w:lang w:eastAsia="en-US"/>
        </w:rPr>
        <w:t>July 2024</w:t>
      </w:r>
    </w:p>
    <w:p w14:paraId="770C3C2A" w14:textId="77777777" w:rsidR="001137FB" w:rsidRPr="001B5DE0" w:rsidRDefault="001137FB" w:rsidP="001137FB">
      <w:pPr>
        <w:rPr>
          <w:b/>
        </w:rPr>
      </w:pPr>
      <w:r w:rsidRPr="001B5DE0">
        <w:rPr>
          <w:b/>
        </w:rPr>
        <w:t>Who will be impacted by this policy</w:t>
      </w:r>
    </w:p>
    <w:p w14:paraId="2B6D06D4" w14:textId="77777777" w:rsidR="001137FB" w:rsidRPr="002C16FA" w:rsidRDefault="001137FB" w:rsidP="001137FB">
      <w:pPr>
        <w:tabs>
          <w:tab w:val="left" w:pos="2835"/>
        </w:tabs>
        <w:spacing w:after="60"/>
        <w:rPr>
          <w:rFonts w:eastAsia="Times New Roman"/>
        </w:rPr>
      </w:pPr>
      <w:r w:rsidRPr="002C16FA">
        <w:rPr>
          <w:rFonts w:eastAsia="Times New Roman"/>
        </w:rPr>
        <w:t>[</w:t>
      </w:r>
      <w:r>
        <w:rPr>
          <w:rFonts w:eastAsia="Times New Roman"/>
        </w:rPr>
        <w:t>x</w:t>
      </w:r>
      <w:r w:rsidRPr="002C16FA">
        <w:rPr>
          <w:rFonts w:eastAsia="Times New Roman"/>
        </w:rPr>
        <w:t>] Staff (Trust)</w:t>
      </w:r>
    </w:p>
    <w:p w14:paraId="10ABB854" w14:textId="77777777" w:rsidR="001137FB" w:rsidRPr="002C16FA" w:rsidRDefault="001137FB" w:rsidP="001137FB">
      <w:pPr>
        <w:tabs>
          <w:tab w:val="left" w:pos="2835"/>
        </w:tabs>
        <w:spacing w:after="60"/>
        <w:rPr>
          <w:rFonts w:eastAsia="Times New Roman"/>
        </w:rPr>
      </w:pPr>
      <w:r w:rsidRPr="002C16FA">
        <w:rPr>
          <w:rFonts w:eastAsia="Times New Roman"/>
        </w:rPr>
        <w:t>[</w:t>
      </w:r>
      <w:r>
        <w:rPr>
          <w:rFonts w:eastAsia="Times New Roman"/>
        </w:rPr>
        <w:t>x</w:t>
      </w:r>
      <w:r w:rsidRPr="002C16FA">
        <w:rPr>
          <w:rFonts w:eastAsia="Times New Roman"/>
        </w:rPr>
        <w:t>] Staff (Other)</w:t>
      </w:r>
    </w:p>
    <w:p w14:paraId="26CB22AB" w14:textId="2B1DD150" w:rsidR="001137FB" w:rsidRPr="002C16FA" w:rsidRDefault="001137FB" w:rsidP="001137FB">
      <w:pPr>
        <w:tabs>
          <w:tab w:val="left" w:pos="2835"/>
        </w:tabs>
        <w:spacing w:after="60"/>
        <w:rPr>
          <w:rFonts w:eastAsia="Times New Roman"/>
        </w:rPr>
      </w:pPr>
      <w:r w:rsidRPr="002C16FA">
        <w:rPr>
          <w:rFonts w:eastAsia="Times New Roman"/>
        </w:rPr>
        <w:t>[] Clients</w:t>
      </w:r>
    </w:p>
    <w:p w14:paraId="59FDBDC8" w14:textId="2E9BD3EC" w:rsidR="001137FB" w:rsidRPr="002C16FA" w:rsidRDefault="001137FB" w:rsidP="001137FB">
      <w:pPr>
        <w:tabs>
          <w:tab w:val="left" w:pos="2835"/>
        </w:tabs>
        <w:spacing w:after="60"/>
        <w:rPr>
          <w:rFonts w:eastAsia="Times New Roman"/>
        </w:rPr>
      </w:pPr>
      <w:r w:rsidRPr="002C16FA">
        <w:rPr>
          <w:rFonts w:eastAsia="Times New Roman"/>
        </w:rPr>
        <w:t>[</w:t>
      </w:r>
      <w:r>
        <w:rPr>
          <w:rFonts w:eastAsia="Times New Roman"/>
        </w:rPr>
        <w:t xml:space="preserve">] </w:t>
      </w:r>
      <w:r w:rsidRPr="002C16FA">
        <w:rPr>
          <w:rFonts w:eastAsia="Times New Roman"/>
        </w:rPr>
        <w:t xml:space="preserve">Carers </w:t>
      </w:r>
    </w:p>
    <w:p w14:paraId="76667C51" w14:textId="6A0A779E" w:rsidR="001137FB" w:rsidRPr="002C16FA" w:rsidRDefault="001137FB" w:rsidP="001137FB">
      <w:pPr>
        <w:tabs>
          <w:tab w:val="left" w:pos="2835"/>
        </w:tabs>
        <w:spacing w:after="60"/>
        <w:rPr>
          <w:rFonts w:eastAsia="Times New Roman"/>
        </w:rPr>
      </w:pPr>
      <w:r w:rsidRPr="002C16FA">
        <w:rPr>
          <w:rFonts w:eastAsia="Times New Roman"/>
        </w:rPr>
        <w:t>[] Patients</w:t>
      </w:r>
    </w:p>
    <w:p w14:paraId="54BC2763" w14:textId="1E597C83" w:rsidR="001137FB" w:rsidRPr="002C16FA" w:rsidRDefault="001137FB" w:rsidP="001137FB">
      <w:pPr>
        <w:tabs>
          <w:tab w:val="left" w:pos="2835"/>
        </w:tabs>
        <w:spacing w:after="60"/>
        <w:rPr>
          <w:rFonts w:eastAsia="Times New Roman"/>
        </w:rPr>
      </w:pPr>
      <w:r w:rsidRPr="002C16FA">
        <w:rPr>
          <w:rFonts w:eastAsia="Times New Roman"/>
        </w:rPr>
        <w:t>[] Relatives</w:t>
      </w:r>
    </w:p>
    <w:p w14:paraId="513FD376" w14:textId="77777777" w:rsidR="001137FB" w:rsidRPr="001B5DE0" w:rsidRDefault="001137FB" w:rsidP="001137FB">
      <w:pPr>
        <w:rPr>
          <w:b/>
        </w:rPr>
      </w:pPr>
      <w:r w:rsidRPr="001B5DE0">
        <w:rPr>
          <w:b/>
        </w:rPr>
        <w:t>Assess the impact of the policy on people with different protected characteristics</w:t>
      </w:r>
    </w:p>
    <w:p w14:paraId="18A02F2F" w14:textId="77777777" w:rsidR="001137FB" w:rsidRDefault="001137FB" w:rsidP="001137FB">
      <w:r w:rsidRPr="00FB769F">
        <w:t>When assessing impact, make it clear who will be impacted within the protected characteristic category</w:t>
      </w:r>
      <w:r>
        <w:t xml:space="preserve">.  </w:t>
      </w:r>
      <w:r w:rsidRPr="00FB769F">
        <w:t>For example, it may have a positive impact on women but a neutral impact on men.</w:t>
      </w:r>
    </w:p>
    <w:p w14:paraId="543EE555" w14:textId="77777777" w:rsidR="001137FB" w:rsidRDefault="001137FB" w:rsidP="001137FB"/>
    <w:tbl>
      <w:tblPr>
        <w:tblStyle w:val="TableGrid"/>
        <w:tblW w:w="0" w:type="auto"/>
        <w:tblLook w:val="0620" w:firstRow="1" w:lastRow="0" w:firstColumn="0" w:lastColumn="0" w:noHBand="1" w:noVBand="1"/>
      </w:tblPr>
      <w:tblGrid>
        <w:gridCol w:w="3668"/>
        <w:gridCol w:w="2452"/>
        <w:gridCol w:w="3345"/>
      </w:tblGrid>
      <w:tr w:rsidR="001137FB" w:rsidRPr="00FB769F" w14:paraId="61B27FD7" w14:textId="77777777" w:rsidTr="00B87BBD">
        <w:trPr>
          <w:trHeight w:val="20"/>
          <w:tblHeader/>
        </w:trPr>
        <w:tc>
          <w:tcPr>
            <w:tcW w:w="3681" w:type="dxa"/>
          </w:tcPr>
          <w:p w14:paraId="0BF0BDC2" w14:textId="77777777" w:rsidR="001137FB" w:rsidRPr="00FB769F" w:rsidRDefault="001137FB" w:rsidP="00B87BBD">
            <w:pPr>
              <w:rPr>
                <w:b/>
              </w:rPr>
            </w:pPr>
            <w:r w:rsidRPr="00FB769F">
              <w:rPr>
                <w:b/>
              </w:rPr>
              <w:t>Protected characteristic</w:t>
            </w:r>
          </w:p>
        </w:tc>
        <w:tc>
          <w:tcPr>
            <w:tcW w:w="2457" w:type="dxa"/>
          </w:tcPr>
          <w:p w14:paraId="2DAC60B8" w14:textId="77777777" w:rsidR="001137FB" w:rsidRPr="00FB769F" w:rsidRDefault="001137FB" w:rsidP="00B87BBD">
            <w:pPr>
              <w:spacing w:after="60"/>
              <w:contextualSpacing/>
              <w:rPr>
                <w:b/>
              </w:rPr>
            </w:pPr>
            <w:r w:rsidRPr="00FB769F">
              <w:rPr>
                <w:b/>
              </w:rPr>
              <w:t>Characteristic Group</w:t>
            </w:r>
          </w:p>
        </w:tc>
        <w:tc>
          <w:tcPr>
            <w:tcW w:w="3348" w:type="dxa"/>
          </w:tcPr>
          <w:p w14:paraId="490730E2" w14:textId="77777777" w:rsidR="001137FB" w:rsidRPr="00FB769F" w:rsidRDefault="001137FB" w:rsidP="00B87BBD">
            <w:pPr>
              <w:spacing w:after="60"/>
              <w:contextualSpacing/>
              <w:rPr>
                <w:b/>
              </w:rPr>
            </w:pPr>
            <w:r w:rsidRPr="00FB769F">
              <w:rPr>
                <w:b/>
              </w:rPr>
              <w:t>Impact of decision</w:t>
            </w:r>
          </w:p>
          <w:p w14:paraId="33EB373A" w14:textId="77777777" w:rsidR="001137FB" w:rsidRPr="00FB769F" w:rsidRDefault="001137FB" w:rsidP="00B87BBD">
            <w:pPr>
              <w:spacing w:after="60"/>
              <w:contextualSpacing/>
            </w:pPr>
            <w:r w:rsidRPr="00FB769F">
              <w:t>Positive/Neutral/Negative</w:t>
            </w:r>
          </w:p>
        </w:tc>
      </w:tr>
      <w:tr w:rsidR="001137FB" w:rsidRPr="00FB769F" w14:paraId="27B03C09" w14:textId="77777777" w:rsidTr="00B87BBD">
        <w:trPr>
          <w:trHeight w:val="20"/>
        </w:trPr>
        <w:tc>
          <w:tcPr>
            <w:tcW w:w="3681" w:type="dxa"/>
          </w:tcPr>
          <w:p w14:paraId="17DF37CB" w14:textId="77777777" w:rsidR="001137FB" w:rsidRPr="00F745F1" w:rsidRDefault="001137FB" w:rsidP="00B87BBD">
            <w:pPr>
              <w:spacing w:before="60" w:after="60"/>
              <w:rPr>
                <w:b/>
              </w:rPr>
            </w:pPr>
            <w:r w:rsidRPr="00F745F1">
              <w:rPr>
                <w:b/>
              </w:rPr>
              <w:t>Age</w:t>
            </w:r>
          </w:p>
        </w:tc>
        <w:tc>
          <w:tcPr>
            <w:tcW w:w="2457" w:type="dxa"/>
            <w:shd w:val="clear" w:color="auto" w:fill="auto"/>
            <w:vAlign w:val="center"/>
          </w:tcPr>
          <w:p w14:paraId="696C34AB" w14:textId="77777777" w:rsidR="001137FB" w:rsidRPr="00F745F1" w:rsidRDefault="001137FB" w:rsidP="00B87BBD">
            <w:pPr>
              <w:spacing w:before="60" w:after="60"/>
            </w:pPr>
            <w:r w:rsidRPr="001A3AC0">
              <w:t>None</w:t>
            </w:r>
          </w:p>
        </w:tc>
        <w:tc>
          <w:tcPr>
            <w:tcW w:w="3348" w:type="dxa"/>
            <w:shd w:val="clear" w:color="auto" w:fill="auto"/>
            <w:vAlign w:val="center"/>
          </w:tcPr>
          <w:p w14:paraId="772D80B9" w14:textId="46FDCA7E" w:rsidR="001137FB" w:rsidRPr="00F745F1" w:rsidRDefault="001137FB" w:rsidP="00B87BBD">
            <w:pPr>
              <w:spacing w:before="60" w:after="60"/>
            </w:pPr>
            <w:r w:rsidRPr="001A3F90">
              <w:t>N</w:t>
            </w:r>
            <w:r>
              <w:t>eutral</w:t>
            </w:r>
          </w:p>
        </w:tc>
      </w:tr>
      <w:tr w:rsidR="001137FB" w:rsidRPr="00FB769F" w14:paraId="16827EBE" w14:textId="77777777" w:rsidTr="00B87BBD">
        <w:trPr>
          <w:trHeight w:val="20"/>
        </w:trPr>
        <w:tc>
          <w:tcPr>
            <w:tcW w:w="3681" w:type="dxa"/>
          </w:tcPr>
          <w:p w14:paraId="2EFBDE71" w14:textId="77777777" w:rsidR="001137FB" w:rsidRPr="00F745F1" w:rsidRDefault="001137FB" w:rsidP="00B87BBD">
            <w:pPr>
              <w:spacing w:before="60" w:after="60"/>
              <w:rPr>
                <w:b/>
              </w:rPr>
            </w:pPr>
            <w:r w:rsidRPr="00F745F1">
              <w:rPr>
                <w:b/>
              </w:rPr>
              <w:t>Disability</w:t>
            </w:r>
          </w:p>
        </w:tc>
        <w:tc>
          <w:tcPr>
            <w:tcW w:w="2457" w:type="dxa"/>
            <w:shd w:val="clear" w:color="auto" w:fill="auto"/>
          </w:tcPr>
          <w:p w14:paraId="49539A6A" w14:textId="77777777" w:rsidR="001137FB" w:rsidRDefault="001137FB" w:rsidP="00B87BBD">
            <w:pPr>
              <w:spacing w:before="60" w:after="60"/>
              <w:rPr>
                <w:rFonts w:cs="Arial"/>
                <w:lang w:eastAsia="en-US"/>
              </w:rPr>
            </w:pPr>
            <w:r w:rsidRPr="001137FB">
              <w:rPr>
                <w:rFonts w:cs="Arial"/>
                <w:lang w:eastAsia="en-US"/>
              </w:rPr>
              <w:t>Information disclosed under FOI will be made available in alternative formations such as Braille or large font upon request</w:t>
            </w:r>
            <w:r w:rsidR="000D4731">
              <w:rPr>
                <w:rFonts w:cs="Arial"/>
                <w:lang w:eastAsia="en-US"/>
              </w:rPr>
              <w:t>.</w:t>
            </w:r>
          </w:p>
          <w:p w14:paraId="0F915F3C" w14:textId="1CB5C390" w:rsidR="000D4731" w:rsidRPr="001137FB" w:rsidRDefault="000D4731" w:rsidP="00B87BBD">
            <w:pPr>
              <w:spacing w:before="60" w:after="60"/>
            </w:pPr>
            <w:r>
              <w:t>Assistance will be offered to applicants unable to convey their request in writing.</w:t>
            </w:r>
          </w:p>
        </w:tc>
        <w:tc>
          <w:tcPr>
            <w:tcW w:w="3348" w:type="dxa"/>
            <w:shd w:val="clear" w:color="auto" w:fill="auto"/>
          </w:tcPr>
          <w:p w14:paraId="56FF2D87" w14:textId="2BEB6C81" w:rsidR="001137FB" w:rsidRPr="00F745F1" w:rsidRDefault="001137FB" w:rsidP="00B87BBD">
            <w:pPr>
              <w:spacing w:before="60" w:after="60"/>
            </w:pPr>
            <w:r>
              <w:t>Positive</w:t>
            </w:r>
          </w:p>
        </w:tc>
      </w:tr>
      <w:tr w:rsidR="001137FB" w:rsidRPr="00FB769F" w14:paraId="2BA33C3B" w14:textId="77777777" w:rsidTr="00B87BBD">
        <w:trPr>
          <w:trHeight w:val="20"/>
        </w:trPr>
        <w:tc>
          <w:tcPr>
            <w:tcW w:w="3681" w:type="dxa"/>
          </w:tcPr>
          <w:p w14:paraId="27450BAD" w14:textId="77777777" w:rsidR="001137FB" w:rsidRPr="00F745F1" w:rsidRDefault="001137FB" w:rsidP="00B87BBD">
            <w:pPr>
              <w:spacing w:before="60" w:after="60"/>
              <w:rPr>
                <w:b/>
              </w:rPr>
            </w:pPr>
            <w:r w:rsidRPr="00F745F1">
              <w:rPr>
                <w:b/>
              </w:rPr>
              <w:t>Gender reassignment</w:t>
            </w:r>
          </w:p>
        </w:tc>
        <w:tc>
          <w:tcPr>
            <w:tcW w:w="2457" w:type="dxa"/>
            <w:shd w:val="clear" w:color="auto" w:fill="auto"/>
          </w:tcPr>
          <w:p w14:paraId="1EDDBEB8" w14:textId="77777777" w:rsidR="001137FB" w:rsidRPr="00F745F1" w:rsidRDefault="001137FB" w:rsidP="00B87BBD">
            <w:pPr>
              <w:spacing w:before="60" w:after="60"/>
            </w:pPr>
            <w:r w:rsidRPr="00C6309D">
              <w:t>None</w:t>
            </w:r>
          </w:p>
        </w:tc>
        <w:tc>
          <w:tcPr>
            <w:tcW w:w="3348" w:type="dxa"/>
            <w:shd w:val="clear" w:color="auto" w:fill="auto"/>
          </w:tcPr>
          <w:p w14:paraId="3BEA6EA3" w14:textId="2EF48228" w:rsidR="001137FB" w:rsidRPr="00F745F1" w:rsidRDefault="001137FB" w:rsidP="00B87BBD">
            <w:pPr>
              <w:spacing w:before="60" w:after="60"/>
            </w:pPr>
            <w:r w:rsidRPr="001A3F90">
              <w:t>N</w:t>
            </w:r>
            <w:r>
              <w:t>eutral</w:t>
            </w:r>
          </w:p>
        </w:tc>
      </w:tr>
      <w:tr w:rsidR="001137FB" w:rsidRPr="00FB769F" w14:paraId="1E008812" w14:textId="77777777" w:rsidTr="00B87BBD">
        <w:trPr>
          <w:trHeight w:val="20"/>
        </w:trPr>
        <w:tc>
          <w:tcPr>
            <w:tcW w:w="3681" w:type="dxa"/>
          </w:tcPr>
          <w:p w14:paraId="304A752F" w14:textId="77777777" w:rsidR="001137FB" w:rsidRPr="00F745F1" w:rsidRDefault="001137FB" w:rsidP="00B87BBD">
            <w:pPr>
              <w:spacing w:before="60" w:after="60"/>
              <w:rPr>
                <w:b/>
              </w:rPr>
            </w:pPr>
            <w:r w:rsidRPr="00F745F1">
              <w:rPr>
                <w:b/>
              </w:rPr>
              <w:t>Marriage and civil partnership</w:t>
            </w:r>
          </w:p>
        </w:tc>
        <w:tc>
          <w:tcPr>
            <w:tcW w:w="2457" w:type="dxa"/>
            <w:shd w:val="clear" w:color="auto" w:fill="auto"/>
          </w:tcPr>
          <w:p w14:paraId="337E4612" w14:textId="77777777" w:rsidR="001137FB" w:rsidRPr="00F745F1" w:rsidRDefault="001137FB" w:rsidP="00B87BBD">
            <w:pPr>
              <w:spacing w:before="60" w:after="60"/>
            </w:pPr>
            <w:r w:rsidRPr="00C6309D">
              <w:t>None</w:t>
            </w:r>
          </w:p>
        </w:tc>
        <w:tc>
          <w:tcPr>
            <w:tcW w:w="3348" w:type="dxa"/>
            <w:shd w:val="clear" w:color="auto" w:fill="auto"/>
          </w:tcPr>
          <w:p w14:paraId="0E52EAA6" w14:textId="26528564" w:rsidR="001137FB" w:rsidRPr="00F745F1" w:rsidRDefault="001137FB" w:rsidP="00B87BBD">
            <w:pPr>
              <w:spacing w:before="60" w:after="60"/>
            </w:pPr>
            <w:r w:rsidRPr="001A3F90">
              <w:t>N</w:t>
            </w:r>
            <w:r>
              <w:t>eutral</w:t>
            </w:r>
          </w:p>
        </w:tc>
      </w:tr>
      <w:tr w:rsidR="001137FB" w:rsidRPr="00FB769F" w14:paraId="7B181A73" w14:textId="77777777" w:rsidTr="00B87BBD">
        <w:trPr>
          <w:trHeight w:val="20"/>
        </w:trPr>
        <w:tc>
          <w:tcPr>
            <w:tcW w:w="3681" w:type="dxa"/>
          </w:tcPr>
          <w:p w14:paraId="1570E2FF" w14:textId="77777777" w:rsidR="001137FB" w:rsidRPr="00F745F1" w:rsidRDefault="001137FB" w:rsidP="00B87BBD">
            <w:pPr>
              <w:spacing w:before="60" w:after="60"/>
              <w:rPr>
                <w:b/>
              </w:rPr>
            </w:pPr>
            <w:r w:rsidRPr="00F745F1">
              <w:rPr>
                <w:b/>
              </w:rPr>
              <w:t>Pregnancy and maternity</w:t>
            </w:r>
          </w:p>
        </w:tc>
        <w:tc>
          <w:tcPr>
            <w:tcW w:w="2457" w:type="dxa"/>
            <w:shd w:val="clear" w:color="auto" w:fill="auto"/>
          </w:tcPr>
          <w:p w14:paraId="26C11CEA" w14:textId="77777777" w:rsidR="001137FB" w:rsidRPr="00F745F1" w:rsidRDefault="001137FB" w:rsidP="00B87BBD">
            <w:pPr>
              <w:spacing w:before="60" w:after="60"/>
            </w:pPr>
            <w:r w:rsidRPr="00C6309D">
              <w:t>None</w:t>
            </w:r>
          </w:p>
        </w:tc>
        <w:tc>
          <w:tcPr>
            <w:tcW w:w="3348" w:type="dxa"/>
            <w:shd w:val="clear" w:color="auto" w:fill="auto"/>
          </w:tcPr>
          <w:p w14:paraId="597F1366" w14:textId="52F8396A" w:rsidR="001137FB" w:rsidRPr="00F745F1" w:rsidRDefault="001137FB" w:rsidP="00B87BBD">
            <w:pPr>
              <w:spacing w:before="60" w:after="60"/>
            </w:pPr>
            <w:r w:rsidRPr="001A3F90">
              <w:t>N</w:t>
            </w:r>
            <w:r>
              <w:t>eutral</w:t>
            </w:r>
          </w:p>
        </w:tc>
      </w:tr>
      <w:tr w:rsidR="001137FB" w:rsidRPr="00FB769F" w14:paraId="192FDC19" w14:textId="77777777" w:rsidTr="00B87BBD">
        <w:trPr>
          <w:trHeight w:val="20"/>
        </w:trPr>
        <w:tc>
          <w:tcPr>
            <w:tcW w:w="3681" w:type="dxa"/>
          </w:tcPr>
          <w:p w14:paraId="66BBAB48" w14:textId="77777777" w:rsidR="001137FB" w:rsidRPr="00F745F1" w:rsidRDefault="001137FB" w:rsidP="00B87BBD">
            <w:pPr>
              <w:spacing w:before="60" w:after="60"/>
              <w:rPr>
                <w:b/>
              </w:rPr>
            </w:pPr>
            <w:r w:rsidRPr="00F745F1">
              <w:rPr>
                <w:b/>
              </w:rPr>
              <w:t>Race</w:t>
            </w:r>
          </w:p>
        </w:tc>
        <w:tc>
          <w:tcPr>
            <w:tcW w:w="2457" w:type="dxa"/>
            <w:shd w:val="clear" w:color="auto" w:fill="auto"/>
          </w:tcPr>
          <w:p w14:paraId="48A6CC96" w14:textId="77777777" w:rsidR="001137FB" w:rsidRPr="00F745F1" w:rsidRDefault="001137FB" w:rsidP="00B87BBD">
            <w:pPr>
              <w:spacing w:before="60" w:after="60"/>
            </w:pPr>
            <w:r w:rsidRPr="00C6309D">
              <w:t>None</w:t>
            </w:r>
          </w:p>
        </w:tc>
        <w:tc>
          <w:tcPr>
            <w:tcW w:w="3348" w:type="dxa"/>
            <w:shd w:val="clear" w:color="auto" w:fill="auto"/>
          </w:tcPr>
          <w:p w14:paraId="420371C1" w14:textId="27B9A601" w:rsidR="001137FB" w:rsidRPr="00F745F1" w:rsidRDefault="001137FB" w:rsidP="00B87BBD">
            <w:pPr>
              <w:spacing w:before="60" w:after="60"/>
            </w:pPr>
            <w:r w:rsidRPr="001A3F90">
              <w:t>N</w:t>
            </w:r>
            <w:r>
              <w:t>eutral</w:t>
            </w:r>
          </w:p>
        </w:tc>
      </w:tr>
      <w:tr w:rsidR="001137FB" w:rsidRPr="00FB769F" w14:paraId="4F6656EB" w14:textId="77777777" w:rsidTr="00B87BBD">
        <w:trPr>
          <w:trHeight w:val="20"/>
        </w:trPr>
        <w:tc>
          <w:tcPr>
            <w:tcW w:w="3681" w:type="dxa"/>
          </w:tcPr>
          <w:p w14:paraId="5C1B5C89" w14:textId="77777777" w:rsidR="001137FB" w:rsidRPr="00F745F1" w:rsidRDefault="001137FB" w:rsidP="00B87BBD">
            <w:pPr>
              <w:spacing w:before="60" w:after="60"/>
              <w:rPr>
                <w:b/>
              </w:rPr>
            </w:pPr>
            <w:r w:rsidRPr="00F745F1">
              <w:rPr>
                <w:b/>
              </w:rPr>
              <w:t>Religion or belief</w:t>
            </w:r>
          </w:p>
        </w:tc>
        <w:tc>
          <w:tcPr>
            <w:tcW w:w="2457" w:type="dxa"/>
            <w:shd w:val="clear" w:color="auto" w:fill="auto"/>
          </w:tcPr>
          <w:p w14:paraId="20B9C91D" w14:textId="55753231" w:rsidR="001137FB" w:rsidRPr="00F745F1" w:rsidRDefault="001137FB" w:rsidP="00B87BBD">
            <w:pPr>
              <w:spacing w:before="60" w:after="60"/>
            </w:pPr>
            <w:r>
              <w:t>None</w:t>
            </w:r>
          </w:p>
        </w:tc>
        <w:tc>
          <w:tcPr>
            <w:tcW w:w="3348" w:type="dxa"/>
            <w:shd w:val="clear" w:color="auto" w:fill="auto"/>
          </w:tcPr>
          <w:p w14:paraId="1265331B" w14:textId="746751DB" w:rsidR="001137FB" w:rsidRPr="00F745F1" w:rsidRDefault="001137FB" w:rsidP="00B87BBD">
            <w:pPr>
              <w:spacing w:before="60" w:after="60"/>
            </w:pPr>
            <w:r w:rsidRPr="001A3F90">
              <w:t>N</w:t>
            </w:r>
            <w:r>
              <w:t>eutral</w:t>
            </w:r>
          </w:p>
        </w:tc>
      </w:tr>
      <w:tr w:rsidR="001137FB" w:rsidRPr="00FB769F" w14:paraId="1E35D337" w14:textId="77777777" w:rsidTr="00B87BBD">
        <w:trPr>
          <w:trHeight w:val="20"/>
        </w:trPr>
        <w:tc>
          <w:tcPr>
            <w:tcW w:w="3681" w:type="dxa"/>
          </w:tcPr>
          <w:p w14:paraId="2421537C" w14:textId="77777777" w:rsidR="001137FB" w:rsidRPr="00F745F1" w:rsidRDefault="001137FB" w:rsidP="00B87BBD">
            <w:pPr>
              <w:spacing w:before="60" w:after="60"/>
              <w:rPr>
                <w:b/>
              </w:rPr>
            </w:pPr>
            <w:r w:rsidRPr="00F745F1">
              <w:rPr>
                <w:b/>
              </w:rPr>
              <w:t>Sex</w:t>
            </w:r>
          </w:p>
        </w:tc>
        <w:tc>
          <w:tcPr>
            <w:tcW w:w="2457" w:type="dxa"/>
            <w:shd w:val="clear" w:color="auto" w:fill="auto"/>
          </w:tcPr>
          <w:p w14:paraId="2D8C74EB" w14:textId="77777777" w:rsidR="001137FB" w:rsidRPr="00F745F1" w:rsidRDefault="001137FB" w:rsidP="00B87BBD">
            <w:pPr>
              <w:spacing w:before="60" w:after="60"/>
            </w:pPr>
            <w:r w:rsidRPr="00C6309D">
              <w:t>None</w:t>
            </w:r>
          </w:p>
        </w:tc>
        <w:tc>
          <w:tcPr>
            <w:tcW w:w="3348" w:type="dxa"/>
            <w:shd w:val="clear" w:color="auto" w:fill="auto"/>
          </w:tcPr>
          <w:p w14:paraId="006E300B" w14:textId="62A9919F" w:rsidR="001137FB" w:rsidRPr="00F745F1" w:rsidRDefault="001137FB" w:rsidP="00B87BBD">
            <w:pPr>
              <w:spacing w:before="60" w:after="60"/>
            </w:pPr>
            <w:r w:rsidRPr="001A3F90">
              <w:t>N</w:t>
            </w:r>
            <w:r>
              <w:t>eutral</w:t>
            </w:r>
          </w:p>
        </w:tc>
      </w:tr>
      <w:tr w:rsidR="001137FB" w:rsidRPr="00FB769F" w14:paraId="2ED355B5" w14:textId="77777777" w:rsidTr="00B87BBD">
        <w:trPr>
          <w:trHeight w:val="76"/>
        </w:trPr>
        <w:tc>
          <w:tcPr>
            <w:tcW w:w="3681" w:type="dxa"/>
          </w:tcPr>
          <w:p w14:paraId="11F4A7D2" w14:textId="77777777" w:rsidR="001137FB" w:rsidRPr="00F745F1" w:rsidRDefault="001137FB" w:rsidP="00B87BBD">
            <w:pPr>
              <w:spacing w:before="60" w:after="60"/>
              <w:rPr>
                <w:b/>
              </w:rPr>
            </w:pPr>
            <w:r w:rsidRPr="00F745F1">
              <w:rPr>
                <w:b/>
              </w:rPr>
              <w:lastRenderedPageBreak/>
              <w:t>Sexual orientation</w:t>
            </w:r>
          </w:p>
        </w:tc>
        <w:tc>
          <w:tcPr>
            <w:tcW w:w="2457" w:type="dxa"/>
            <w:shd w:val="clear" w:color="auto" w:fill="auto"/>
          </w:tcPr>
          <w:p w14:paraId="71D6E32A" w14:textId="77777777" w:rsidR="001137FB" w:rsidRPr="00F745F1" w:rsidRDefault="001137FB" w:rsidP="00B87BBD">
            <w:pPr>
              <w:spacing w:before="60" w:after="60"/>
            </w:pPr>
            <w:r w:rsidRPr="00C6309D">
              <w:t>None</w:t>
            </w:r>
          </w:p>
        </w:tc>
        <w:tc>
          <w:tcPr>
            <w:tcW w:w="3348" w:type="dxa"/>
            <w:shd w:val="clear" w:color="auto" w:fill="auto"/>
          </w:tcPr>
          <w:p w14:paraId="5BD5A978" w14:textId="3F7FB5AD" w:rsidR="001137FB" w:rsidRPr="00F745F1" w:rsidRDefault="001137FB" w:rsidP="00B87BBD">
            <w:pPr>
              <w:spacing w:before="60" w:after="60"/>
            </w:pPr>
            <w:r w:rsidRPr="001A3F90">
              <w:t>N</w:t>
            </w:r>
            <w:r>
              <w:t>eutral</w:t>
            </w:r>
          </w:p>
        </w:tc>
      </w:tr>
    </w:tbl>
    <w:p w14:paraId="7C8BD6EB" w14:textId="77777777" w:rsidR="001137FB" w:rsidRPr="00FB769F" w:rsidRDefault="001137FB" w:rsidP="001137FB"/>
    <w:p w14:paraId="1BC0F13B" w14:textId="77777777" w:rsidR="001137FB" w:rsidRDefault="001137FB" w:rsidP="001137FB">
      <w:pPr>
        <w:rPr>
          <w:rFonts w:eastAsia="Times New Roman"/>
        </w:rPr>
      </w:pPr>
      <w:r w:rsidRPr="00FB769F">
        <w:rPr>
          <w:rFonts w:eastAsia="Times New Roman"/>
        </w:rPr>
        <w:t>If there is insufficient evidence to make a decision about the impact of the policy it may be necessary to consult with members of protected characteristic groups to establish how best to meet their needs or to overcome barriers.</w:t>
      </w:r>
    </w:p>
    <w:p w14:paraId="53F321A6" w14:textId="77777777" w:rsidR="001137FB" w:rsidRDefault="001137FB" w:rsidP="001137FB">
      <w:pPr>
        <w:rPr>
          <w:rFonts w:eastAsia="Times New Roman"/>
        </w:rPr>
      </w:pPr>
    </w:p>
    <w:p w14:paraId="315EC681" w14:textId="77777777" w:rsidR="001137FB" w:rsidRPr="001B5DE0" w:rsidRDefault="001137FB" w:rsidP="001137FB">
      <w:pPr>
        <w:rPr>
          <w:b/>
        </w:rPr>
      </w:pPr>
      <w:r w:rsidRPr="001B5DE0">
        <w:rPr>
          <w:b/>
        </w:rPr>
        <w:t>Has there been specific consultation on this policy?</w:t>
      </w:r>
    </w:p>
    <w:p w14:paraId="1BF21D9B" w14:textId="77777777" w:rsidR="001137FB" w:rsidRDefault="001137FB" w:rsidP="001137FB">
      <w:r>
        <w:t>No</w:t>
      </w:r>
    </w:p>
    <w:p w14:paraId="32667583" w14:textId="77777777" w:rsidR="001137FB" w:rsidRPr="0071472D" w:rsidRDefault="001137FB" w:rsidP="001137FB"/>
    <w:p w14:paraId="1FB6F0E4" w14:textId="77777777" w:rsidR="001137FB" w:rsidRPr="001B5DE0" w:rsidRDefault="001137FB" w:rsidP="001137FB">
      <w:pPr>
        <w:rPr>
          <w:b/>
        </w:rPr>
      </w:pPr>
      <w:r w:rsidRPr="001B5DE0">
        <w:rPr>
          <w:b/>
        </w:rPr>
        <w:t>Did the consultation analysis reveal any difference in views across the protected characteristics?</w:t>
      </w:r>
    </w:p>
    <w:p w14:paraId="48442D8C" w14:textId="77777777" w:rsidR="001137FB" w:rsidRDefault="001137FB" w:rsidP="001137FB">
      <w:r>
        <w:t>N/A</w:t>
      </w:r>
    </w:p>
    <w:p w14:paraId="7A944213" w14:textId="77777777" w:rsidR="001137FB" w:rsidRPr="0071472D" w:rsidRDefault="001137FB" w:rsidP="001137FB"/>
    <w:p w14:paraId="24B7DA86" w14:textId="77777777" w:rsidR="001137FB" w:rsidRDefault="001137FB" w:rsidP="001137FB">
      <w:pPr>
        <w:rPr>
          <w:b/>
        </w:rPr>
      </w:pPr>
      <w:r w:rsidRPr="001B5DE0">
        <w:rPr>
          <w:b/>
        </w:rPr>
        <w:t>Mitigating negative impact:</w:t>
      </w:r>
    </w:p>
    <w:p w14:paraId="41E1C327" w14:textId="77777777" w:rsidR="001137FB" w:rsidRDefault="001137FB" w:rsidP="001137FB">
      <w:pPr>
        <w:rPr>
          <w:b/>
        </w:rPr>
      </w:pPr>
      <w:r>
        <w:rPr>
          <w:rFonts w:cs="Arial"/>
          <w:lang w:eastAsia="en-US"/>
        </w:rPr>
        <w:t>Not applicable – no negative impact identified</w:t>
      </w:r>
      <w:r w:rsidRPr="001B5DE0">
        <w:rPr>
          <w:b/>
        </w:rPr>
        <w:t xml:space="preserve"> </w:t>
      </w:r>
    </w:p>
    <w:p w14:paraId="1C20BC08" w14:textId="77777777" w:rsidR="001137FB" w:rsidRDefault="001137FB" w:rsidP="001137FB">
      <w:pPr>
        <w:rPr>
          <w:b/>
        </w:rPr>
      </w:pPr>
    </w:p>
    <w:p w14:paraId="6A47B207" w14:textId="2E50CE68" w:rsidR="00801FD2" w:rsidRDefault="001137FB" w:rsidP="006F7C0C">
      <w:r w:rsidRPr="001B5DE0">
        <w:rPr>
          <w:b/>
        </w:rPr>
        <w:t>Conclusion:</w:t>
      </w:r>
      <w:r w:rsidR="000D4731">
        <w:rPr>
          <w:b/>
        </w:rPr>
        <w:t xml:space="preserve"> </w:t>
      </w:r>
      <w:r w:rsidR="000D4731" w:rsidRPr="000D4731">
        <w:t xml:space="preserve">This policy </w:t>
      </w:r>
      <w:r w:rsidR="000D4731">
        <w:t>does not result in any unlawful discrimination against individuals with protected characteristics.</w:t>
      </w:r>
      <w:bookmarkEnd w:id="75"/>
      <w:bookmarkEnd w:id="76"/>
      <w:r w:rsidR="006F7C0C">
        <w:t xml:space="preserve"> </w:t>
      </w:r>
    </w:p>
    <w:p w14:paraId="7FE58702" w14:textId="4DFCF97A" w:rsidR="00C73037" w:rsidRDefault="00C73037">
      <w:r>
        <w:br w:type="page"/>
      </w:r>
    </w:p>
    <w:p w14:paraId="30187099" w14:textId="6ABA2745" w:rsidR="00C73037" w:rsidRDefault="00C73037" w:rsidP="00C73037">
      <w:pPr>
        <w:pStyle w:val="Policyheader"/>
        <w:numPr>
          <w:ilvl w:val="0"/>
          <w:numId w:val="0"/>
        </w:numPr>
      </w:pPr>
      <w:bookmarkStart w:id="83" w:name="_Toc523986736"/>
      <w:bookmarkStart w:id="84" w:name="_Toc523989254"/>
      <w:bookmarkStart w:id="85" w:name="_Toc103767679"/>
      <w:bookmarkStart w:id="86" w:name="_Toc176527345"/>
      <w:r w:rsidRPr="00C54512">
        <w:lastRenderedPageBreak/>
        <w:t xml:space="preserve">Appendix </w:t>
      </w:r>
      <w:r w:rsidR="00ED760A">
        <w:t>D</w:t>
      </w:r>
      <w:r w:rsidR="00ED760A" w:rsidRPr="00C54512">
        <w:t xml:space="preserve"> </w:t>
      </w:r>
      <w:r w:rsidRPr="00C54512">
        <w:t xml:space="preserve">– </w:t>
      </w:r>
      <w:bookmarkEnd w:id="83"/>
      <w:bookmarkEnd w:id="84"/>
      <w:r w:rsidRPr="00C73037">
        <w:t>Policy Implementation Plan</w:t>
      </w:r>
      <w:bookmarkEnd w:id="85"/>
      <w:bookmarkEnd w:id="86"/>
    </w:p>
    <w:p w14:paraId="1C3EE6F0" w14:textId="622EA9A5" w:rsidR="001137FB" w:rsidRDefault="001137FB" w:rsidP="001137FB">
      <w:r w:rsidRPr="000C09A7">
        <w:rPr>
          <w:b/>
        </w:rPr>
        <w:t>Policy Title:</w:t>
      </w:r>
      <w:r>
        <w:rPr>
          <w:b/>
        </w:rPr>
        <w:t xml:space="preserve"> </w:t>
      </w:r>
      <w:r w:rsidRPr="003E607E">
        <w:rPr>
          <w:rFonts w:cs="Arial"/>
        </w:rPr>
        <w:t>Freedom of Information Act 2000 and Environmental Information Regulations 2004 Policy</w:t>
      </w:r>
      <w:r w:rsidR="006930D7">
        <w:rPr>
          <w:rFonts w:cs="Arial"/>
        </w:rPr>
        <w:t xml:space="preserve"> (v7)</w:t>
      </w:r>
    </w:p>
    <w:p w14:paraId="342E5417" w14:textId="77777777" w:rsidR="001137FB" w:rsidRDefault="001137FB" w:rsidP="001137FB"/>
    <w:p w14:paraId="705CB418" w14:textId="46083AEC" w:rsidR="001137FB" w:rsidRDefault="001137FB" w:rsidP="001137FB">
      <w:r w:rsidRPr="000C09A7">
        <w:rPr>
          <w:b/>
        </w:rPr>
        <w:t>Implementation Lead:</w:t>
      </w:r>
      <w:r>
        <w:rPr>
          <w:b/>
        </w:rPr>
        <w:t xml:space="preserve"> </w:t>
      </w:r>
      <w:r>
        <w:rPr>
          <w:b/>
        </w:rPr>
        <w:tab/>
      </w:r>
      <w:r>
        <w:rPr>
          <w:rFonts w:cs="Arial"/>
        </w:rPr>
        <w:t>Policy &amp; FOI Manager</w:t>
      </w:r>
    </w:p>
    <w:p w14:paraId="2F75F056" w14:textId="77777777" w:rsidR="001137FB" w:rsidRDefault="001137FB" w:rsidP="001137FB"/>
    <w:p w14:paraId="5A91D135" w14:textId="4646D094" w:rsidR="001137FB" w:rsidRDefault="001137FB" w:rsidP="001137FB">
      <w:r w:rsidRPr="000C09A7">
        <w:rPr>
          <w:b/>
        </w:rPr>
        <w:t>Staff Groups affected by policy:</w:t>
      </w:r>
      <w:r>
        <w:rPr>
          <w:b/>
        </w:rPr>
        <w:t xml:space="preserve"> </w:t>
      </w:r>
      <w:r>
        <w:rPr>
          <w:rFonts w:cs="Arial"/>
        </w:rPr>
        <w:t>All Corporate and Care Groups</w:t>
      </w:r>
    </w:p>
    <w:p w14:paraId="2713C069" w14:textId="77777777" w:rsidR="001137FB" w:rsidRPr="00743961" w:rsidRDefault="001137FB" w:rsidP="001137FB"/>
    <w:p w14:paraId="3BC95409" w14:textId="17FE205C" w:rsidR="001137FB" w:rsidRDefault="001137FB" w:rsidP="001137FB">
      <w:r w:rsidRPr="00832DB4">
        <w:rPr>
          <w:b/>
        </w:rPr>
        <w:t>Subsidiary Companies affected by policy:</w:t>
      </w:r>
      <w:r>
        <w:rPr>
          <w:b/>
        </w:rPr>
        <w:t xml:space="preserve"> </w:t>
      </w:r>
      <w:r>
        <w:t>All who hold information on behalf of the Trust</w:t>
      </w:r>
    </w:p>
    <w:p w14:paraId="35A9B995" w14:textId="77777777" w:rsidR="001137FB" w:rsidRDefault="001137FB" w:rsidP="001137FB">
      <w:pPr>
        <w:rPr>
          <w:b/>
        </w:rPr>
      </w:pPr>
    </w:p>
    <w:p w14:paraId="4B415A93" w14:textId="77777777" w:rsidR="001137FB" w:rsidRDefault="001137FB" w:rsidP="001137FB">
      <w:r w:rsidRPr="000C09A7">
        <w:rPr>
          <w:b/>
        </w:rPr>
        <w:t>Detail changes to current processes or practice:</w:t>
      </w:r>
    </w:p>
    <w:p w14:paraId="227605D7" w14:textId="2CB19AD4" w:rsidR="001137FB" w:rsidRDefault="001137FB" w:rsidP="001137FB">
      <w:pPr>
        <w:rPr>
          <w:rFonts w:cs="Arial"/>
        </w:rPr>
      </w:pPr>
      <w:r>
        <w:rPr>
          <w:rFonts w:cs="Arial"/>
        </w:rPr>
        <w:t>Responsibility for redaction sits with the person(s) providing the information; FOI Team to check completeness of redaction. N</w:t>
      </w:r>
      <w:r w:rsidR="006930D7">
        <w:rPr>
          <w:rFonts w:cs="Arial"/>
        </w:rPr>
        <w:t>o</w:t>
      </w:r>
      <w:r>
        <w:rPr>
          <w:rFonts w:cs="Arial"/>
        </w:rPr>
        <w:t xml:space="preserve"> other changes to process.</w:t>
      </w:r>
    </w:p>
    <w:p w14:paraId="6B3D02A8" w14:textId="77777777" w:rsidR="001137FB" w:rsidRDefault="001137FB" w:rsidP="001137FB"/>
    <w:p w14:paraId="24CAD3BC" w14:textId="77777777" w:rsidR="001137FB" w:rsidRDefault="001137FB" w:rsidP="001137FB">
      <w:r w:rsidRPr="000C09A7">
        <w:rPr>
          <w:b/>
        </w:rPr>
        <w:t>Specify any training requirements:</w:t>
      </w:r>
    </w:p>
    <w:p w14:paraId="1D656F14" w14:textId="399509DB" w:rsidR="001137FB" w:rsidRDefault="001137FB" w:rsidP="001137FB">
      <w:pPr>
        <w:rPr>
          <w:rFonts w:cs="Arial"/>
        </w:rPr>
      </w:pPr>
      <w:r>
        <w:rPr>
          <w:rFonts w:cs="Arial"/>
        </w:rPr>
        <w:t>No specific training required</w:t>
      </w:r>
    </w:p>
    <w:p w14:paraId="25A7E8AF" w14:textId="77777777" w:rsidR="001137FB" w:rsidRDefault="001137FB" w:rsidP="001137FB"/>
    <w:p w14:paraId="5763212A" w14:textId="77777777" w:rsidR="001137FB" w:rsidRDefault="001137FB" w:rsidP="001137FB">
      <w:r w:rsidRPr="000C09A7">
        <w:rPr>
          <w:b/>
        </w:rPr>
        <w:t>How will policy changes be communicated to staff groups</w:t>
      </w:r>
      <w:r>
        <w:rPr>
          <w:b/>
        </w:rPr>
        <w:t>/ subsidiary companies</w:t>
      </w:r>
      <w:r w:rsidRPr="000C09A7">
        <w:rPr>
          <w:b/>
        </w:rPr>
        <w:t>?</w:t>
      </w:r>
    </w:p>
    <w:p w14:paraId="679BCFBF" w14:textId="5FEE8ACF" w:rsidR="00C73037" w:rsidRPr="00C54512" w:rsidRDefault="001137FB" w:rsidP="00C73037">
      <w:pPr>
        <w:rPr>
          <w:rFonts w:cs="Arial"/>
          <w:szCs w:val="22"/>
        </w:rPr>
      </w:pPr>
      <w:r>
        <w:rPr>
          <w:rFonts w:cs="Arial"/>
        </w:rPr>
        <w:t>Link to policy to be sent to all FOI Leads and Execs with reminder to ensure FOI email address in included in out of office replies (to be cascaded).</w:t>
      </w:r>
      <w:r w:rsidR="006F7C0C" w:rsidRPr="00C54512">
        <w:rPr>
          <w:rFonts w:cs="Arial"/>
          <w:szCs w:val="22"/>
        </w:rPr>
        <w:t xml:space="preserve"> </w:t>
      </w:r>
    </w:p>
    <w:p w14:paraId="7CFB97C1" w14:textId="77777777" w:rsidR="00C73037" w:rsidRPr="00E253E3" w:rsidRDefault="00C73037" w:rsidP="0026425C">
      <w:pPr>
        <w:spacing w:after="360"/>
        <w:ind w:right="-23"/>
      </w:pPr>
    </w:p>
    <w:sectPr w:rsidR="00C73037" w:rsidRPr="00E253E3" w:rsidSect="006F7C0C">
      <w:headerReference w:type="default" r:id="rId24"/>
      <w:footerReference w:type="default" r:id="rId25"/>
      <w:footerReference w:type="first" r:id="rId26"/>
      <w:pgSz w:w="11906" w:h="16838" w:code="9"/>
      <w:pgMar w:top="1135" w:right="991" w:bottom="1440" w:left="1440" w:header="697" w:footer="14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F">
      <wne:acd wne:acdName="acd0"/>
    </wne:keymap>
  </wne:keymaps>
  <wne:toolbars>
    <wne:acdManifest>
      <wne:acdEntry wne:acdName="acd0"/>
    </wne:acdManifest>
  </wne:toolbars>
  <wne:acds>
    <wne:acd wne:argValue="AgBCAHUAbABsAGUAdAAgAHMAdAB5AGwAZQAgAGYAbwByACAAcABvAGwAaQBjAGkAZQBz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AA5F" w14:textId="77777777" w:rsidR="00E74BF5" w:rsidRDefault="00E74BF5">
      <w:r>
        <w:separator/>
      </w:r>
    </w:p>
  </w:endnote>
  <w:endnote w:type="continuationSeparator" w:id="0">
    <w:p w14:paraId="678760A2" w14:textId="77777777" w:rsidR="00E74BF5" w:rsidRDefault="00E7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85C8" w14:textId="2B8D4917" w:rsidR="006F7C0C" w:rsidRPr="00C900D2" w:rsidRDefault="006F7C0C" w:rsidP="000310CC">
    <w:pPr>
      <w:pStyle w:val="Footer"/>
      <w:rPr>
        <w:rFonts w:cs="Arial"/>
        <w:sz w:val="16"/>
        <w:szCs w:val="16"/>
      </w:rPr>
    </w:pPr>
    <w:r w:rsidRPr="00C900D2">
      <w:rPr>
        <w:rFonts w:cs="Arial"/>
        <w:sz w:val="16"/>
        <w:szCs w:val="16"/>
      </w:rPr>
      <w:t xml:space="preserve">Page </w:t>
    </w:r>
    <w:r w:rsidRPr="00C900D2">
      <w:rPr>
        <w:rFonts w:cs="Arial"/>
        <w:b/>
        <w:bCs/>
        <w:sz w:val="16"/>
        <w:szCs w:val="16"/>
      </w:rPr>
      <w:fldChar w:fldCharType="begin"/>
    </w:r>
    <w:r w:rsidRPr="00C900D2">
      <w:rPr>
        <w:rFonts w:cs="Arial"/>
        <w:b/>
        <w:bCs/>
        <w:sz w:val="16"/>
        <w:szCs w:val="16"/>
      </w:rPr>
      <w:instrText xml:space="preserve"> PAGE </w:instrText>
    </w:r>
    <w:r w:rsidRPr="00C900D2">
      <w:rPr>
        <w:rFonts w:cs="Arial"/>
        <w:b/>
        <w:bCs/>
        <w:sz w:val="16"/>
        <w:szCs w:val="16"/>
      </w:rPr>
      <w:fldChar w:fldCharType="separate"/>
    </w:r>
    <w:r>
      <w:rPr>
        <w:rFonts w:cs="Arial"/>
        <w:b/>
        <w:bCs/>
        <w:noProof/>
        <w:sz w:val="16"/>
        <w:szCs w:val="16"/>
      </w:rPr>
      <w:t>29</w:t>
    </w:r>
    <w:r w:rsidRPr="00C900D2">
      <w:rPr>
        <w:rFonts w:cs="Arial"/>
        <w:b/>
        <w:bCs/>
        <w:sz w:val="16"/>
        <w:szCs w:val="16"/>
      </w:rPr>
      <w:fldChar w:fldCharType="end"/>
    </w:r>
    <w:r w:rsidRPr="00C900D2">
      <w:rPr>
        <w:rFonts w:cs="Arial"/>
        <w:sz w:val="16"/>
        <w:szCs w:val="16"/>
      </w:rPr>
      <w:t xml:space="preserve"> of </w:t>
    </w:r>
    <w:r w:rsidRPr="00C900D2">
      <w:rPr>
        <w:rFonts w:cs="Arial"/>
        <w:b/>
        <w:bCs/>
        <w:sz w:val="16"/>
        <w:szCs w:val="16"/>
      </w:rPr>
      <w:fldChar w:fldCharType="begin"/>
    </w:r>
    <w:r w:rsidRPr="00C900D2">
      <w:rPr>
        <w:rFonts w:cs="Arial"/>
        <w:b/>
        <w:bCs/>
        <w:sz w:val="16"/>
        <w:szCs w:val="16"/>
      </w:rPr>
      <w:instrText xml:space="preserve"> NUMPAGES  </w:instrText>
    </w:r>
    <w:r w:rsidRPr="00C900D2">
      <w:rPr>
        <w:rFonts w:cs="Arial"/>
        <w:b/>
        <w:bCs/>
        <w:sz w:val="16"/>
        <w:szCs w:val="16"/>
      </w:rPr>
      <w:fldChar w:fldCharType="separate"/>
    </w:r>
    <w:r>
      <w:rPr>
        <w:rFonts w:cs="Arial"/>
        <w:b/>
        <w:bCs/>
        <w:noProof/>
        <w:sz w:val="16"/>
        <w:szCs w:val="16"/>
      </w:rPr>
      <w:t>29</w:t>
    </w:r>
    <w:r w:rsidRPr="00C900D2">
      <w:rPr>
        <w:rFonts w:cs="Arial"/>
        <w:b/>
        <w:bCs/>
        <w:sz w:val="16"/>
        <w:szCs w:val="16"/>
      </w:rPr>
      <w:fldChar w:fldCharType="end"/>
    </w:r>
    <w:r>
      <w:rPr>
        <w:rFonts w:cs="Arial"/>
        <w:sz w:val="18"/>
        <w:szCs w:val="18"/>
      </w:rPr>
      <w:t xml:space="preserve"> </w:t>
    </w:r>
  </w:p>
  <w:p w14:paraId="65E31B8D" w14:textId="77777777" w:rsidR="006F7C0C" w:rsidRDefault="006F7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562D" w14:textId="77777777" w:rsidR="006F7C0C" w:rsidRPr="008473AC" w:rsidRDefault="006F7C0C" w:rsidP="008473AC">
    <w:pPr>
      <w:pStyle w:val="Footer"/>
      <w:jc w:val="right"/>
      <w:rPr>
        <w:sz w:val="18"/>
        <w:szCs w:val="18"/>
      </w:rPr>
    </w:pPr>
    <w:r w:rsidRPr="008473AC">
      <w:rPr>
        <w:noProof/>
        <w:sz w:val="18"/>
        <w:szCs w:val="18"/>
      </w:rPr>
      <w:drawing>
        <wp:inline distT="0" distB="0" distL="0" distR="0" wp14:anchorId="63AF617F" wp14:editId="4AB94D4D">
          <wp:extent cx="723900" cy="55245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inline>
      </w:drawing>
    </w:r>
    <w:r w:rsidRPr="008473AC" w:rsidDel="008716F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2513" w14:textId="77777777" w:rsidR="00E74BF5" w:rsidRDefault="00E74BF5">
      <w:r>
        <w:separator/>
      </w:r>
    </w:p>
  </w:footnote>
  <w:footnote w:type="continuationSeparator" w:id="0">
    <w:p w14:paraId="1018F73D" w14:textId="77777777" w:rsidR="00E74BF5" w:rsidRDefault="00E74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275A" w14:textId="77777777" w:rsidR="006F7C0C" w:rsidRDefault="006F7C0C" w:rsidP="00B2751E">
    <w:pPr>
      <w:pStyle w:val="Header"/>
      <w:jc w:val="right"/>
      <w:rPr>
        <w:rFonts w:cs="Arial"/>
        <w:sz w:val="18"/>
        <w:szCs w:val="18"/>
      </w:rPr>
    </w:pPr>
  </w:p>
  <w:p w14:paraId="4A9E9949" w14:textId="77777777" w:rsidR="006F7C0C" w:rsidRPr="007A66F6" w:rsidRDefault="006F7C0C" w:rsidP="00B2751E">
    <w:pPr>
      <w:pStyle w:val="Header"/>
      <w:jc w:val="right"/>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A97"/>
    <w:multiLevelType w:val="hybridMultilevel"/>
    <w:tmpl w:val="DE5AD30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AB72C9"/>
    <w:multiLevelType w:val="hybridMultilevel"/>
    <w:tmpl w:val="C6E85F6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33BB8"/>
    <w:multiLevelType w:val="hybridMultilevel"/>
    <w:tmpl w:val="990E1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B6EA0"/>
    <w:multiLevelType w:val="hybridMultilevel"/>
    <w:tmpl w:val="8EE0D1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B59D8"/>
    <w:multiLevelType w:val="multilevel"/>
    <w:tmpl w:val="0809001F"/>
    <w:styleLink w:val="PolicyBullet"/>
    <w:lvl w:ilvl="0">
      <w:start w:val="1"/>
      <w:numFmt w:val="decimal"/>
      <w:lvlText w:val="%1."/>
      <w:lvlJc w:val="left"/>
      <w:pPr>
        <w:ind w:left="360" w:hanging="360"/>
      </w:pPr>
      <w:rPr>
        <w:rFonts w:ascii="Arial" w:hAnsi="Arial" w:hint="default"/>
        <w:b w:val="0"/>
        <w:sz w:val="22"/>
      </w:rPr>
    </w:lvl>
    <w:lvl w:ilvl="1">
      <w:start w:val="1"/>
      <w:numFmt w:val="decimal"/>
      <w:lvlText w:val="%1.%2."/>
      <w:lvlJc w:val="left"/>
      <w:pPr>
        <w:ind w:left="432" w:hanging="432"/>
      </w:pPr>
      <w:rPr>
        <w:rFonts w:ascii="Arial" w:hAnsi="Arial"/>
        <w:b w:val="0"/>
        <w:bCs/>
        <w:sz w:val="22"/>
      </w:rPr>
    </w:lvl>
    <w:lvl w:ilvl="2">
      <w:start w:val="1"/>
      <w:numFmt w:val="decimal"/>
      <w:lvlText w:val="%1.%2.%3."/>
      <w:lvlJc w:val="left"/>
      <w:pPr>
        <w:ind w:left="504" w:hanging="504"/>
      </w:p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209DC"/>
    <w:multiLevelType w:val="hybridMultilevel"/>
    <w:tmpl w:val="D6C02D1C"/>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8C184A"/>
    <w:multiLevelType w:val="hybridMultilevel"/>
    <w:tmpl w:val="BF8CDA1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0EC84C42"/>
    <w:multiLevelType w:val="hybridMultilevel"/>
    <w:tmpl w:val="AA305E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0900E54"/>
    <w:multiLevelType w:val="hybridMultilevel"/>
    <w:tmpl w:val="DC52D842"/>
    <w:lvl w:ilvl="0" w:tplc="0DC21BBA">
      <w:start w:val="1"/>
      <w:numFmt w:val="decimal"/>
      <w:lvlText w:val="%1."/>
      <w:lvlJc w:val="left"/>
      <w:pPr>
        <w:tabs>
          <w:tab w:val="num" w:pos="1080"/>
        </w:tabs>
        <w:ind w:left="1080" w:hanging="720"/>
      </w:pPr>
      <w:rPr>
        <w:rFonts w:hint="default"/>
      </w:rPr>
    </w:lvl>
    <w:lvl w:ilvl="1" w:tplc="F75AEE9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5147B3"/>
    <w:multiLevelType w:val="hybridMultilevel"/>
    <w:tmpl w:val="9FE46AD8"/>
    <w:lvl w:ilvl="0" w:tplc="08090019">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189E1352"/>
    <w:multiLevelType w:val="hybridMultilevel"/>
    <w:tmpl w:val="B47213CE"/>
    <w:lvl w:ilvl="0" w:tplc="08090005">
      <w:start w:val="1"/>
      <w:numFmt w:val="bullet"/>
      <w:lvlText w:val=""/>
      <w:lvlJc w:val="left"/>
      <w:pPr>
        <w:tabs>
          <w:tab w:val="num" w:pos="1069"/>
        </w:tabs>
        <w:ind w:left="1069" w:hanging="360"/>
      </w:pPr>
      <w:rPr>
        <w:rFonts w:ascii="Wingdings" w:hAnsi="Wingdings"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195E5C05"/>
    <w:multiLevelType w:val="hybridMultilevel"/>
    <w:tmpl w:val="E4D0B1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36650"/>
    <w:multiLevelType w:val="multilevel"/>
    <w:tmpl w:val="CB286034"/>
    <w:lvl w:ilvl="0">
      <w:start w:val="5"/>
      <w:numFmt w:val="decimal"/>
      <w:lvlText w:val="%1"/>
      <w:lvlJc w:val="left"/>
      <w:pPr>
        <w:ind w:left="540" w:hanging="540"/>
      </w:pPr>
      <w:rPr>
        <w:rFonts w:cs="Arial" w:hint="default"/>
      </w:rPr>
    </w:lvl>
    <w:lvl w:ilvl="1">
      <w:start w:val="3"/>
      <w:numFmt w:val="decimal"/>
      <w:lvlText w:val="%1.%2"/>
      <w:lvlJc w:val="left"/>
      <w:pPr>
        <w:ind w:left="540" w:hanging="54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D073997"/>
    <w:multiLevelType w:val="hybridMultilevel"/>
    <w:tmpl w:val="3B244E2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D091D2E"/>
    <w:multiLevelType w:val="hybridMultilevel"/>
    <w:tmpl w:val="389AB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7C5F54"/>
    <w:multiLevelType w:val="multilevel"/>
    <w:tmpl w:val="26F84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6C50C7"/>
    <w:multiLevelType w:val="hybridMultilevel"/>
    <w:tmpl w:val="76D8BE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0551B02"/>
    <w:multiLevelType w:val="hybridMultilevel"/>
    <w:tmpl w:val="5980025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7716014"/>
    <w:multiLevelType w:val="hybridMultilevel"/>
    <w:tmpl w:val="58704A94"/>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9CB117C"/>
    <w:multiLevelType w:val="hybridMultilevel"/>
    <w:tmpl w:val="30FCB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5A1DB6"/>
    <w:multiLevelType w:val="multilevel"/>
    <w:tmpl w:val="BFB2882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497" w:hanging="50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E934F5"/>
    <w:multiLevelType w:val="hybridMultilevel"/>
    <w:tmpl w:val="CC3A7EA0"/>
    <w:lvl w:ilvl="0" w:tplc="1AF4553C">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377945"/>
    <w:multiLevelType w:val="hybridMultilevel"/>
    <w:tmpl w:val="228E2A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22A9F"/>
    <w:multiLevelType w:val="multilevel"/>
    <w:tmpl w:val="84B0C2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022B56"/>
    <w:multiLevelType w:val="hybridMultilevel"/>
    <w:tmpl w:val="63B486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49AE4BD3"/>
    <w:multiLevelType w:val="hybridMultilevel"/>
    <w:tmpl w:val="41AE0666"/>
    <w:lvl w:ilvl="0" w:tplc="5544A39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60B0C"/>
    <w:multiLevelType w:val="hybridMultilevel"/>
    <w:tmpl w:val="6FCC725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E671B2E"/>
    <w:multiLevelType w:val="hybridMultilevel"/>
    <w:tmpl w:val="5936DB9C"/>
    <w:lvl w:ilvl="0" w:tplc="B99875B0">
      <w:start w:val="5"/>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50F20B62"/>
    <w:multiLevelType w:val="hybridMultilevel"/>
    <w:tmpl w:val="9B00EAA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5AF58EB"/>
    <w:multiLevelType w:val="hybridMultilevel"/>
    <w:tmpl w:val="EF10B9A4"/>
    <w:lvl w:ilvl="0" w:tplc="A8EE4A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83E88"/>
    <w:multiLevelType w:val="hybridMultilevel"/>
    <w:tmpl w:val="45ECD88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9FA1D67"/>
    <w:multiLevelType w:val="hybridMultilevel"/>
    <w:tmpl w:val="63344382"/>
    <w:lvl w:ilvl="0" w:tplc="4498C74A">
      <w:start w:val="1"/>
      <w:numFmt w:val="bullet"/>
      <w:lvlText w:val="o"/>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B1A9E"/>
    <w:multiLevelType w:val="multilevel"/>
    <w:tmpl w:val="8842EF64"/>
    <w:lvl w:ilvl="0">
      <w:start w:val="5"/>
      <w:numFmt w:val="decimal"/>
      <w:lvlText w:val="%1"/>
      <w:lvlJc w:val="left"/>
      <w:pPr>
        <w:ind w:left="540" w:hanging="540"/>
      </w:pPr>
      <w:rPr>
        <w:rFonts w:cs="Arial" w:hint="default"/>
        <w:b w:val="0"/>
        <w:color w:val="000000"/>
      </w:rPr>
    </w:lvl>
    <w:lvl w:ilvl="1">
      <w:start w:val="2"/>
      <w:numFmt w:val="decimal"/>
      <w:lvlText w:val="%1.%2"/>
      <w:lvlJc w:val="left"/>
      <w:pPr>
        <w:ind w:left="540" w:hanging="540"/>
      </w:pPr>
      <w:rPr>
        <w:rFonts w:cs="Arial" w:hint="default"/>
        <w:b w:val="0"/>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34" w15:restartNumberingAfterBreak="0">
    <w:nsid w:val="5C9B79B5"/>
    <w:multiLevelType w:val="hybridMultilevel"/>
    <w:tmpl w:val="E8A0D2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770421"/>
    <w:multiLevelType w:val="hybridMultilevel"/>
    <w:tmpl w:val="4B5A4E2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13E5E9B"/>
    <w:multiLevelType w:val="hybridMultilevel"/>
    <w:tmpl w:val="79F07D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90186"/>
    <w:multiLevelType w:val="hybridMultilevel"/>
    <w:tmpl w:val="4D0084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780073"/>
    <w:multiLevelType w:val="hybridMultilevel"/>
    <w:tmpl w:val="82EC1582"/>
    <w:lvl w:ilvl="0" w:tplc="04090019">
      <w:start w:val="1"/>
      <w:numFmt w:val="lowerLetter"/>
      <w:lvlText w:val="%1."/>
      <w:lvlJc w:val="left"/>
      <w:pPr>
        <w:tabs>
          <w:tab w:val="num" w:pos="720"/>
        </w:tabs>
        <w:ind w:left="720" w:hanging="360"/>
      </w:pPr>
      <w:rPr>
        <w:rFonts w:hint="default"/>
      </w:rPr>
    </w:lvl>
    <w:lvl w:ilvl="1" w:tplc="C5FE1368">
      <w:start w:val="1"/>
      <w:numFmt w:val="lowerRoman"/>
      <w:lvlText w:val="%2."/>
      <w:lvlJc w:val="left"/>
      <w:pPr>
        <w:tabs>
          <w:tab w:val="num" w:pos="1440"/>
        </w:tabs>
        <w:ind w:left="1440" w:hanging="360"/>
      </w:pPr>
      <w:rPr>
        <w:rFonts w:ascii="Arial" w:eastAsia="Times New Roman" w:hAnsi="Arial" w:cs="Arial"/>
      </w:rPr>
    </w:lvl>
    <w:lvl w:ilvl="2" w:tplc="04090019">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736CA"/>
    <w:multiLevelType w:val="multilevel"/>
    <w:tmpl w:val="7DC2F726"/>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3B2139"/>
    <w:multiLevelType w:val="hybridMultilevel"/>
    <w:tmpl w:val="3C700A4A"/>
    <w:lvl w:ilvl="0" w:tplc="14F4427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81E2F"/>
    <w:multiLevelType w:val="hybridMultilevel"/>
    <w:tmpl w:val="4E64C7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B5782"/>
    <w:multiLevelType w:val="hybridMultilevel"/>
    <w:tmpl w:val="CBB2F478"/>
    <w:lvl w:ilvl="0" w:tplc="223EE858">
      <w:start w:val="1"/>
      <w:numFmt w:val="decimal"/>
      <w:lvlText w:val="%1."/>
      <w:lvlJc w:val="left"/>
      <w:pPr>
        <w:ind w:left="720" w:hanging="360"/>
      </w:pPr>
      <w:rPr>
        <w:rFonts w:ascii="Arial" w:hAnsi="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B44982"/>
    <w:multiLevelType w:val="hybridMultilevel"/>
    <w:tmpl w:val="7ED29F66"/>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D23010C"/>
    <w:multiLevelType w:val="hybridMultilevel"/>
    <w:tmpl w:val="A9CC6E9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F74527E"/>
    <w:multiLevelType w:val="hybridMultilevel"/>
    <w:tmpl w:val="F1C6D628"/>
    <w:lvl w:ilvl="0" w:tplc="0DC21B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7B72AF"/>
    <w:multiLevelType w:val="multilevel"/>
    <w:tmpl w:val="C99E5952"/>
    <w:lvl w:ilvl="0">
      <w:start w:val="1"/>
      <w:numFmt w:val="decimal"/>
      <w:pStyle w:val="Policyheader"/>
      <w:lvlText w:val="%1."/>
      <w:lvlJc w:val="left"/>
      <w:pPr>
        <w:ind w:left="360" w:hanging="360"/>
      </w:pPr>
      <w:rPr>
        <w:sz w:val="28"/>
        <w:szCs w:val="28"/>
      </w:rPr>
    </w:lvl>
    <w:lvl w:ilvl="1">
      <w:start w:val="1"/>
      <w:numFmt w:val="decimal"/>
      <w:pStyle w:val="Policybulletlevel2"/>
      <w:lvlText w:val="%1.%2."/>
      <w:lvlJc w:val="left"/>
      <w:pPr>
        <w:ind w:left="858" w:hanging="432"/>
      </w:pPr>
      <w:rPr>
        <w:b w:val="0"/>
      </w:rPr>
    </w:lvl>
    <w:lvl w:ilvl="2">
      <w:start w:val="1"/>
      <w:numFmt w:val="decimal"/>
      <w:pStyle w:val="PolicybulletLevel3"/>
      <w:lvlText w:val="%1.%2.%3."/>
      <w:lvlJc w:val="left"/>
      <w:pPr>
        <w:ind w:left="121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6"/>
  </w:num>
  <w:num w:numId="3">
    <w:abstractNumId w:val="22"/>
  </w:num>
  <w:num w:numId="4">
    <w:abstractNumId w:val="32"/>
  </w:num>
  <w:num w:numId="5">
    <w:abstractNumId w:val="26"/>
  </w:num>
  <w:num w:numId="6">
    <w:abstractNumId w:val="15"/>
  </w:num>
  <w:num w:numId="7">
    <w:abstractNumId w:val="42"/>
  </w:num>
  <w:num w:numId="8">
    <w:abstractNumId w:val="39"/>
  </w:num>
  <w:num w:numId="9">
    <w:abstractNumId w:val="43"/>
  </w:num>
  <w:num w:numId="10">
    <w:abstractNumId w:val="5"/>
  </w:num>
  <w:num w:numId="11">
    <w:abstractNumId w:val="18"/>
  </w:num>
  <w:num w:numId="12">
    <w:abstractNumId w:val="24"/>
  </w:num>
  <w:num w:numId="13">
    <w:abstractNumId w:val="33"/>
  </w:num>
  <w:num w:numId="14">
    <w:abstractNumId w:val="12"/>
  </w:num>
  <w:num w:numId="15">
    <w:abstractNumId w:val="20"/>
  </w:num>
  <w:num w:numId="16">
    <w:abstractNumId w:val="45"/>
  </w:num>
  <w:num w:numId="17">
    <w:abstractNumId w:val="3"/>
  </w:num>
  <w:num w:numId="18">
    <w:abstractNumId w:val="0"/>
  </w:num>
  <w:num w:numId="19">
    <w:abstractNumId w:val="38"/>
  </w:num>
  <w:num w:numId="20">
    <w:abstractNumId w:val="41"/>
  </w:num>
  <w:num w:numId="21">
    <w:abstractNumId w:val="7"/>
  </w:num>
  <w:num w:numId="22">
    <w:abstractNumId w:val="31"/>
  </w:num>
  <w:num w:numId="23">
    <w:abstractNumId w:val="17"/>
  </w:num>
  <w:num w:numId="24">
    <w:abstractNumId w:val="11"/>
  </w:num>
  <w:num w:numId="25">
    <w:abstractNumId w:val="23"/>
  </w:num>
  <w:num w:numId="26">
    <w:abstractNumId w:val="10"/>
  </w:num>
  <w:num w:numId="27">
    <w:abstractNumId w:val="25"/>
  </w:num>
  <w:num w:numId="28">
    <w:abstractNumId w:val="6"/>
  </w:num>
  <w:num w:numId="29">
    <w:abstractNumId w:val="16"/>
  </w:num>
  <w:num w:numId="30">
    <w:abstractNumId w:val="35"/>
  </w:num>
  <w:num w:numId="31">
    <w:abstractNumId w:val="34"/>
  </w:num>
  <w:num w:numId="32">
    <w:abstractNumId w:val="27"/>
  </w:num>
  <w:num w:numId="33">
    <w:abstractNumId w:val="13"/>
  </w:num>
  <w:num w:numId="34">
    <w:abstractNumId w:val="44"/>
  </w:num>
  <w:num w:numId="35">
    <w:abstractNumId w:val="29"/>
  </w:num>
  <w:num w:numId="36">
    <w:abstractNumId w:val="9"/>
  </w:num>
  <w:num w:numId="37">
    <w:abstractNumId w:val="21"/>
  </w:num>
  <w:num w:numId="38">
    <w:abstractNumId w:val="1"/>
  </w:num>
  <w:num w:numId="39">
    <w:abstractNumId w:val="37"/>
  </w:num>
  <w:num w:numId="40">
    <w:abstractNumId w:val="36"/>
  </w:num>
  <w:num w:numId="41">
    <w:abstractNumId w:val="30"/>
  </w:num>
  <w:num w:numId="42">
    <w:abstractNumId w:val="8"/>
  </w:num>
  <w:num w:numId="43">
    <w:abstractNumId w:val="2"/>
  </w:num>
  <w:num w:numId="44">
    <w:abstractNumId w:val="14"/>
  </w:num>
  <w:num w:numId="45">
    <w:abstractNumId w:val="19"/>
  </w:num>
  <w:num w:numId="46">
    <w:abstractNumId w:val="28"/>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xCIeB2bBOJYZOhCeNJRbPhDTWYa2D/FUCjoXkklj/I2PQjIW3TsqsiyNwcst9+1qyhxDpLLZ/zzbsjb1zKN1kg==" w:salt="5eUFdEODiajtJ6wDObMo1Q=="/>
  <w:defaultTabStop w:val="851"/>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BD"/>
    <w:rsid w:val="000014D6"/>
    <w:rsid w:val="00004117"/>
    <w:rsid w:val="0000671A"/>
    <w:rsid w:val="00007983"/>
    <w:rsid w:val="000110B3"/>
    <w:rsid w:val="0001112A"/>
    <w:rsid w:val="000114AB"/>
    <w:rsid w:val="00013CC4"/>
    <w:rsid w:val="000146EA"/>
    <w:rsid w:val="00014BF2"/>
    <w:rsid w:val="000160C9"/>
    <w:rsid w:val="000176F0"/>
    <w:rsid w:val="0002072E"/>
    <w:rsid w:val="0002113C"/>
    <w:rsid w:val="000214AC"/>
    <w:rsid w:val="00021B57"/>
    <w:rsid w:val="00022AD0"/>
    <w:rsid w:val="00022E82"/>
    <w:rsid w:val="000230A0"/>
    <w:rsid w:val="000235C7"/>
    <w:rsid w:val="000235FC"/>
    <w:rsid w:val="00025230"/>
    <w:rsid w:val="0002621C"/>
    <w:rsid w:val="00027992"/>
    <w:rsid w:val="00027F0B"/>
    <w:rsid w:val="000310CC"/>
    <w:rsid w:val="000319B8"/>
    <w:rsid w:val="00031F48"/>
    <w:rsid w:val="000324DE"/>
    <w:rsid w:val="000326E2"/>
    <w:rsid w:val="00033511"/>
    <w:rsid w:val="000343DE"/>
    <w:rsid w:val="00035A7E"/>
    <w:rsid w:val="00036C6C"/>
    <w:rsid w:val="000405F7"/>
    <w:rsid w:val="00041529"/>
    <w:rsid w:val="00041855"/>
    <w:rsid w:val="00042C20"/>
    <w:rsid w:val="000455C0"/>
    <w:rsid w:val="00047B73"/>
    <w:rsid w:val="00047FBA"/>
    <w:rsid w:val="000502C9"/>
    <w:rsid w:val="000515EF"/>
    <w:rsid w:val="00051810"/>
    <w:rsid w:val="0005240A"/>
    <w:rsid w:val="00053587"/>
    <w:rsid w:val="0005425E"/>
    <w:rsid w:val="00054477"/>
    <w:rsid w:val="00057F72"/>
    <w:rsid w:val="00060E68"/>
    <w:rsid w:val="00061F2E"/>
    <w:rsid w:val="000634AD"/>
    <w:rsid w:val="000634C9"/>
    <w:rsid w:val="00063D70"/>
    <w:rsid w:val="00063EA9"/>
    <w:rsid w:val="00064C60"/>
    <w:rsid w:val="000669EA"/>
    <w:rsid w:val="00066B57"/>
    <w:rsid w:val="00066DDA"/>
    <w:rsid w:val="00070B42"/>
    <w:rsid w:val="00073398"/>
    <w:rsid w:val="000741BC"/>
    <w:rsid w:val="00074BA0"/>
    <w:rsid w:val="000773F2"/>
    <w:rsid w:val="00077752"/>
    <w:rsid w:val="00077822"/>
    <w:rsid w:val="00077D24"/>
    <w:rsid w:val="0008312D"/>
    <w:rsid w:val="00083194"/>
    <w:rsid w:val="00084446"/>
    <w:rsid w:val="0008484F"/>
    <w:rsid w:val="00084FF1"/>
    <w:rsid w:val="00085489"/>
    <w:rsid w:val="000868BF"/>
    <w:rsid w:val="000873C7"/>
    <w:rsid w:val="000903C7"/>
    <w:rsid w:val="00091A3C"/>
    <w:rsid w:val="00092115"/>
    <w:rsid w:val="00095BB3"/>
    <w:rsid w:val="00097021"/>
    <w:rsid w:val="0009740F"/>
    <w:rsid w:val="00097484"/>
    <w:rsid w:val="0009771E"/>
    <w:rsid w:val="000A0E25"/>
    <w:rsid w:val="000A1DF1"/>
    <w:rsid w:val="000A1E88"/>
    <w:rsid w:val="000A20EB"/>
    <w:rsid w:val="000A2D44"/>
    <w:rsid w:val="000A38F1"/>
    <w:rsid w:val="000A55DA"/>
    <w:rsid w:val="000A5FF2"/>
    <w:rsid w:val="000B074E"/>
    <w:rsid w:val="000B29D9"/>
    <w:rsid w:val="000B4836"/>
    <w:rsid w:val="000B5AEA"/>
    <w:rsid w:val="000B5E5A"/>
    <w:rsid w:val="000B6664"/>
    <w:rsid w:val="000C1626"/>
    <w:rsid w:val="000C1958"/>
    <w:rsid w:val="000C3CCF"/>
    <w:rsid w:val="000C471D"/>
    <w:rsid w:val="000C58EA"/>
    <w:rsid w:val="000C6DEE"/>
    <w:rsid w:val="000C7427"/>
    <w:rsid w:val="000C75BB"/>
    <w:rsid w:val="000D084E"/>
    <w:rsid w:val="000D0D5C"/>
    <w:rsid w:val="000D4731"/>
    <w:rsid w:val="000D4CE4"/>
    <w:rsid w:val="000D5163"/>
    <w:rsid w:val="000D6F0C"/>
    <w:rsid w:val="000E020D"/>
    <w:rsid w:val="000E2226"/>
    <w:rsid w:val="000E249C"/>
    <w:rsid w:val="000E4679"/>
    <w:rsid w:val="000E6977"/>
    <w:rsid w:val="000E70C5"/>
    <w:rsid w:val="000F1F63"/>
    <w:rsid w:val="000F23A7"/>
    <w:rsid w:val="000F2C31"/>
    <w:rsid w:val="000F3398"/>
    <w:rsid w:val="000F52FD"/>
    <w:rsid w:val="000F58E7"/>
    <w:rsid w:val="000F5D69"/>
    <w:rsid w:val="000F635E"/>
    <w:rsid w:val="000F67A1"/>
    <w:rsid w:val="00101CC3"/>
    <w:rsid w:val="00102254"/>
    <w:rsid w:val="001023A6"/>
    <w:rsid w:val="00103D90"/>
    <w:rsid w:val="00103F74"/>
    <w:rsid w:val="00103F85"/>
    <w:rsid w:val="001056AB"/>
    <w:rsid w:val="001056C5"/>
    <w:rsid w:val="00106144"/>
    <w:rsid w:val="00107A5F"/>
    <w:rsid w:val="00107AA5"/>
    <w:rsid w:val="001102E5"/>
    <w:rsid w:val="00110505"/>
    <w:rsid w:val="00110BC3"/>
    <w:rsid w:val="0011183D"/>
    <w:rsid w:val="001121D7"/>
    <w:rsid w:val="001137FB"/>
    <w:rsid w:val="00114494"/>
    <w:rsid w:val="001154D8"/>
    <w:rsid w:val="00115892"/>
    <w:rsid w:val="00120906"/>
    <w:rsid w:val="00120F21"/>
    <w:rsid w:val="00122293"/>
    <w:rsid w:val="00122902"/>
    <w:rsid w:val="00122B0F"/>
    <w:rsid w:val="00122D17"/>
    <w:rsid w:val="001234F9"/>
    <w:rsid w:val="0012411D"/>
    <w:rsid w:val="001243B4"/>
    <w:rsid w:val="00124631"/>
    <w:rsid w:val="00124C28"/>
    <w:rsid w:val="00126043"/>
    <w:rsid w:val="00126D25"/>
    <w:rsid w:val="001272A9"/>
    <w:rsid w:val="00130FE0"/>
    <w:rsid w:val="0013144C"/>
    <w:rsid w:val="001324A0"/>
    <w:rsid w:val="00133850"/>
    <w:rsid w:val="001344D5"/>
    <w:rsid w:val="00135A78"/>
    <w:rsid w:val="00136107"/>
    <w:rsid w:val="001378A1"/>
    <w:rsid w:val="00141501"/>
    <w:rsid w:val="00141BE2"/>
    <w:rsid w:val="00142C77"/>
    <w:rsid w:val="001436C7"/>
    <w:rsid w:val="00145AD0"/>
    <w:rsid w:val="00145B6C"/>
    <w:rsid w:val="00146778"/>
    <w:rsid w:val="00146B09"/>
    <w:rsid w:val="0015129C"/>
    <w:rsid w:val="00152650"/>
    <w:rsid w:val="001535D5"/>
    <w:rsid w:val="00153A33"/>
    <w:rsid w:val="001548E5"/>
    <w:rsid w:val="00155F1F"/>
    <w:rsid w:val="00157151"/>
    <w:rsid w:val="0016118E"/>
    <w:rsid w:val="0016243C"/>
    <w:rsid w:val="0016273E"/>
    <w:rsid w:val="00162A1B"/>
    <w:rsid w:val="00164514"/>
    <w:rsid w:val="001647DF"/>
    <w:rsid w:val="00164FA0"/>
    <w:rsid w:val="001651AD"/>
    <w:rsid w:val="00165641"/>
    <w:rsid w:val="00166DE4"/>
    <w:rsid w:val="001678CE"/>
    <w:rsid w:val="001705B2"/>
    <w:rsid w:val="00170A16"/>
    <w:rsid w:val="00170CC5"/>
    <w:rsid w:val="0017280F"/>
    <w:rsid w:val="001728F1"/>
    <w:rsid w:val="001732B0"/>
    <w:rsid w:val="00173DB7"/>
    <w:rsid w:val="00174248"/>
    <w:rsid w:val="00175BB2"/>
    <w:rsid w:val="00176B55"/>
    <w:rsid w:val="001779FE"/>
    <w:rsid w:val="00177CC6"/>
    <w:rsid w:val="00180E32"/>
    <w:rsid w:val="001818AB"/>
    <w:rsid w:val="001825A7"/>
    <w:rsid w:val="00183550"/>
    <w:rsid w:val="0018573B"/>
    <w:rsid w:val="0018652D"/>
    <w:rsid w:val="001866BF"/>
    <w:rsid w:val="001868C0"/>
    <w:rsid w:val="00187477"/>
    <w:rsid w:val="00187D64"/>
    <w:rsid w:val="0019388C"/>
    <w:rsid w:val="0019450E"/>
    <w:rsid w:val="00194B7E"/>
    <w:rsid w:val="00195731"/>
    <w:rsid w:val="001964BF"/>
    <w:rsid w:val="00196CDD"/>
    <w:rsid w:val="00197240"/>
    <w:rsid w:val="00197DFA"/>
    <w:rsid w:val="001A1C2C"/>
    <w:rsid w:val="001A39A3"/>
    <w:rsid w:val="001A494D"/>
    <w:rsid w:val="001A5C0F"/>
    <w:rsid w:val="001A5D23"/>
    <w:rsid w:val="001A5E44"/>
    <w:rsid w:val="001A6C14"/>
    <w:rsid w:val="001A7535"/>
    <w:rsid w:val="001A7548"/>
    <w:rsid w:val="001B000D"/>
    <w:rsid w:val="001B0496"/>
    <w:rsid w:val="001B0966"/>
    <w:rsid w:val="001B2692"/>
    <w:rsid w:val="001B2B76"/>
    <w:rsid w:val="001B4BF3"/>
    <w:rsid w:val="001B6189"/>
    <w:rsid w:val="001B66FB"/>
    <w:rsid w:val="001B67DB"/>
    <w:rsid w:val="001B6B3A"/>
    <w:rsid w:val="001C0766"/>
    <w:rsid w:val="001C4353"/>
    <w:rsid w:val="001C49E5"/>
    <w:rsid w:val="001C5B19"/>
    <w:rsid w:val="001C6632"/>
    <w:rsid w:val="001C71FE"/>
    <w:rsid w:val="001C768E"/>
    <w:rsid w:val="001D3452"/>
    <w:rsid w:val="001D5061"/>
    <w:rsid w:val="001D7A27"/>
    <w:rsid w:val="001E0155"/>
    <w:rsid w:val="001E01A9"/>
    <w:rsid w:val="001E0B6B"/>
    <w:rsid w:val="001E1AF3"/>
    <w:rsid w:val="001E2FBC"/>
    <w:rsid w:val="001E3567"/>
    <w:rsid w:val="001E3590"/>
    <w:rsid w:val="001E3A89"/>
    <w:rsid w:val="001E3D8D"/>
    <w:rsid w:val="001F0E06"/>
    <w:rsid w:val="001F0F6C"/>
    <w:rsid w:val="001F406F"/>
    <w:rsid w:val="001F4A31"/>
    <w:rsid w:val="001F4B3A"/>
    <w:rsid w:val="001F4C74"/>
    <w:rsid w:val="001F51FC"/>
    <w:rsid w:val="001F72F5"/>
    <w:rsid w:val="001F744F"/>
    <w:rsid w:val="00200300"/>
    <w:rsid w:val="002015C8"/>
    <w:rsid w:val="00201DF3"/>
    <w:rsid w:val="00202CF5"/>
    <w:rsid w:val="00202EF3"/>
    <w:rsid w:val="0020403E"/>
    <w:rsid w:val="00204773"/>
    <w:rsid w:val="00204980"/>
    <w:rsid w:val="002049CB"/>
    <w:rsid w:val="00206389"/>
    <w:rsid w:val="00206A19"/>
    <w:rsid w:val="00211BAB"/>
    <w:rsid w:val="00213070"/>
    <w:rsid w:val="002145A5"/>
    <w:rsid w:val="00216005"/>
    <w:rsid w:val="002166E0"/>
    <w:rsid w:val="002210DF"/>
    <w:rsid w:val="002224AE"/>
    <w:rsid w:val="00222726"/>
    <w:rsid w:val="0022378C"/>
    <w:rsid w:val="0022393A"/>
    <w:rsid w:val="00223D1C"/>
    <w:rsid w:val="00225077"/>
    <w:rsid w:val="0022569C"/>
    <w:rsid w:val="0022766A"/>
    <w:rsid w:val="00227F68"/>
    <w:rsid w:val="00233162"/>
    <w:rsid w:val="002342A1"/>
    <w:rsid w:val="00234F54"/>
    <w:rsid w:val="0023601A"/>
    <w:rsid w:val="002367B7"/>
    <w:rsid w:val="002375B9"/>
    <w:rsid w:val="00241FB8"/>
    <w:rsid w:val="0024437F"/>
    <w:rsid w:val="00244ED7"/>
    <w:rsid w:val="00246DF4"/>
    <w:rsid w:val="00250E78"/>
    <w:rsid w:val="00251D57"/>
    <w:rsid w:val="00251DBC"/>
    <w:rsid w:val="002534CC"/>
    <w:rsid w:val="0025498D"/>
    <w:rsid w:val="00254D50"/>
    <w:rsid w:val="00255ADF"/>
    <w:rsid w:val="00256D21"/>
    <w:rsid w:val="002579A0"/>
    <w:rsid w:val="00260363"/>
    <w:rsid w:val="002625ED"/>
    <w:rsid w:val="0026279E"/>
    <w:rsid w:val="0026425C"/>
    <w:rsid w:val="0026508B"/>
    <w:rsid w:val="0026662B"/>
    <w:rsid w:val="002666BF"/>
    <w:rsid w:val="00267128"/>
    <w:rsid w:val="002740B5"/>
    <w:rsid w:val="00275539"/>
    <w:rsid w:val="0027630A"/>
    <w:rsid w:val="0028037E"/>
    <w:rsid w:val="002828D1"/>
    <w:rsid w:val="00282D70"/>
    <w:rsid w:val="00282D84"/>
    <w:rsid w:val="00283B70"/>
    <w:rsid w:val="002859C6"/>
    <w:rsid w:val="00290118"/>
    <w:rsid w:val="00292C7C"/>
    <w:rsid w:val="00293F49"/>
    <w:rsid w:val="002942AD"/>
    <w:rsid w:val="002959F4"/>
    <w:rsid w:val="002962BD"/>
    <w:rsid w:val="002A0C01"/>
    <w:rsid w:val="002A141D"/>
    <w:rsid w:val="002A29D7"/>
    <w:rsid w:val="002A3CB8"/>
    <w:rsid w:val="002A4D86"/>
    <w:rsid w:val="002A5A89"/>
    <w:rsid w:val="002A5C4E"/>
    <w:rsid w:val="002A6CB3"/>
    <w:rsid w:val="002A7F6C"/>
    <w:rsid w:val="002B0430"/>
    <w:rsid w:val="002B490A"/>
    <w:rsid w:val="002B5153"/>
    <w:rsid w:val="002B57C1"/>
    <w:rsid w:val="002B6119"/>
    <w:rsid w:val="002B67AD"/>
    <w:rsid w:val="002B7DCD"/>
    <w:rsid w:val="002C1D30"/>
    <w:rsid w:val="002C2213"/>
    <w:rsid w:val="002C4CD8"/>
    <w:rsid w:val="002C5771"/>
    <w:rsid w:val="002C6CCE"/>
    <w:rsid w:val="002C6D21"/>
    <w:rsid w:val="002C704B"/>
    <w:rsid w:val="002C7318"/>
    <w:rsid w:val="002D115E"/>
    <w:rsid w:val="002D1D3A"/>
    <w:rsid w:val="002D3EA1"/>
    <w:rsid w:val="002D4EF6"/>
    <w:rsid w:val="002D544A"/>
    <w:rsid w:val="002D5A76"/>
    <w:rsid w:val="002D64C1"/>
    <w:rsid w:val="002D69EB"/>
    <w:rsid w:val="002D785C"/>
    <w:rsid w:val="002D7E0E"/>
    <w:rsid w:val="002E26FE"/>
    <w:rsid w:val="002E3389"/>
    <w:rsid w:val="002E4234"/>
    <w:rsid w:val="002E46A0"/>
    <w:rsid w:val="002E6354"/>
    <w:rsid w:val="002E6A1B"/>
    <w:rsid w:val="002E7EBD"/>
    <w:rsid w:val="002E7F0B"/>
    <w:rsid w:val="002F4173"/>
    <w:rsid w:val="002F43BC"/>
    <w:rsid w:val="002F4CF4"/>
    <w:rsid w:val="002F5976"/>
    <w:rsid w:val="002F6762"/>
    <w:rsid w:val="002F6889"/>
    <w:rsid w:val="003009BE"/>
    <w:rsid w:val="003009DB"/>
    <w:rsid w:val="00301B05"/>
    <w:rsid w:val="00301B89"/>
    <w:rsid w:val="003056F7"/>
    <w:rsid w:val="003061D9"/>
    <w:rsid w:val="00307364"/>
    <w:rsid w:val="00307791"/>
    <w:rsid w:val="0031067F"/>
    <w:rsid w:val="00310860"/>
    <w:rsid w:val="00310C5D"/>
    <w:rsid w:val="00312721"/>
    <w:rsid w:val="0031307A"/>
    <w:rsid w:val="00315606"/>
    <w:rsid w:val="0031686B"/>
    <w:rsid w:val="0031729A"/>
    <w:rsid w:val="00317336"/>
    <w:rsid w:val="003230FB"/>
    <w:rsid w:val="0032468A"/>
    <w:rsid w:val="00324BA4"/>
    <w:rsid w:val="003301EA"/>
    <w:rsid w:val="00330432"/>
    <w:rsid w:val="003308D3"/>
    <w:rsid w:val="00331EEC"/>
    <w:rsid w:val="00332AC8"/>
    <w:rsid w:val="00333718"/>
    <w:rsid w:val="00333747"/>
    <w:rsid w:val="00335605"/>
    <w:rsid w:val="00335E8D"/>
    <w:rsid w:val="003365A2"/>
    <w:rsid w:val="003402E9"/>
    <w:rsid w:val="003407FD"/>
    <w:rsid w:val="00341C18"/>
    <w:rsid w:val="00341E19"/>
    <w:rsid w:val="00342224"/>
    <w:rsid w:val="00344D7A"/>
    <w:rsid w:val="003470C3"/>
    <w:rsid w:val="00347A49"/>
    <w:rsid w:val="00350BCF"/>
    <w:rsid w:val="00351290"/>
    <w:rsid w:val="00351ADF"/>
    <w:rsid w:val="00351C51"/>
    <w:rsid w:val="00351D0F"/>
    <w:rsid w:val="0035235A"/>
    <w:rsid w:val="003530B2"/>
    <w:rsid w:val="00353B4B"/>
    <w:rsid w:val="00354B5A"/>
    <w:rsid w:val="0036038A"/>
    <w:rsid w:val="003603B0"/>
    <w:rsid w:val="00364949"/>
    <w:rsid w:val="003660CA"/>
    <w:rsid w:val="0036618D"/>
    <w:rsid w:val="00366D3B"/>
    <w:rsid w:val="00367E8D"/>
    <w:rsid w:val="0037021D"/>
    <w:rsid w:val="003727E0"/>
    <w:rsid w:val="00373B38"/>
    <w:rsid w:val="00374150"/>
    <w:rsid w:val="00376FC2"/>
    <w:rsid w:val="003805CE"/>
    <w:rsid w:val="003827A2"/>
    <w:rsid w:val="00382DE1"/>
    <w:rsid w:val="00383498"/>
    <w:rsid w:val="0038603E"/>
    <w:rsid w:val="003862B2"/>
    <w:rsid w:val="003870B4"/>
    <w:rsid w:val="00387751"/>
    <w:rsid w:val="00390057"/>
    <w:rsid w:val="003903B4"/>
    <w:rsid w:val="00390CA8"/>
    <w:rsid w:val="0039158E"/>
    <w:rsid w:val="00391AB9"/>
    <w:rsid w:val="00392D52"/>
    <w:rsid w:val="00394867"/>
    <w:rsid w:val="00394E70"/>
    <w:rsid w:val="00396CA6"/>
    <w:rsid w:val="003A16AB"/>
    <w:rsid w:val="003A26FA"/>
    <w:rsid w:val="003A277C"/>
    <w:rsid w:val="003A2A62"/>
    <w:rsid w:val="003A2B9D"/>
    <w:rsid w:val="003A374F"/>
    <w:rsid w:val="003A4D82"/>
    <w:rsid w:val="003A64E2"/>
    <w:rsid w:val="003A7449"/>
    <w:rsid w:val="003B1441"/>
    <w:rsid w:val="003B1C92"/>
    <w:rsid w:val="003B2DDB"/>
    <w:rsid w:val="003B3DFD"/>
    <w:rsid w:val="003B54B5"/>
    <w:rsid w:val="003B7A60"/>
    <w:rsid w:val="003C123A"/>
    <w:rsid w:val="003C19B5"/>
    <w:rsid w:val="003C373C"/>
    <w:rsid w:val="003C707A"/>
    <w:rsid w:val="003D1F7F"/>
    <w:rsid w:val="003D2472"/>
    <w:rsid w:val="003D28DF"/>
    <w:rsid w:val="003D3A8D"/>
    <w:rsid w:val="003D6A46"/>
    <w:rsid w:val="003E0A7A"/>
    <w:rsid w:val="003E0E2C"/>
    <w:rsid w:val="003E0E90"/>
    <w:rsid w:val="003E104A"/>
    <w:rsid w:val="003E189F"/>
    <w:rsid w:val="003E2AB7"/>
    <w:rsid w:val="003E5848"/>
    <w:rsid w:val="003E5921"/>
    <w:rsid w:val="003E607E"/>
    <w:rsid w:val="003E7836"/>
    <w:rsid w:val="003E79E4"/>
    <w:rsid w:val="003F0EB9"/>
    <w:rsid w:val="003F1DE1"/>
    <w:rsid w:val="003F3CB0"/>
    <w:rsid w:val="003F3E70"/>
    <w:rsid w:val="003F4305"/>
    <w:rsid w:val="003F4A23"/>
    <w:rsid w:val="003F511C"/>
    <w:rsid w:val="003F54F8"/>
    <w:rsid w:val="00400FFE"/>
    <w:rsid w:val="004036C4"/>
    <w:rsid w:val="00403E37"/>
    <w:rsid w:val="004040DD"/>
    <w:rsid w:val="00405861"/>
    <w:rsid w:val="0040587C"/>
    <w:rsid w:val="004060FD"/>
    <w:rsid w:val="0040653B"/>
    <w:rsid w:val="004077C9"/>
    <w:rsid w:val="00410C40"/>
    <w:rsid w:val="00411E81"/>
    <w:rsid w:val="004124B1"/>
    <w:rsid w:val="00412F7A"/>
    <w:rsid w:val="004149CA"/>
    <w:rsid w:val="00416D4A"/>
    <w:rsid w:val="004175B1"/>
    <w:rsid w:val="00421FAD"/>
    <w:rsid w:val="00424249"/>
    <w:rsid w:val="00424711"/>
    <w:rsid w:val="00425A00"/>
    <w:rsid w:val="00425EE8"/>
    <w:rsid w:val="00426C24"/>
    <w:rsid w:val="00427E1A"/>
    <w:rsid w:val="00430350"/>
    <w:rsid w:val="00431459"/>
    <w:rsid w:val="004322EB"/>
    <w:rsid w:val="00432543"/>
    <w:rsid w:val="00432CCD"/>
    <w:rsid w:val="00433014"/>
    <w:rsid w:val="004335AB"/>
    <w:rsid w:val="00434468"/>
    <w:rsid w:val="00434A5F"/>
    <w:rsid w:val="00434F90"/>
    <w:rsid w:val="004354B7"/>
    <w:rsid w:val="0043711C"/>
    <w:rsid w:val="00437707"/>
    <w:rsid w:val="00437798"/>
    <w:rsid w:val="00440A29"/>
    <w:rsid w:val="00440C5E"/>
    <w:rsid w:val="004410C2"/>
    <w:rsid w:val="00441112"/>
    <w:rsid w:val="00441ACA"/>
    <w:rsid w:val="00442B7B"/>
    <w:rsid w:val="00442B7F"/>
    <w:rsid w:val="00442EA9"/>
    <w:rsid w:val="004439D7"/>
    <w:rsid w:val="00446F00"/>
    <w:rsid w:val="004474D6"/>
    <w:rsid w:val="00450398"/>
    <w:rsid w:val="004507F9"/>
    <w:rsid w:val="0045116F"/>
    <w:rsid w:val="004514CF"/>
    <w:rsid w:val="00451DE9"/>
    <w:rsid w:val="00451FDF"/>
    <w:rsid w:val="00452CA3"/>
    <w:rsid w:val="0045751D"/>
    <w:rsid w:val="00457AB8"/>
    <w:rsid w:val="004606E2"/>
    <w:rsid w:val="00460A7A"/>
    <w:rsid w:val="00460AFD"/>
    <w:rsid w:val="00461556"/>
    <w:rsid w:val="00461D9A"/>
    <w:rsid w:val="0046494C"/>
    <w:rsid w:val="004649B9"/>
    <w:rsid w:val="00465454"/>
    <w:rsid w:val="00465EC2"/>
    <w:rsid w:val="00466978"/>
    <w:rsid w:val="00467DFF"/>
    <w:rsid w:val="00470009"/>
    <w:rsid w:val="0047188E"/>
    <w:rsid w:val="00471C44"/>
    <w:rsid w:val="00471C96"/>
    <w:rsid w:val="00472F19"/>
    <w:rsid w:val="0047351C"/>
    <w:rsid w:val="0047378A"/>
    <w:rsid w:val="00473AF9"/>
    <w:rsid w:val="00476110"/>
    <w:rsid w:val="00476375"/>
    <w:rsid w:val="004805F3"/>
    <w:rsid w:val="00480621"/>
    <w:rsid w:val="00480ADD"/>
    <w:rsid w:val="00482BA9"/>
    <w:rsid w:val="00483D40"/>
    <w:rsid w:val="0048421C"/>
    <w:rsid w:val="00485D56"/>
    <w:rsid w:val="00486418"/>
    <w:rsid w:val="00487B97"/>
    <w:rsid w:val="00491FAA"/>
    <w:rsid w:val="00492298"/>
    <w:rsid w:val="0049411C"/>
    <w:rsid w:val="00494E43"/>
    <w:rsid w:val="00494F8B"/>
    <w:rsid w:val="004951C0"/>
    <w:rsid w:val="004968C4"/>
    <w:rsid w:val="004970F5"/>
    <w:rsid w:val="004A0222"/>
    <w:rsid w:val="004A168C"/>
    <w:rsid w:val="004A1811"/>
    <w:rsid w:val="004A1C0D"/>
    <w:rsid w:val="004A26FA"/>
    <w:rsid w:val="004A4396"/>
    <w:rsid w:val="004A5DAA"/>
    <w:rsid w:val="004A6106"/>
    <w:rsid w:val="004A63BA"/>
    <w:rsid w:val="004B00FE"/>
    <w:rsid w:val="004B0A70"/>
    <w:rsid w:val="004B3991"/>
    <w:rsid w:val="004B6A75"/>
    <w:rsid w:val="004C1953"/>
    <w:rsid w:val="004C323A"/>
    <w:rsid w:val="004C4E66"/>
    <w:rsid w:val="004C5269"/>
    <w:rsid w:val="004C56E9"/>
    <w:rsid w:val="004C5F83"/>
    <w:rsid w:val="004C63A8"/>
    <w:rsid w:val="004C6D5C"/>
    <w:rsid w:val="004D06C0"/>
    <w:rsid w:val="004D0EE8"/>
    <w:rsid w:val="004D4AC2"/>
    <w:rsid w:val="004D5795"/>
    <w:rsid w:val="004E0919"/>
    <w:rsid w:val="004E2A76"/>
    <w:rsid w:val="004E511A"/>
    <w:rsid w:val="004E5DA3"/>
    <w:rsid w:val="004E6429"/>
    <w:rsid w:val="004E6509"/>
    <w:rsid w:val="004E6587"/>
    <w:rsid w:val="004E6606"/>
    <w:rsid w:val="004E66F1"/>
    <w:rsid w:val="004E6D98"/>
    <w:rsid w:val="004E7779"/>
    <w:rsid w:val="004F12F3"/>
    <w:rsid w:val="004F139F"/>
    <w:rsid w:val="004F22AE"/>
    <w:rsid w:val="004F27EF"/>
    <w:rsid w:val="004F4F33"/>
    <w:rsid w:val="004F5DA4"/>
    <w:rsid w:val="00500CB3"/>
    <w:rsid w:val="005015B5"/>
    <w:rsid w:val="005021AD"/>
    <w:rsid w:val="00505F35"/>
    <w:rsid w:val="00510B16"/>
    <w:rsid w:val="00511FD9"/>
    <w:rsid w:val="00512120"/>
    <w:rsid w:val="005131C4"/>
    <w:rsid w:val="0051362A"/>
    <w:rsid w:val="005137EB"/>
    <w:rsid w:val="00513920"/>
    <w:rsid w:val="00513D35"/>
    <w:rsid w:val="00516BB5"/>
    <w:rsid w:val="00517555"/>
    <w:rsid w:val="005212F7"/>
    <w:rsid w:val="00521F00"/>
    <w:rsid w:val="00523697"/>
    <w:rsid w:val="00523787"/>
    <w:rsid w:val="00524091"/>
    <w:rsid w:val="00526117"/>
    <w:rsid w:val="00527AF0"/>
    <w:rsid w:val="00531EB6"/>
    <w:rsid w:val="005346E8"/>
    <w:rsid w:val="00534A78"/>
    <w:rsid w:val="00534B59"/>
    <w:rsid w:val="00542296"/>
    <w:rsid w:val="005434C4"/>
    <w:rsid w:val="00550172"/>
    <w:rsid w:val="00552062"/>
    <w:rsid w:val="00554A6B"/>
    <w:rsid w:val="00554F94"/>
    <w:rsid w:val="0055530D"/>
    <w:rsid w:val="005554DB"/>
    <w:rsid w:val="0055565C"/>
    <w:rsid w:val="00555D9F"/>
    <w:rsid w:val="00556E5B"/>
    <w:rsid w:val="00561BB4"/>
    <w:rsid w:val="0056284E"/>
    <w:rsid w:val="00563CB1"/>
    <w:rsid w:val="00564B44"/>
    <w:rsid w:val="00564CA4"/>
    <w:rsid w:val="00564E17"/>
    <w:rsid w:val="00565A87"/>
    <w:rsid w:val="00565BAF"/>
    <w:rsid w:val="00566526"/>
    <w:rsid w:val="00566CDE"/>
    <w:rsid w:val="00566E6C"/>
    <w:rsid w:val="00567288"/>
    <w:rsid w:val="005704EE"/>
    <w:rsid w:val="00572FE7"/>
    <w:rsid w:val="00573A3B"/>
    <w:rsid w:val="0057525C"/>
    <w:rsid w:val="00575BD3"/>
    <w:rsid w:val="00576643"/>
    <w:rsid w:val="005773C0"/>
    <w:rsid w:val="0057798E"/>
    <w:rsid w:val="00577EC5"/>
    <w:rsid w:val="00580169"/>
    <w:rsid w:val="005801A3"/>
    <w:rsid w:val="00581333"/>
    <w:rsid w:val="0058243C"/>
    <w:rsid w:val="00582597"/>
    <w:rsid w:val="00582871"/>
    <w:rsid w:val="00585EAF"/>
    <w:rsid w:val="00586A70"/>
    <w:rsid w:val="00587617"/>
    <w:rsid w:val="00591851"/>
    <w:rsid w:val="00591DBB"/>
    <w:rsid w:val="00592409"/>
    <w:rsid w:val="005927D2"/>
    <w:rsid w:val="005927F7"/>
    <w:rsid w:val="005940C8"/>
    <w:rsid w:val="005954C2"/>
    <w:rsid w:val="00595E77"/>
    <w:rsid w:val="00596AA4"/>
    <w:rsid w:val="005A09E3"/>
    <w:rsid w:val="005A2B56"/>
    <w:rsid w:val="005A34E9"/>
    <w:rsid w:val="005A3582"/>
    <w:rsid w:val="005A4FA1"/>
    <w:rsid w:val="005A52C2"/>
    <w:rsid w:val="005A61A4"/>
    <w:rsid w:val="005A7AF0"/>
    <w:rsid w:val="005B083A"/>
    <w:rsid w:val="005B0B29"/>
    <w:rsid w:val="005B1290"/>
    <w:rsid w:val="005B2354"/>
    <w:rsid w:val="005B39AA"/>
    <w:rsid w:val="005B3F89"/>
    <w:rsid w:val="005B3FE3"/>
    <w:rsid w:val="005B4902"/>
    <w:rsid w:val="005B4E4C"/>
    <w:rsid w:val="005B4F2C"/>
    <w:rsid w:val="005B7B28"/>
    <w:rsid w:val="005C1111"/>
    <w:rsid w:val="005C1D08"/>
    <w:rsid w:val="005C2687"/>
    <w:rsid w:val="005C37B8"/>
    <w:rsid w:val="005C4C2A"/>
    <w:rsid w:val="005C6AF8"/>
    <w:rsid w:val="005D13D9"/>
    <w:rsid w:val="005D1924"/>
    <w:rsid w:val="005D2FA4"/>
    <w:rsid w:val="005D4DFD"/>
    <w:rsid w:val="005E0CA9"/>
    <w:rsid w:val="005E0E49"/>
    <w:rsid w:val="005E394F"/>
    <w:rsid w:val="005E4E51"/>
    <w:rsid w:val="005E6F76"/>
    <w:rsid w:val="005E7298"/>
    <w:rsid w:val="005E7312"/>
    <w:rsid w:val="005F02DB"/>
    <w:rsid w:val="005F0F2B"/>
    <w:rsid w:val="005F2676"/>
    <w:rsid w:val="005F3EC3"/>
    <w:rsid w:val="005F5073"/>
    <w:rsid w:val="006025A0"/>
    <w:rsid w:val="0060382F"/>
    <w:rsid w:val="00603C22"/>
    <w:rsid w:val="006048D2"/>
    <w:rsid w:val="00604CF5"/>
    <w:rsid w:val="00604D56"/>
    <w:rsid w:val="00605D0D"/>
    <w:rsid w:val="0060612C"/>
    <w:rsid w:val="00610B2B"/>
    <w:rsid w:val="006119B4"/>
    <w:rsid w:val="00612AF1"/>
    <w:rsid w:val="0061328E"/>
    <w:rsid w:val="00614838"/>
    <w:rsid w:val="00621213"/>
    <w:rsid w:val="00621342"/>
    <w:rsid w:val="0062227E"/>
    <w:rsid w:val="00622C99"/>
    <w:rsid w:val="00624036"/>
    <w:rsid w:val="006245E8"/>
    <w:rsid w:val="00624D29"/>
    <w:rsid w:val="006251DF"/>
    <w:rsid w:val="0062546F"/>
    <w:rsid w:val="00625523"/>
    <w:rsid w:val="0063017A"/>
    <w:rsid w:val="00631909"/>
    <w:rsid w:val="006329FC"/>
    <w:rsid w:val="00632E6D"/>
    <w:rsid w:val="00633061"/>
    <w:rsid w:val="006337C4"/>
    <w:rsid w:val="0063518C"/>
    <w:rsid w:val="00635904"/>
    <w:rsid w:val="0063598C"/>
    <w:rsid w:val="00635DB5"/>
    <w:rsid w:val="00637A94"/>
    <w:rsid w:val="006421BB"/>
    <w:rsid w:val="00646772"/>
    <w:rsid w:val="006478D2"/>
    <w:rsid w:val="006502E0"/>
    <w:rsid w:val="00650D84"/>
    <w:rsid w:val="00651213"/>
    <w:rsid w:val="00651C02"/>
    <w:rsid w:val="00654474"/>
    <w:rsid w:val="00654EBE"/>
    <w:rsid w:val="00655A5A"/>
    <w:rsid w:val="00655DCC"/>
    <w:rsid w:val="00656B4A"/>
    <w:rsid w:val="0065710D"/>
    <w:rsid w:val="0065798C"/>
    <w:rsid w:val="00660278"/>
    <w:rsid w:val="00660AC6"/>
    <w:rsid w:val="00661923"/>
    <w:rsid w:val="00661AF3"/>
    <w:rsid w:val="006636BF"/>
    <w:rsid w:val="00664BE7"/>
    <w:rsid w:val="00665126"/>
    <w:rsid w:val="006654AF"/>
    <w:rsid w:val="00665C82"/>
    <w:rsid w:val="00665EA4"/>
    <w:rsid w:val="006665A5"/>
    <w:rsid w:val="006672E4"/>
    <w:rsid w:val="00667470"/>
    <w:rsid w:val="006731A5"/>
    <w:rsid w:val="00673766"/>
    <w:rsid w:val="0067492E"/>
    <w:rsid w:val="00676109"/>
    <w:rsid w:val="00681C0F"/>
    <w:rsid w:val="0068216A"/>
    <w:rsid w:val="00683884"/>
    <w:rsid w:val="0068612A"/>
    <w:rsid w:val="00686C5B"/>
    <w:rsid w:val="0069078E"/>
    <w:rsid w:val="006907ED"/>
    <w:rsid w:val="00690C2C"/>
    <w:rsid w:val="00690EC6"/>
    <w:rsid w:val="0069163F"/>
    <w:rsid w:val="006925C6"/>
    <w:rsid w:val="006930D7"/>
    <w:rsid w:val="00694B9B"/>
    <w:rsid w:val="00697D44"/>
    <w:rsid w:val="006A0317"/>
    <w:rsid w:val="006A0B9D"/>
    <w:rsid w:val="006A0D7E"/>
    <w:rsid w:val="006A2802"/>
    <w:rsid w:val="006A3EDC"/>
    <w:rsid w:val="006A5802"/>
    <w:rsid w:val="006A652B"/>
    <w:rsid w:val="006A7426"/>
    <w:rsid w:val="006A756C"/>
    <w:rsid w:val="006A78FE"/>
    <w:rsid w:val="006A7995"/>
    <w:rsid w:val="006B3614"/>
    <w:rsid w:val="006B5A8C"/>
    <w:rsid w:val="006B689E"/>
    <w:rsid w:val="006B71A8"/>
    <w:rsid w:val="006C08D7"/>
    <w:rsid w:val="006C1171"/>
    <w:rsid w:val="006C2058"/>
    <w:rsid w:val="006C27B7"/>
    <w:rsid w:val="006C30CF"/>
    <w:rsid w:val="006C37F2"/>
    <w:rsid w:val="006C3DF4"/>
    <w:rsid w:val="006C4CFB"/>
    <w:rsid w:val="006C5BCD"/>
    <w:rsid w:val="006C66BF"/>
    <w:rsid w:val="006D160C"/>
    <w:rsid w:val="006D30AF"/>
    <w:rsid w:val="006D3255"/>
    <w:rsid w:val="006D39A5"/>
    <w:rsid w:val="006D3A2A"/>
    <w:rsid w:val="006D4ADD"/>
    <w:rsid w:val="006D6213"/>
    <w:rsid w:val="006D655C"/>
    <w:rsid w:val="006D6D48"/>
    <w:rsid w:val="006D726B"/>
    <w:rsid w:val="006E0341"/>
    <w:rsid w:val="006E1C45"/>
    <w:rsid w:val="006E52E9"/>
    <w:rsid w:val="006E58D5"/>
    <w:rsid w:val="006E6194"/>
    <w:rsid w:val="006F11E6"/>
    <w:rsid w:val="006F1763"/>
    <w:rsid w:val="006F3C27"/>
    <w:rsid w:val="006F4C60"/>
    <w:rsid w:val="006F50C8"/>
    <w:rsid w:val="006F7C0C"/>
    <w:rsid w:val="0070078D"/>
    <w:rsid w:val="00701574"/>
    <w:rsid w:val="00704726"/>
    <w:rsid w:val="00704ACE"/>
    <w:rsid w:val="0070530E"/>
    <w:rsid w:val="00707934"/>
    <w:rsid w:val="00707FA7"/>
    <w:rsid w:val="00710536"/>
    <w:rsid w:val="00711E41"/>
    <w:rsid w:val="007125F3"/>
    <w:rsid w:val="007128CE"/>
    <w:rsid w:val="00712F68"/>
    <w:rsid w:val="0071366A"/>
    <w:rsid w:val="0071387F"/>
    <w:rsid w:val="00714AA2"/>
    <w:rsid w:val="00714FD2"/>
    <w:rsid w:val="007157EF"/>
    <w:rsid w:val="0071584A"/>
    <w:rsid w:val="007172A3"/>
    <w:rsid w:val="00717CAE"/>
    <w:rsid w:val="00723136"/>
    <w:rsid w:val="007235CA"/>
    <w:rsid w:val="00723C0F"/>
    <w:rsid w:val="0072415E"/>
    <w:rsid w:val="007261E3"/>
    <w:rsid w:val="00727602"/>
    <w:rsid w:val="007278BB"/>
    <w:rsid w:val="00730768"/>
    <w:rsid w:val="0073186C"/>
    <w:rsid w:val="00736D7C"/>
    <w:rsid w:val="00737933"/>
    <w:rsid w:val="00737CD4"/>
    <w:rsid w:val="00742741"/>
    <w:rsid w:val="007454DD"/>
    <w:rsid w:val="00745860"/>
    <w:rsid w:val="007460DE"/>
    <w:rsid w:val="00750289"/>
    <w:rsid w:val="007519F3"/>
    <w:rsid w:val="007522AD"/>
    <w:rsid w:val="00753E6A"/>
    <w:rsid w:val="00754431"/>
    <w:rsid w:val="0075521F"/>
    <w:rsid w:val="00755565"/>
    <w:rsid w:val="007572E4"/>
    <w:rsid w:val="007604E5"/>
    <w:rsid w:val="0076052F"/>
    <w:rsid w:val="00760C14"/>
    <w:rsid w:val="00763859"/>
    <w:rsid w:val="007641E5"/>
    <w:rsid w:val="00764EB0"/>
    <w:rsid w:val="0077174C"/>
    <w:rsid w:val="00772390"/>
    <w:rsid w:val="007725F1"/>
    <w:rsid w:val="0077327C"/>
    <w:rsid w:val="007736F7"/>
    <w:rsid w:val="00773AFF"/>
    <w:rsid w:val="00773CA2"/>
    <w:rsid w:val="00774A6F"/>
    <w:rsid w:val="00774CD5"/>
    <w:rsid w:val="00777509"/>
    <w:rsid w:val="00780898"/>
    <w:rsid w:val="00780B0B"/>
    <w:rsid w:val="0078126E"/>
    <w:rsid w:val="0078206C"/>
    <w:rsid w:val="00784524"/>
    <w:rsid w:val="00784BDC"/>
    <w:rsid w:val="007867F6"/>
    <w:rsid w:val="00786D94"/>
    <w:rsid w:val="00787FD6"/>
    <w:rsid w:val="0079046A"/>
    <w:rsid w:val="00791D97"/>
    <w:rsid w:val="00792793"/>
    <w:rsid w:val="00794725"/>
    <w:rsid w:val="007968AB"/>
    <w:rsid w:val="00796D34"/>
    <w:rsid w:val="007A078D"/>
    <w:rsid w:val="007A19E8"/>
    <w:rsid w:val="007A302F"/>
    <w:rsid w:val="007A4E4D"/>
    <w:rsid w:val="007A57E9"/>
    <w:rsid w:val="007A66F6"/>
    <w:rsid w:val="007A6A04"/>
    <w:rsid w:val="007A6F33"/>
    <w:rsid w:val="007A70B9"/>
    <w:rsid w:val="007A7D4B"/>
    <w:rsid w:val="007B3CAD"/>
    <w:rsid w:val="007B4503"/>
    <w:rsid w:val="007B4C8D"/>
    <w:rsid w:val="007B64DC"/>
    <w:rsid w:val="007C00FD"/>
    <w:rsid w:val="007C0205"/>
    <w:rsid w:val="007C067D"/>
    <w:rsid w:val="007C0E90"/>
    <w:rsid w:val="007C1246"/>
    <w:rsid w:val="007C168E"/>
    <w:rsid w:val="007C4F21"/>
    <w:rsid w:val="007C5FED"/>
    <w:rsid w:val="007C60E6"/>
    <w:rsid w:val="007C67A4"/>
    <w:rsid w:val="007D0290"/>
    <w:rsid w:val="007D2711"/>
    <w:rsid w:val="007D53E2"/>
    <w:rsid w:val="007D567F"/>
    <w:rsid w:val="007D6597"/>
    <w:rsid w:val="007D6B23"/>
    <w:rsid w:val="007D7D82"/>
    <w:rsid w:val="007E0D75"/>
    <w:rsid w:val="007E1611"/>
    <w:rsid w:val="007E2CC5"/>
    <w:rsid w:val="007E3E6D"/>
    <w:rsid w:val="007E4C94"/>
    <w:rsid w:val="007E567B"/>
    <w:rsid w:val="007E596C"/>
    <w:rsid w:val="007F0169"/>
    <w:rsid w:val="007F1497"/>
    <w:rsid w:val="007F1A95"/>
    <w:rsid w:val="007F2F53"/>
    <w:rsid w:val="007F49C3"/>
    <w:rsid w:val="008007C6"/>
    <w:rsid w:val="00801FD2"/>
    <w:rsid w:val="00803153"/>
    <w:rsid w:val="00803A1B"/>
    <w:rsid w:val="0080411B"/>
    <w:rsid w:val="0080414E"/>
    <w:rsid w:val="00804D9F"/>
    <w:rsid w:val="00805940"/>
    <w:rsid w:val="008072B4"/>
    <w:rsid w:val="00810099"/>
    <w:rsid w:val="008119ED"/>
    <w:rsid w:val="0081474F"/>
    <w:rsid w:val="008149D6"/>
    <w:rsid w:val="0081572D"/>
    <w:rsid w:val="008157DA"/>
    <w:rsid w:val="00815959"/>
    <w:rsid w:val="0082082D"/>
    <w:rsid w:val="0082109D"/>
    <w:rsid w:val="00822129"/>
    <w:rsid w:val="0082377B"/>
    <w:rsid w:val="0082385B"/>
    <w:rsid w:val="008238C2"/>
    <w:rsid w:val="00823EB1"/>
    <w:rsid w:val="00824438"/>
    <w:rsid w:val="00824847"/>
    <w:rsid w:val="00824C2B"/>
    <w:rsid w:val="0082515F"/>
    <w:rsid w:val="0082659D"/>
    <w:rsid w:val="00826B6D"/>
    <w:rsid w:val="00826EBC"/>
    <w:rsid w:val="00827DF6"/>
    <w:rsid w:val="008300DD"/>
    <w:rsid w:val="00832173"/>
    <w:rsid w:val="008339BE"/>
    <w:rsid w:val="00834E47"/>
    <w:rsid w:val="00835724"/>
    <w:rsid w:val="0083696B"/>
    <w:rsid w:val="00836D72"/>
    <w:rsid w:val="00837657"/>
    <w:rsid w:val="008376E5"/>
    <w:rsid w:val="0084129E"/>
    <w:rsid w:val="008427BC"/>
    <w:rsid w:val="00843BDC"/>
    <w:rsid w:val="00844FB7"/>
    <w:rsid w:val="00845221"/>
    <w:rsid w:val="008473AC"/>
    <w:rsid w:val="008477D9"/>
    <w:rsid w:val="00852C70"/>
    <w:rsid w:val="00855A91"/>
    <w:rsid w:val="00860E92"/>
    <w:rsid w:val="00860FD1"/>
    <w:rsid w:val="00861221"/>
    <w:rsid w:val="0086146E"/>
    <w:rsid w:val="00861F0A"/>
    <w:rsid w:val="00863914"/>
    <w:rsid w:val="00864064"/>
    <w:rsid w:val="00864662"/>
    <w:rsid w:val="00864B2F"/>
    <w:rsid w:val="00865BE4"/>
    <w:rsid w:val="008668E3"/>
    <w:rsid w:val="00867BC6"/>
    <w:rsid w:val="00867CA5"/>
    <w:rsid w:val="008716F0"/>
    <w:rsid w:val="008728D9"/>
    <w:rsid w:val="008741B2"/>
    <w:rsid w:val="00874285"/>
    <w:rsid w:val="00874BE1"/>
    <w:rsid w:val="00874CB9"/>
    <w:rsid w:val="008768DD"/>
    <w:rsid w:val="00876EA5"/>
    <w:rsid w:val="00880B5A"/>
    <w:rsid w:val="00884311"/>
    <w:rsid w:val="0088656B"/>
    <w:rsid w:val="00887663"/>
    <w:rsid w:val="0089166B"/>
    <w:rsid w:val="008921A6"/>
    <w:rsid w:val="008929E3"/>
    <w:rsid w:val="00893650"/>
    <w:rsid w:val="00894954"/>
    <w:rsid w:val="008970DA"/>
    <w:rsid w:val="008974EB"/>
    <w:rsid w:val="00897E2A"/>
    <w:rsid w:val="008A0D8C"/>
    <w:rsid w:val="008A0E44"/>
    <w:rsid w:val="008A0FBA"/>
    <w:rsid w:val="008A133D"/>
    <w:rsid w:val="008A2C2F"/>
    <w:rsid w:val="008A300C"/>
    <w:rsid w:val="008A433A"/>
    <w:rsid w:val="008A4EF8"/>
    <w:rsid w:val="008A5E51"/>
    <w:rsid w:val="008B17CB"/>
    <w:rsid w:val="008B1B92"/>
    <w:rsid w:val="008B49A8"/>
    <w:rsid w:val="008B4CA5"/>
    <w:rsid w:val="008B4EE0"/>
    <w:rsid w:val="008B696D"/>
    <w:rsid w:val="008B7A8B"/>
    <w:rsid w:val="008B7C0E"/>
    <w:rsid w:val="008C25AE"/>
    <w:rsid w:val="008C3E55"/>
    <w:rsid w:val="008C5215"/>
    <w:rsid w:val="008C67B9"/>
    <w:rsid w:val="008D02EE"/>
    <w:rsid w:val="008D109B"/>
    <w:rsid w:val="008D3722"/>
    <w:rsid w:val="008D45AA"/>
    <w:rsid w:val="008D7087"/>
    <w:rsid w:val="008D7E3A"/>
    <w:rsid w:val="008E0DA6"/>
    <w:rsid w:val="008E4937"/>
    <w:rsid w:val="008E6978"/>
    <w:rsid w:val="008F3AC4"/>
    <w:rsid w:val="008F4721"/>
    <w:rsid w:val="008F5ADD"/>
    <w:rsid w:val="008F6275"/>
    <w:rsid w:val="008F7641"/>
    <w:rsid w:val="00901EDC"/>
    <w:rsid w:val="00902E69"/>
    <w:rsid w:val="00903ABE"/>
    <w:rsid w:val="0090640E"/>
    <w:rsid w:val="009068A2"/>
    <w:rsid w:val="00910A0A"/>
    <w:rsid w:val="00911337"/>
    <w:rsid w:val="00912BB6"/>
    <w:rsid w:val="00913DF3"/>
    <w:rsid w:val="00915C51"/>
    <w:rsid w:val="00915E0C"/>
    <w:rsid w:val="00916EC1"/>
    <w:rsid w:val="00917A22"/>
    <w:rsid w:val="00920963"/>
    <w:rsid w:val="00920BEE"/>
    <w:rsid w:val="009218C5"/>
    <w:rsid w:val="00923220"/>
    <w:rsid w:val="00923F99"/>
    <w:rsid w:val="00924622"/>
    <w:rsid w:val="00924678"/>
    <w:rsid w:val="00924BD6"/>
    <w:rsid w:val="009252DA"/>
    <w:rsid w:val="00927C55"/>
    <w:rsid w:val="009306D2"/>
    <w:rsid w:val="00931B3E"/>
    <w:rsid w:val="00931D73"/>
    <w:rsid w:val="00933358"/>
    <w:rsid w:val="009342CD"/>
    <w:rsid w:val="009358CE"/>
    <w:rsid w:val="0093661A"/>
    <w:rsid w:val="00936790"/>
    <w:rsid w:val="009377C8"/>
    <w:rsid w:val="00937D7D"/>
    <w:rsid w:val="0094123B"/>
    <w:rsid w:val="00941AED"/>
    <w:rsid w:val="009424FB"/>
    <w:rsid w:val="00942754"/>
    <w:rsid w:val="0094360F"/>
    <w:rsid w:val="00945517"/>
    <w:rsid w:val="009459E9"/>
    <w:rsid w:val="0094661F"/>
    <w:rsid w:val="00946B44"/>
    <w:rsid w:val="009504C0"/>
    <w:rsid w:val="0095269F"/>
    <w:rsid w:val="00953D96"/>
    <w:rsid w:val="0095445B"/>
    <w:rsid w:val="00954ACD"/>
    <w:rsid w:val="00955BE8"/>
    <w:rsid w:val="00956F52"/>
    <w:rsid w:val="00960298"/>
    <w:rsid w:val="009603D9"/>
    <w:rsid w:val="00961F71"/>
    <w:rsid w:val="0096574E"/>
    <w:rsid w:val="00971118"/>
    <w:rsid w:val="009720E6"/>
    <w:rsid w:val="00972397"/>
    <w:rsid w:val="009767E9"/>
    <w:rsid w:val="00976C04"/>
    <w:rsid w:val="009771C5"/>
    <w:rsid w:val="009808CA"/>
    <w:rsid w:val="0098092F"/>
    <w:rsid w:val="0098198E"/>
    <w:rsid w:val="00981DF4"/>
    <w:rsid w:val="00982F76"/>
    <w:rsid w:val="0098319B"/>
    <w:rsid w:val="00985D29"/>
    <w:rsid w:val="00986A3F"/>
    <w:rsid w:val="00992137"/>
    <w:rsid w:val="009925FD"/>
    <w:rsid w:val="0099272C"/>
    <w:rsid w:val="00996214"/>
    <w:rsid w:val="009971D5"/>
    <w:rsid w:val="00997A8D"/>
    <w:rsid w:val="00997B01"/>
    <w:rsid w:val="00997BC6"/>
    <w:rsid w:val="009A0A64"/>
    <w:rsid w:val="009A4763"/>
    <w:rsid w:val="009A4E90"/>
    <w:rsid w:val="009A5626"/>
    <w:rsid w:val="009A6C92"/>
    <w:rsid w:val="009A6E03"/>
    <w:rsid w:val="009A7906"/>
    <w:rsid w:val="009B0759"/>
    <w:rsid w:val="009B1C90"/>
    <w:rsid w:val="009B2125"/>
    <w:rsid w:val="009B2A90"/>
    <w:rsid w:val="009B2AF0"/>
    <w:rsid w:val="009B3158"/>
    <w:rsid w:val="009B3DC7"/>
    <w:rsid w:val="009B5178"/>
    <w:rsid w:val="009B5E10"/>
    <w:rsid w:val="009B61D2"/>
    <w:rsid w:val="009B72E0"/>
    <w:rsid w:val="009B789E"/>
    <w:rsid w:val="009B7A8B"/>
    <w:rsid w:val="009B7FB5"/>
    <w:rsid w:val="009C065E"/>
    <w:rsid w:val="009C1ADF"/>
    <w:rsid w:val="009C5B53"/>
    <w:rsid w:val="009C5CE8"/>
    <w:rsid w:val="009D06CF"/>
    <w:rsid w:val="009D0827"/>
    <w:rsid w:val="009D3AB6"/>
    <w:rsid w:val="009D4DBC"/>
    <w:rsid w:val="009D50B9"/>
    <w:rsid w:val="009D6ADB"/>
    <w:rsid w:val="009D7FE4"/>
    <w:rsid w:val="009E0C09"/>
    <w:rsid w:val="009E0F13"/>
    <w:rsid w:val="009E1556"/>
    <w:rsid w:val="009E3AA7"/>
    <w:rsid w:val="009E42E7"/>
    <w:rsid w:val="009E54EE"/>
    <w:rsid w:val="009E59DE"/>
    <w:rsid w:val="009E64FB"/>
    <w:rsid w:val="009E665B"/>
    <w:rsid w:val="009E74F8"/>
    <w:rsid w:val="009E7CC7"/>
    <w:rsid w:val="009F17DD"/>
    <w:rsid w:val="009F1D23"/>
    <w:rsid w:val="009F3AEA"/>
    <w:rsid w:val="009F6072"/>
    <w:rsid w:val="009F70D2"/>
    <w:rsid w:val="00A00296"/>
    <w:rsid w:val="00A0045F"/>
    <w:rsid w:val="00A01516"/>
    <w:rsid w:val="00A0262E"/>
    <w:rsid w:val="00A02A2C"/>
    <w:rsid w:val="00A044A0"/>
    <w:rsid w:val="00A046BD"/>
    <w:rsid w:val="00A0480B"/>
    <w:rsid w:val="00A0496B"/>
    <w:rsid w:val="00A05425"/>
    <w:rsid w:val="00A067CE"/>
    <w:rsid w:val="00A06905"/>
    <w:rsid w:val="00A07205"/>
    <w:rsid w:val="00A0732D"/>
    <w:rsid w:val="00A07E69"/>
    <w:rsid w:val="00A10F7F"/>
    <w:rsid w:val="00A112B8"/>
    <w:rsid w:val="00A11B33"/>
    <w:rsid w:val="00A1217C"/>
    <w:rsid w:val="00A13068"/>
    <w:rsid w:val="00A1466B"/>
    <w:rsid w:val="00A16E95"/>
    <w:rsid w:val="00A2002B"/>
    <w:rsid w:val="00A20259"/>
    <w:rsid w:val="00A21BD8"/>
    <w:rsid w:val="00A24798"/>
    <w:rsid w:val="00A24A46"/>
    <w:rsid w:val="00A26737"/>
    <w:rsid w:val="00A26CA8"/>
    <w:rsid w:val="00A270CB"/>
    <w:rsid w:val="00A271DF"/>
    <w:rsid w:val="00A30897"/>
    <w:rsid w:val="00A31098"/>
    <w:rsid w:val="00A3321F"/>
    <w:rsid w:val="00A3361B"/>
    <w:rsid w:val="00A35615"/>
    <w:rsid w:val="00A35C6B"/>
    <w:rsid w:val="00A36B32"/>
    <w:rsid w:val="00A36CB6"/>
    <w:rsid w:val="00A37A0D"/>
    <w:rsid w:val="00A37AEE"/>
    <w:rsid w:val="00A4113D"/>
    <w:rsid w:val="00A42474"/>
    <w:rsid w:val="00A4341D"/>
    <w:rsid w:val="00A4439A"/>
    <w:rsid w:val="00A4563E"/>
    <w:rsid w:val="00A459F2"/>
    <w:rsid w:val="00A470A3"/>
    <w:rsid w:val="00A51641"/>
    <w:rsid w:val="00A51789"/>
    <w:rsid w:val="00A5286C"/>
    <w:rsid w:val="00A5477C"/>
    <w:rsid w:val="00A55FA2"/>
    <w:rsid w:val="00A57423"/>
    <w:rsid w:val="00A576F2"/>
    <w:rsid w:val="00A57BB1"/>
    <w:rsid w:val="00A6007C"/>
    <w:rsid w:val="00A6140F"/>
    <w:rsid w:val="00A61624"/>
    <w:rsid w:val="00A63052"/>
    <w:rsid w:val="00A64F43"/>
    <w:rsid w:val="00A661C5"/>
    <w:rsid w:val="00A72839"/>
    <w:rsid w:val="00A73ABC"/>
    <w:rsid w:val="00A73D24"/>
    <w:rsid w:val="00A771B9"/>
    <w:rsid w:val="00A81524"/>
    <w:rsid w:val="00A8248F"/>
    <w:rsid w:val="00A82E3B"/>
    <w:rsid w:val="00A844B9"/>
    <w:rsid w:val="00A85603"/>
    <w:rsid w:val="00A85E16"/>
    <w:rsid w:val="00A86D5A"/>
    <w:rsid w:val="00A87869"/>
    <w:rsid w:val="00A9220D"/>
    <w:rsid w:val="00A92744"/>
    <w:rsid w:val="00A9353E"/>
    <w:rsid w:val="00A941D5"/>
    <w:rsid w:val="00A95424"/>
    <w:rsid w:val="00A96AE2"/>
    <w:rsid w:val="00A97EC0"/>
    <w:rsid w:val="00AA1E92"/>
    <w:rsid w:val="00AA438A"/>
    <w:rsid w:val="00AA57AA"/>
    <w:rsid w:val="00AA619F"/>
    <w:rsid w:val="00AA62EE"/>
    <w:rsid w:val="00AA6DD1"/>
    <w:rsid w:val="00AB1A93"/>
    <w:rsid w:val="00AB206A"/>
    <w:rsid w:val="00AB237B"/>
    <w:rsid w:val="00AB321A"/>
    <w:rsid w:val="00AB3CB5"/>
    <w:rsid w:val="00AB55A0"/>
    <w:rsid w:val="00AB624D"/>
    <w:rsid w:val="00AC11C1"/>
    <w:rsid w:val="00AC1B9B"/>
    <w:rsid w:val="00AC3354"/>
    <w:rsid w:val="00AC379F"/>
    <w:rsid w:val="00AC7729"/>
    <w:rsid w:val="00AD0957"/>
    <w:rsid w:val="00AD0CD2"/>
    <w:rsid w:val="00AD1AD1"/>
    <w:rsid w:val="00AD285B"/>
    <w:rsid w:val="00AD28AC"/>
    <w:rsid w:val="00AD2EDE"/>
    <w:rsid w:val="00AD49A7"/>
    <w:rsid w:val="00AD528E"/>
    <w:rsid w:val="00AE14F6"/>
    <w:rsid w:val="00AE25D1"/>
    <w:rsid w:val="00AE2703"/>
    <w:rsid w:val="00AE325B"/>
    <w:rsid w:val="00AE40E4"/>
    <w:rsid w:val="00AE4AE7"/>
    <w:rsid w:val="00AE6AAE"/>
    <w:rsid w:val="00AF0962"/>
    <w:rsid w:val="00AF2CB0"/>
    <w:rsid w:val="00AF30AB"/>
    <w:rsid w:val="00AF451C"/>
    <w:rsid w:val="00AF4898"/>
    <w:rsid w:val="00AF5858"/>
    <w:rsid w:val="00AF7226"/>
    <w:rsid w:val="00B01334"/>
    <w:rsid w:val="00B0155C"/>
    <w:rsid w:val="00B0265B"/>
    <w:rsid w:val="00B03CE8"/>
    <w:rsid w:val="00B06ACE"/>
    <w:rsid w:val="00B06E39"/>
    <w:rsid w:val="00B06FF7"/>
    <w:rsid w:val="00B10784"/>
    <w:rsid w:val="00B11296"/>
    <w:rsid w:val="00B12055"/>
    <w:rsid w:val="00B1209F"/>
    <w:rsid w:val="00B141AB"/>
    <w:rsid w:val="00B15BB8"/>
    <w:rsid w:val="00B16015"/>
    <w:rsid w:val="00B1707B"/>
    <w:rsid w:val="00B21A84"/>
    <w:rsid w:val="00B2751E"/>
    <w:rsid w:val="00B275DE"/>
    <w:rsid w:val="00B2783E"/>
    <w:rsid w:val="00B305F4"/>
    <w:rsid w:val="00B307EC"/>
    <w:rsid w:val="00B315FC"/>
    <w:rsid w:val="00B31AF4"/>
    <w:rsid w:val="00B32A82"/>
    <w:rsid w:val="00B33DD8"/>
    <w:rsid w:val="00B3412D"/>
    <w:rsid w:val="00B354D6"/>
    <w:rsid w:val="00B3572A"/>
    <w:rsid w:val="00B360E0"/>
    <w:rsid w:val="00B36769"/>
    <w:rsid w:val="00B367E5"/>
    <w:rsid w:val="00B36F8D"/>
    <w:rsid w:val="00B36FF2"/>
    <w:rsid w:val="00B37213"/>
    <w:rsid w:val="00B378D4"/>
    <w:rsid w:val="00B409D3"/>
    <w:rsid w:val="00B410D4"/>
    <w:rsid w:val="00B4111B"/>
    <w:rsid w:val="00B4130C"/>
    <w:rsid w:val="00B413FE"/>
    <w:rsid w:val="00B4244E"/>
    <w:rsid w:val="00B42579"/>
    <w:rsid w:val="00B45428"/>
    <w:rsid w:val="00B45F91"/>
    <w:rsid w:val="00B46CD7"/>
    <w:rsid w:val="00B53278"/>
    <w:rsid w:val="00B54F6D"/>
    <w:rsid w:val="00B55A49"/>
    <w:rsid w:val="00B57858"/>
    <w:rsid w:val="00B617C9"/>
    <w:rsid w:val="00B6225A"/>
    <w:rsid w:val="00B64CED"/>
    <w:rsid w:val="00B652A2"/>
    <w:rsid w:val="00B65D21"/>
    <w:rsid w:val="00B675D4"/>
    <w:rsid w:val="00B71D21"/>
    <w:rsid w:val="00B730DD"/>
    <w:rsid w:val="00B7584F"/>
    <w:rsid w:val="00B75854"/>
    <w:rsid w:val="00B75EAB"/>
    <w:rsid w:val="00B76A6C"/>
    <w:rsid w:val="00B7758F"/>
    <w:rsid w:val="00B82116"/>
    <w:rsid w:val="00B8511B"/>
    <w:rsid w:val="00B860F8"/>
    <w:rsid w:val="00B869CF"/>
    <w:rsid w:val="00B86A83"/>
    <w:rsid w:val="00B87BBD"/>
    <w:rsid w:val="00B90430"/>
    <w:rsid w:val="00B913B4"/>
    <w:rsid w:val="00B92EBC"/>
    <w:rsid w:val="00B932B0"/>
    <w:rsid w:val="00B93F3A"/>
    <w:rsid w:val="00B95160"/>
    <w:rsid w:val="00B95CBA"/>
    <w:rsid w:val="00B96911"/>
    <w:rsid w:val="00B970A7"/>
    <w:rsid w:val="00BA0E11"/>
    <w:rsid w:val="00BA1D1A"/>
    <w:rsid w:val="00BA259E"/>
    <w:rsid w:val="00BA4F71"/>
    <w:rsid w:val="00BB04AA"/>
    <w:rsid w:val="00BB0D8C"/>
    <w:rsid w:val="00BB19D2"/>
    <w:rsid w:val="00BB3ABC"/>
    <w:rsid w:val="00BB5157"/>
    <w:rsid w:val="00BB5606"/>
    <w:rsid w:val="00BB593E"/>
    <w:rsid w:val="00BB63A1"/>
    <w:rsid w:val="00BB6653"/>
    <w:rsid w:val="00BB669F"/>
    <w:rsid w:val="00BB7BC8"/>
    <w:rsid w:val="00BC1337"/>
    <w:rsid w:val="00BC26CC"/>
    <w:rsid w:val="00BC2D92"/>
    <w:rsid w:val="00BC3574"/>
    <w:rsid w:val="00BC4282"/>
    <w:rsid w:val="00BC43F9"/>
    <w:rsid w:val="00BC7D8E"/>
    <w:rsid w:val="00BD0564"/>
    <w:rsid w:val="00BD0AEF"/>
    <w:rsid w:val="00BD10F0"/>
    <w:rsid w:val="00BD175D"/>
    <w:rsid w:val="00BD1936"/>
    <w:rsid w:val="00BD2FD2"/>
    <w:rsid w:val="00BD3089"/>
    <w:rsid w:val="00BD529F"/>
    <w:rsid w:val="00BD5C21"/>
    <w:rsid w:val="00BD76DE"/>
    <w:rsid w:val="00BE0B77"/>
    <w:rsid w:val="00BE0DD4"/>
    <w:rsid w:val="00BE112E"/>
    <w:rsid w:val="00BE1DCD"/>
    <w:rsid w:val="00BE22AF"/>
    <w:rsid w:val="00BE5449"/>
    <w:rsid w:val="00BE5CC0"/>
    <w:rsid w:val="00BE5E57"/>
    <w:rsid w:val="00BF0BE9"/>
    <w:rsid w:val="00BF1456"/>
    <w:rsid w:val="00BF19E0"/>
    <w:rsid w:val="00BF234B"/>
    <w:rsid w:val="00BF3716"/>
    <w:rsid w:val="00BF5DE4"/>
    <w:rsid w:val="00BF68F4"/>
    <w:rsid w:val="00BF75F2"/>
    <w:rsid w:val="00C009BD"/>
    <w:rsid w:val="00C00AF4"/>
    <w:rsid w:val="00C01499"/>
    <w:rsid w:val="00C01CAD"/>
    <w:rsid w:val="00C01CFA"/>
    <w:rsid w:val="00C01FE7"/>
    <w:rsid w:val="00C02326"/>
    <w:rsid w:val="00C026CA"/>
    <w:rsid w:val="00C02BD2"/>
    <w:rsid w:val="00C0378D"/>
    <w:rsid w:val="00C07B40"/>
    <w:rsid w:val="00C07ED5"/>
    <w:rsid w:val="00C10A8E"/>
    <w:rsid w:val="00C136EB"/>
    <w:rsid w:val="00C14389"/>
    <w:rsid w:val="00C14F8E"/>
    <w:rsid w:val="00C152E0"/>
    <w:rsid w:val="00C17189"/>
    <w:rsid w:val="00C213C8"/>
    <w:rsid w:val="00C214FE"/>
    <w:rsid w:val="00C216BF"/>
    <w:rsid w:val="00C2407D"/>
    <w:rsid w:val="00C27DB1"/>
    <w:rsid w:val="00C30338"/>
    <w:rsid w:val="00C328DF"/>
    <w:rsid w:val="00C32FFF"/>
    <w:rsid w:val="00C33407"/>
    <w:rsid w:val="00C3604D"/>
    <w:rsid w:val="00C365F0"/>
    <w:rsid w:val="00C36E1D"/>
    <w:rsid w:val="00C37352"/>
    <w:rsid w:val="00C40EA4"/>
    <w:rsid w:val="00C424E6"/>
    <w:rsid w:val="00C50916"/>
    <w:rsid w:val="00C5117D"/>
    <w:rsid w:val="00C51738"/>
    <w:rsid w:val="00C52CC2"/>
    <w:rsid w:val="00C53A1F"/>
    <w:rsid w:val="00C54512"/>
    <w:rsid w:val="00C54FFC"/>
    <w:rsid w:val="00C55BA2"/>
    <w:rsid w:val="00C560CB"/>
    <w:rsid w:val="00C57C0E"/>
    <w:rsid w:val="00C606E8"/>
    <w:rsid w:val="00C6113C"/>
    <w:rsid w:val="00C61AD3"/>
    <w:rsid w:val="00C64BDC"/>
    <w:rsid w:val="00C650A6"/>
    <w:rsid w:val="00C7138D"/>
    <w:rsid w:val="00C718E1"/>
    <w:rsid w:val="00C73037"/>
    <w:rsid w:val="00C74572"/>
    <w:rsid w:val="00C75052"/>
    <w:rsid w:val="00C762B1"/>
    <w:rsid w:val="00C766D0"/>
    <w:rsid w:val="00C7758D"/>
    <w:rsid w:val="00C8360A"/>
    <w:rsid w:val="00C83A65"/>
    <w:rsid w:val="00C83B1A"/>
    <w:rsid w:val="00C8475E"/>
    <w:rsid w:val="00C84985"/>
    <w:rsid w:val="00C854F1"/>
    <w:rsid w:val="00C858F2"/>
    <w:rsid w:val="00C870E5"/>
    <w:rsid w:val="00C871F0"/>
    <w:rsid w:val="00C900D2"/>
    <w:rsid w:val="00C90517"/>
    <w:rsid w:val="00C91539"/>
    <w:rsid w:val="00C92983"/>
    <w:rsid w:val="00C93057"/>
    <w:rsid w:val="00C94140"/>
    <w:rsid w:val="00C95B68"/>
    <w:rsid w:val="00C95E1A"/>
    <w:rsid w:val="00C96103"/>
    <w:rsid w:val="00C96160"/>
    <w:rsid w:val="00C962D5"/>
    <w:rsid w:val="00C97255"/>
    <w:rsid w:val="00C976E1"/>
    <w:rsid w:val="00CA55C8"/>
    <w:rsid w:val="00CA695B"/>
    <w:rsid w:val="00CA6AF7"/>
    <w:rsid w:val="00CB0280"/>
    <w:rsid w:val="00CB329C"/>
    <w:rsid w:val="00CB48C2"/>
    <w:rsid w:val="00CB5B34"/>
    <w:rsid w:val="00CB7387"/>
    <w:rsid w:val="00CB74CA"/>
    <w:rsid w:val="00CC094D"/>
    <w:rsid w:val="00CC0DC5"/>
    <w:rsid w:val="00CC146F"/>
    <w:rsid w:val="00CC1789"/>
    <w:rsid w:val="00CC1EFB"/>
    <w:rsid w:val="00CC233B"/>
    <w:rsid w:val="00CC24F8"/>
    <w:rsid w:val="00CC3728"/>
    <w:rsid w:val="00CC3FA6"/>
    <w:rsid w:val="00CC462B"/>
    <w:rsid w:val="00CC4794"/>
    <w:rsid w:val="00CC4BF0"/>
    <w:rsid w:val="00CC64E3"/>
    <w:rsid w:val="00CC711E"/>
    <w:rsid w:val="00CD0670"/>
    <w:rsid w:val="00CD4934"/>
    <w:rsid w:val="00CD4E01"/>
    <w:rsid w:val="00CD5526"/>
    <w:rsid w:val="00CD6500"/>
    <w:rsid w:val="00CD66FB"/>
    <w:rsid w:val="00CE230C"/>
    <w:rsid w:val="00CE35B9"/>
    <w:rsid w:val="00CE4C7B"/>
    <w:rsid w:val="00CE5BBA"/>
    <w:rsid w:val="00CE6007"/>
    <w:rsid w:val="00CE61C3"/>
    <w:rsid w:val="00CE68FF"/>
    <w:rsid w:val="00CE6E0E"/>
    <w:rsid w:val="00CE7033"/>
    <w:rsid w:val="00CE73FA"/>
    <w:rsid w:val="00CE77A2"/>
    <w:rsid w:val="00CF2019"/>
    <w:rsid w:val="00CF2BC9"/>
    <w:rsid w:val="00CF30DB"/>
    <w:rsid w:val="00CF3569"/>
    <w:rsid w:val="00CF3DF2"/>
    <w:rsid w:val="00CF4014"/>
    <w:rsid w:val="00CF55FA"/>
    <w:rsid w:val="00CF68DA"/>
    <w:rsid w:val="00CF6F91"/>
    <w:rsid w:val="00D006E3"/>
    <w:rsid w:val="00D01CF3"/>
    <w:rsid w:val="00D028BF"/>
    <w:rsid w:val="00D03468"/>
    <w:rsid w:val="00D04ADE"/>
    <w:rsid w:val="00D06B17"/>
    <w:rsid w:val="00D07879"/>
    <w:rsid w:val="00D11019"/>
    <w:rsid w:val="00D115D9"/>
    <w:rsid w:val="00D13E0D"/>
    <w:rsid w:val="00D14176"/>
    <w:rsid w:val="00D145AD"/>
    <w:rsid w:val="00D151CD"/>
    <w:rsid w:val="00D1576E"/>
    <w:rsid w:val="00D15E89"/>
    <w:rsid w:val="00D16548"/>
    <w:rsid w:val="00D17ED5"/>
    <w:rsid w:val="00D21D97"/>
    <w:rsid w:val="00D21F9F"/>
    <w:rsid w:val="00D221DD"/>
    <w:rsid w:val="00D22450"/>
    <w:rsid w:val="00D2250E"/>
    <w:rsid w:val="00D255A8"/>
    <w:rsid w:val="00D263EC"/>
    <w:rsid w:val="00D26E8D"/>
    <w:rsid w:val="00D30A7C"/>
    <w:rsid w:val="00D31090"/>
    <w:rsid w:val="00D31A4E"/>
    <w:rsid w:val="00D325DD"/>
    <w:rsid w:val="00D32A0A"/>
    <w:rsid w:val="00D34266"/>
    <w:rsid w:val="00D35FD1"/>
    <w:rsid w:val="00D36AD8"/>
    <w:rsid w:val="00D37A84"/>
    <w:rsid w:val="00D40ED0"/>
    <w:rsid w:val="00D41CF8"/>
    <w:rsid w:val="00D42646"/>
    <w:rsid w:val="00D46938"/>
    <w:rsid w:val="00D474E2"/>
    <w:rsid w:val="00D47F2A"/>
    <w:rsid w:val="00D50A2A"/>
    <w:rsid w:val="00D51DF9"/>
    <w:rsid w:val="00D52C9E"/>
    <w:rsid w:val="00D546D7"/>
    <w:rsid w:val="00D55520"/>
    <w:rsid w:val="00D5698E"/>
    <w:rsid w:val="00D56B8B"/>
    <w:rsid w:val="00D56C0B"/>
    <w:rsid w:val="00D571FE"/>
    <w:rsid w:val="00D57724"/>
    <w:rsid w:val="00D6032B"/>
    <w:rsid w:val="00D60607"/>
    <w:rsid w:val="00D61386"/>
    <w:rsid w:val="00D6140F"/>
    <w:rsid w:val="00D63A86"/>
    <w:rsid w:val="00D63F49"/>
    <w:rsid w:val="00D65E4D"/>
    <w:rsid w:val="00D70BA6"/>
    <w:rsid w:val="00D7623D"/>
    <w:rsid w:val="00D77FE8"/>
    <w:rsid w:val="00D80FC0"/>
    <w:rsid w:val="00D81F8E"/>
    <w:rsid w:val="00D8284C"/>
    <w:rsid w:val="00D839E0"/>
    <w:rsid w:val="00D83B3D"/>
    <w:rsid w:val="00D85ED8"/>
    <w:rsid w:val="00D85F3A"/>
    <w:rsid w:val="00D85F5C"/>
    <w:rsid w:val="00D94324"/>
    <w:rsid w:val="00D95F51"/>
    <w:rsid w:val="00D96298"/>
    <w:rsid w:val="00D96FF4"/>
    <w:rsid w:val="00DA08F0"/>
    <w:rsid w:val="00DA2828"/>
    <w:rsid w:val="00DA354F"/>
    <w:rsid w:val="00DA4827"/>
    <w:rsid w:val="00DA66DB"/>
    <w:rsid w:val="00DA71EA"/>
    <w:rsid w:val="00DA7755"/>
    <w:rsid w:val="00DB0D9B"/>
    <w:rsid w:val="00DB52FE"/>
    <w:rsid w:val="00DB53AA"/>
    <w:rsid w:val="00DB5BFA"/>
    <w:rsid w:val="00DB5DF1"/>
    <w:rsid w:val="00DB6B67"/>
    <w:rsid w:val="00DB7C52"/>
    <w:rsid w:val="00DC0485"/>
    <w:rsid w:val="00DC07CF"/>
    <w:rsid w:val="00DC08F4"/>
    <w:rsid w:val="00DC0E2A"/>
    <w:rsid w:val="00DC2509"/>
    <w:rsid w:val="00DC52BE"/>
    <w:rsid w:val="00DC57B5"/>
    <w:rsid w:val="00DC5C82"/>
    <w:rsid w:val="00DC78A1"/>
    <w:rsid w:val="00DD0EEA"/>
    <w:rsid w:val="00DD2465"/>
    <w:rsid w:val="00DD2C48"/>
    <w:rsid w:val="00DD30FF"/>
    <w:rsid w:val="00DD39B0"/>
    <w:rsid w:val="00DD5EF3"/>
    <w:rsid w:val="00DD6BC7"/>
    <w:rsid w:val="00DD7303"/>
    <w:rsid w:val="00DD76C5"/>
    <w:rsid w:val="00DD7CAD"/>
    <w:rsid w:val="00DE12B0"/>
    <w:rsid w:val="00DE164C"/>
    <w:rsid w:val="00DE196F"/>
    <w:rsid w:val="00DE2731"/>
    <w:rsid w:val="00DE562A"/>
    <w:rsid w:val="00DE6046"/>
    <w:rsid w:val="00DE726F"/>
    <w:rsid w:val="00DF0560"/>
    <w:rsid w:val="00DF0F58"/>
    <w:rsid w:val="00DF1AD4"/>
    <w:rsid w:val="00DF230E"/>
    <w:rsid w:val="00DF3184"/>
    <w:rsid w:val="00DF552F"/>
    <w:rsid w:val="00DF58D9"/>
    <w:rsid w:val="00DF59F6"/>
    <w:rsid w:val="00DF6461"/>
    <w:rsid w:val="00DF7FFC"/>
    <w:rsid w:val="00E01C9D"/>
    <w:rsid w:val="00E01EAE"/>
    <w:rsid w:val="00E03EFD"/>
    <w:rsid w:val="00E05774"/>
    <w:rsid w:val="00E07E23"/>
    <w:rsid w:val="00E1282E"/>
    <w:rsid w:val="00E1391A"/>
    <w:rsid w:val="00E14210"/>
    <w:rsid w:val="00E147FC"/>
    <w:rsid w:val="00E14D34"/>
    <w:rsid w:val="00E159A0"/>
    <w:rsid w:val="00E16FA4"/>
    <w:rsid w:val="00E177EA"/>
    <w:rsid w:val="00E17D99"/>
    <w:rsid w:val="00E220C6"/>
    <w:rsid w:val="00E2293A"/>
    <w:rsid w:val="00E241B7"/>
    <w:rsid w:val="00E24933"/>
    <w:rsid w:val="00E25ABF"/>
    <w:rsid w:val="00E264E2"/>
    <w:rsid w:val="00E27AB5"/>
    <w:rsid w:val="00E27BE9"/>
    <w:rsid w:val="00E307F4"/>
    <w:rsid w:val="00E314F2"/>
    <w:rsid w:val="00E3209C"/>
    <w:rsid w:val="00E3219F"/>
    <w:rsid w:val="00E327BA"/>
    <w:rsid w:val="00E33780"/>
    <w:rsid w:val="00E34C02"/>
    <w:rsid w:val="00E35EF2"/>
    <w:rsid w:val="00E362F2"/>
    <w:rsid w:val="00E41149"/>
    <w:rsid w:val="00E424BE"/>
    <w:rsid w:val="00E43D75"/>
    <w:rsid w:val="00E4468F"/>
    <w:rsid w:val="00E452D2"/>
    <w:rsid w:val="00E46542"/>
    <w:rsid w:val="00E47478"/>
    <w:rsid w:val="00E47E91"/>
    <w:rsid w:val="00E50CE0"/>
    <w:rsid w:val="00E56A60"/>
    <w:rsid w:val="00E57BFA"/>
    <w:rsid w:val="00E622C6"/>
    <w:rsid w:val="00E626BC"/>
    <w:rsid w:val="00E62A55"/>
    <w:rsid w:val="00E6405E"/>
    <w:rsid w:val="00E644CA"/>
    <w:rsid w:val="00E65073"/>
    <w:rsid w:val="00E66257"/>
    <w:rsid w:val="00E66538"/>
    <w:rsid w:val="00E66654"/>
    <w:rsid w:val="00E67B67"/>
    <w:rsid w:val="00E7115E"/>
    <w:rsid w:val="00E71372"/>
    <w:rsid w:val="00E72048"/>
    <w:rsid w:val="00E7331F"/>
    <w:rsid w:val="00E74BF5"/>
    <w:rsid w:val="00E760D2"/>
    <w:rsid w:val="00E77072"/>
    <w:rsid w:val="00E771D6"/>
    <w:rsid w:val="00E81705"/>
    <w:rsid w:val="00E82B3D"/>
    <w:rsid w:val="00E82FA2"/>
    <w:rsid w:val="00E84425"/>
    <w:rsid w:val="00E84B6E"/>
    <w:rsid w:val="00E84E08"/>
    <w:rsid w:val="00E85210"/>
    <w:rsid w:val="00E85578"/>
    <w:rsid w:val="00E87326"/>
    <w:rsid w:val="00E87C24"/>
    <w:rsid w:val="00E92C1D"/>
    <w:rsid w:val="00E93B14"/>
    <w:rsid w:val="00E94989"/>
    <w:rsid w:val="00E95203"/>
    <w:rsid w:val="00E9533B"/>
    <w:rsid w:val="00E965F6"/>
    <w:rsid w:val="00E976FB"/>
    <w:rsid w:val="00EA0AF6"/>
    <w:rsid w:val="00EA17A5"/>
    <w:rsid w:val="00EA238A"/>
    <w:rsid w:val="00EA2F7A"/>
    <w:rsid w:val="00EA38DE"/>
    <w:rsid w:val="00EA42DE"/>
    <w:rsid w:val="00EA480F"/>
    <w:rsid w:val="00EA4841"/>
    <w:rsid w:val="00EA4D41"/>
    <w:rsid w:val="00EB0AE0"/>
    <w:rsid w:val="00EB0FF1"/>
    <w:rsid w:val="00EB1209"/>
    <w:rsid w:val="00EB1C5F"/>
    <w:rsid w:val="00EB2051"/>
    <w:rsid w:val="00EB33D9"/>
    <w:rsid w:val="00EB4C10"/>
    <w:rsid w:val="00EB647F"/>
    <w:rsid w:val="00EC12C4"/>
    <w:rsid w:val="00EC192A"/>
    <w:rsid w:val="00EC1C84"/>
    <w:rsid w:val="00EC384A"/>
    <w:rsid w:val="00EC4E92"/>
    <w:rsid w:val="00EC689F"/>
    <w:rsid w:val="00EC6CC8"/>
    <w:rsid w:val="00ED17C3"/>
    <w:rsid w:val="00ED3BD7"/>
    <w:rsid w:val="00ED42B9"/>
    <w:rsid w:val="00ED5127"/>
    <w:rsid w:val="00ED535B"/>
    <w:rsid w:val="00ED5F86"/>
    <w:rsid w:val="00ED760A"/>
    <w:rsid w:val="00ED76CB"/>
    <w:rsid w:val="00EE0B1A"/>
    <w:rsid w:val="00EE2445"/>
    <w:rsid w:val="00EE29BD"/>
    <w:rsid w:val="00EE2FF0"/>
    <w:rsid w:val="00EE486D"/>
    <w:rsid w:val="00EE5534"/>
    <w:rsid w:val="00EE66FF"/>
    <w:rsid w:val="00EE7000"/>
    <w:rsid w:val="00EE78A4"/>
    <w:rsid w:val="00EF0A24"/>
    <w:rsid w:val="00EF0BB4"/>
    <w:rsid w:val="00EF1F12"/>
    <w:rsid w:val="00EF287B"/>
    <w:rsid w:val="00EF2C72"/>
    <w:rsid w:val="00EF3066"/>
    <w:rsid w:val="00EF3D73"/>
    <w:rsid w:val="00EF475C"/>
    <w:rsid w:val="00EF5549"/>
    <w:rsid w:val="00EF6821"/>
    <w:rsid w:val="00F04DEC"/>
    <w:rsid w:val="00F05105"/>
    <w:rsid w:val="00F057DD"/>
    <w:rsid w:val="00F062E6"/>
    <w:rsid w:val="00F077E0"/>
    <w:rsid w:val="00F12F47"/>
    <w:rsid w:val="00F16AC6"/>
    <w:rsid w:val="00F20A8E"/>
    <w:rsid w:val="00F2265C"/>
    <w:rsid w:val="00F23323"/>
    <w:rsid w:val="00F2369E"/>
    <w:rsid w:val="00F2451F"/>
    <w:rsid w:val="00F25434"/>
    <w:rsid w:val="00F275F9"/>
    <w:rsid w:val="00F278FF"/>
    <w:rsid w:val="00F30243"/>
    <w:rsid w:val="00F302CE"/>
    <w:rsid w:val="00F32655"/>
    <w:rsid w:val="00F33E7D"/>
    <w:rsid w:val="00F35178"/>
    <w:rsid w:val="00F353D5"/>
    <w:rsid w:val="00F40AF7"/>
    <w:rsid w:val="00F4221F"/>
    <w:rsid w:val="00F43DD7"/>
    <w:rsid w:val="00F442C0"/>
    <w:rsid w:val="00F45482"/>
    <w:rsid w:val="00F463FC"/>
    <w:rsid w:val="00F47948"/>
    <w:rsid w:val="00F50680"/>
    <w:rsid w:val="00F51B07"/>
    <w:rsid w:val="00F53B17"/>
    <w:rsid w:val="00F543FB"/>
    <w:rsid w:val="00F548E9"/>
    <w:rsid w:val="00F54910"/>
    <w:rsid w:val="00F5643E"/>
    <w:rsid w:val="00F56936"/>
    <w:rsid w:val="00F56D17"/>
    <w:rsid w:val="00F60DF7"/>
    <w:rsid w:val="00F611A7"/>
    <w:rsid w:val="00F611C9"/>
    <w:rsid w:val="00F61AE9"/>
    <w:rsid w:val="00F65AE3"/>
    <w:rsid w:val="00F65BFA"/>
    <w:rsid w:val="00F667CA"/>
    <w:rsid w:val="00F66C5E"/>
    <w:rsid w:val="00F67955"/>
    <w:rsid w:val="00F7056F"/>
    <w:rsid w:val="00F70BA6"/>
    <w:rsid w:val="00F7112D"/>
    <w:rsid w:val="00F71175"/>
    <w:rsid w:val="00F71404"/>
    <w:rsid w:val="00F734C9"/>
    <w:rsid w:val="00F73ACA"/>
    <w:rsid w:val="00F73D72"/>
    <w:rsid w:val="00F80300"/>
    <w:rsid w:val="00F8145E"/>
    <w:rsid w:val="00F81763"/>
    <w:rsid w:val="00F819E1"/>
    <w:rsid w:val="00F82B61"/>
    <w:rsid w:val="00F837D1"/>
    <w:rsid w:val="00F860EF"/>
    <w:rsid w:val="00F872C3"/>
    <w:rsid w:val="00F905E7"/>
    <w:rsid w:val="00F906EF"/>
    <w:rsid w:val="00F908F9"/>
    <w:rsid w:val="00F92523"/>
    <w:rsid w:val="00F94F21"/>
    <w:rsid w:val="00F95141"/>
    <w:rsid w:val="00F95179"/>
    <w:rsid w:val="00F95928"/>
    <w:rsid w:val="00F96D23"/>
    <w:rsid w:val="00F97793"/>
    <w:rsid w:val="00FA077B"/>
    <w:rsid w:val="00FA19AF"/>
    <w:rsid w:val="00FA2468"/>
    <w:rsid w:val="00FA3F5F"/>
    <w:rsid w:val="00FA4D5E"/>
    <w:rsid w:val="00FA51AE"/>
    <w:rsid w:val="00FA7461"/>
    <w:rsid w:val="00FB0212"/>
    <w:rsid w:val="00FB1405"/>
    <w:rsid w:val="00FB22FE"/>
    <w:rsid w:val="00FB2902"/>
    <w:rsid w:val="00FB49D0"/>
    <w:rsid w:val="00FB527D"/>
    <w:rsid w:val="00FB6D8F"/>
    <w:rsid w:val="00FB769F"/>
    <w:rsid w:val="00FB76D7"/>
    <w:rsid w:val="00FB78F9"/>
    <w:rsid w:val="00FC17C1"/>
    <w:rsid w:val="00FC1AF1"/>
    <w:rsid w:val="00FC211C"/>
    <w:rsid w:val="00FC2C35"/>
    <w:rsid w:val="00FC576A"/>
    <w:rsid w:val="00FC74F2"/>
    <w:rsid w:val="00FC76B6"/>
    <w:rsid w:val="00FD180A"/>
    <w:rsid w:val="00FD23D6"/>
    <w:rsid w:val="00FD592D"/>
    <w:rsid w:val="00FD5B5D"/>
    <w:rsid w:val="00FD71E2"/>
    <w:rsid w:val="00FD7A6D"/>
    <w:rsid w:val="00FE1409"/>
    <w:rsid w:val="00FE16BE"/>
    <w:rsid w:val="00FE1979"/>
    <w:rsid w:val="00FE3701"/>
    <w:rsid w:val="00FE3B51"/>
    <w:rsid w:val="00FE3D4B"/>
    <w:rsid w:val="00FE3E69"/>
    <w:rsid w:val="00FE4178"/>
    <w:rsid w:val="00FE6D1F"/>
    <w:rsid w:val="00FE6D23"/>
    <w:rsid w:val="00FE7E1E"/>
    <w:rsid w:val="00FF0045"/>
    <w:rsid w:val="00FF02DB"/>
    <w:rsid w:val="00FF0786"/>
    <w:rsid w:val="00FF22AB"/>
    <w:rsid w:val="00FF2A7B"/>
    <w:rsid w:val="00FF2BEA"/>
    <w:rsid w:val="00FF2C4F"/>
    <w:rsid w:val="00FF3809"/>
    <w:rsid w:val="00FF3CF7"/>
    <w:rsid w:val="00FF3F4E"/>
    <w:rsid w:val="00FF4199"/>
    <w:rsid w:val="00FF461F"/>
    <w:rsid w:val="00FF4FF2"/>
    <w:rsid w:val="00FF5B5E"/>
    <w:rsid w:val="00FF5E34"/>
    <w:rsid w:val="00FF6294"/>
    <w:rsid w:val="00FF6E5B"/>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hapeDefaults>
    <o:shapedefaults v:ext="edit" spidmax="2049" fill="f" fillcolor="white">
      <v:fill color="white" on="f"/>
      <v:stroke endarrow="block"/>
    </o:shapedefaults>
    <o:shapelayout v:ext="edit">
      <o:idmap v:ext="edit" data="1"/>
    </o:shapelayout>
  </w:shapeDefaults>
  <w:decimalSymbol w:val="."/>
  <w:listSeparator w:val=","/>
  <w14:docId w14:val="498718BA"/>
  <w15:chartTrackingRefBased/>
  <w15:docId w15:val="{E61E1875-45D5-438B-B989-06CAA771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lsdException w:name="heading 2"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annotation reference" w:uiPriority="99"/>
    <w:lsdException w:name="Subtitle" w:uiPriority="11"/>
    <w:lsdException w:name="Hyperlink" w:uiPriority="99"/>
    <w:lsdException w:name="Strong" w:uiPriority="22"/>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7D1"/>
    <w:rPr>
      <w:rFonts w:ascii="Arial" w:hAnsi="Arial"/>
      <w:sz w:val="24"/>
      <w:szCs w:val="24"/>
    </w:rPr>
  </w:style>
  <w:style w:type="paragraph" w:styleId="Heading1">
    <w:name w:val="heading 1"/>
    <w:basedOn w:val="Normal"/>
    <w:next w:val="Normal"/>
    <w:uiPriority w:val="9"/>
    <w:rsid w:val="005D2FA4"/>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rsid w:val="007A6A04"/>
    <w:pPr>
      <w:keepNext/>
      <w:spacing w:after="240" w:line="360" w:lineRule="auto"/>
      <w:outlineLvl w:val="2"/>
    </w:pPr>
    <w:rPr>
      <w:b/>
      <w:sz w:val="28"/>
      <w:szCs w:val="20"/>
    </w:rPr>
  </w:style>
  <w:style w:type="paragraph" w:styleId="Heading4">
    <w:name w:val="heading 4"/>
    <w:basedOn w:val="Normal"/>
    <w:next w:val="Normal"/>
    <w:uiPriority w:val="9"/>
    <w:semiHidden/>
    <w:unhideWhenUsed/>
    <w:rsid w:val="005B083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7EBD"/>
    <w:pPr>
      <w:tabs>
        <w:tab w:val="center" w:pos="4153"/>
        <w:tab w:val="right" w:pos="8306"/>
      </w:tabs>
    </w:pPr>
  </w:style>
  <w:style w:type="paragraph" w:styleId="Footer">
    <w:name w:val="footer"/>
    <w:basedOn w:val="Normal"/>
    <w:link w:val="FooterChar"/>
    <w:uiPriority w:val="99"/>
    <w:rsid w:val="002E7EBD"/>
    <w:pPr>
      <w:tabs>
        <w:tab w:val="center" w:pos="4153"/>
        <w:tab w:val="right" w:pos="8306"/>
      </w:tabs>
    </w:pPr>
  </w:style>
  <w:style w:type="table" w:styleId="TableGrid">
    <w:name w:val="Table Grid"/>
    <w:basedOn w:val="TableNormal"/>
    <w:uiPriority w:val="59"/>
    <w:rsid w:val="00E1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14FD2"/>
    <w:rPr>
      <w:sz w:val="20"/>
      <w:szCs w:val="20"/>
    </w:rPr>
  </w:style>
  <w:style w:type="character" w:styleId="FootnoteReference">
    <w:name w:val="footnote reference"/>
    <w:semiHidden/>
    <w:rsid w:val="00714FD2"/>
    <w:rPr>
      <w:vertAlign w:val="superscript"/>
    </w:rPr>
  </w:style>
  <w:style w:type="character" w:styleId="PageNumber">
    <w:name w:val="page number"/>
    <w:basedOn w:val="DefaultParagraphFont"/>
    <w:rsid w:val="0031307A"/>
  </w:style>
  <w:style w:type="character" w:styleId="FollowedHyperlink">
    <w:name w:val="FollowedHyperlink"/>
    <w:rsid w:val="00B675D4"/>
    <w:rPr>
      <w:color w:val="800080"/>
      <w:u w:val="single"/>
    </w:rPr>
  </w:style>
  <w:style w:type="character" w:styleId="Hyperlink">
    <w:name w:val="Hyperlink"/>
    <w:uiPriority w:val="99"/>
    <w:rsid w:val="00826EBC"/>
    <w:rPr>
      <w:color w:val="0000FF"/>
      <w:u w:val="single"/>
    </w:rPr>
  </w:style>
  <w:style w:type="paragraph" w:styleId="BalloonText">
    <w:name w:val="Balloon Text"/>
    <w:basedOn w:val="Normal"/>
    <w:semiHidden/>
    <w:rsid w:val="00D56C0B"/>
    <w:rPr>
      <w:rFonts w:ascii="Tahoma" w:hAnsi="Tahoma" w:cs="Tahoma"/>
      <w:sz w:val="16"/>
      <w:szCs w:val="16"/>
    </w:rPr>
  </w:style>
  <w:style w:type="paragraph" w:styleId="Title">
    <w:name w:val="Title"/>
    <w:aliases w:val="Centred title"/>
    <w:basedOn w:val="Normal"/>
    <w:link w:val="TitleChar"/>
    <w:rsid w:val="00B12055"/>
    <w:pPr>
      <w:jc w:val="center"/>
    </w:pPr>
    <w:rPr>
      <w:b/>
      <w:color w:val="000000"/>
      <w:sz w:val="28"/>
      <w:szCs w:val="20"/>
    </w:rPr>
  </w:style>
  <w:style w:type="paragraph" w:styleId="BodyText">
    <w:name w:val="Body Text"/>
    <w:basedOn w:val="Normal"/>
    <w:rsid w:val="00CB329C"/>
    <w:rPr>
      <w:sz w:val="22"/>
      <w:szCs w:val="20"/>
    </w:rPr>
  </w:style>
  <w:style w:type="paragraph" w:styleId="BodyTextIndent">
    <w:name w:val="Body Text Indent"/>
    <w:basedOn w:val="Normal"/>
    <w:rsid w:val="00B53278"/>
    <w:pPr>
      <w:spacing w:after="120"/>
      <w:ind w:left="283"/>
    </w:pPr>
  </w:style>
  <w:style w:type="paragraph" w:styleId="BodyText2">
    <w:name w:val="Body Text 2"/>
    <w:basedOn w:val="Normal"/>
    <w:rsid w:val="00B53278"/>
    <w:pPr>
      <w:spacing w:after="120" w:line="480" w:lineRule="auto"/>
    </w:pPr>
  </w:style>
  <w:style w:type="paragraph" w:styleId="BodyText3">
    <w:name w:val="Body Text 3"/>
    <w:basedOn w:val="Normal"/>
    <w:rsid w:val="00B53278"/>
    <w:pPr>
      <w:spacing w:after="120"/>
    </w:pPr>
    <w:rPr>
      <w:sz w:val="16"/>
      <w:szCs w:val="16"/>
    </w:rPr>
  </w:style>
  <w:style w:type="character" w:styleId="CommentReference">
    <w:name w:val="annotation reference"/>
    <w:uiPriority w:val="99"/>
    <w:semiHidden/>
    <w:rsid w:val="00C7138D"/>
    <w:rPr>
      <w:sz w:val="16"/>
      <w:szCs w:val="16"/>
    </w:rPr>
  </w:style>
  <w:style w:type="paragraph" w:styleId="CommentText">
    <w:name w:val="annotation text"/>
    <w:basedOn w:val="Normal"/>
    <w:link w:val="CommentTextChar"/>
    <w:uiPriority w:val="99"/>
    <w:semiHidden/>
    <w:rsid w:val="00C7138D"/>
    <w:rPr>
      <w:sz w:val="20"/>
      <w:szCs w:val="20"/>
    </w:rPr>
  </w:style>
  <w:style w:type="paragraph" w:styleId="CommentSubject">
    <w:name w:val="annotation subject"/>
    <w:basedOn w:val="CommentText"/>
    <w:next w:val="CommentText"/>
    <w:semiHidden/>
    <w:rsid w:val="00C7138D"/>
    <w:rPr>
      <w:b/>
      <w:bCs/>
    </w:rPr>
  </w:style>
  <w:style w:type="paragraph" w:customStyle="1" w:styleId="Default">
    <w:name w:val="Default"/>
    <w:rsid w:val="0018652D"/>
    <w:pPr>
      <w:autoSpaceDE w:val="0"/>
      <w:autoSpaceDN w:val="0"/>
      <w:adjustRightInd w:val="0"/>
      <w:spacing w:after="200" w:line="276" w:lineRule="auto"/>
    </w:pPr>
    <w:rPr>
      <w:rFonts w:ascii="Arial" w:hAnsi="Arial" w:cs="Arial"/>
      <w:color w:val="000000"/>
      <w:sz w:val="24"/>
      <w:szCs w:val="24"/>
    </w:rPr>
  </w:style>
  <w:style w:type="paragraph" w:styleId="ListParagraph">
    <w:name w:val="List Paragraph"/>
    <w:basedOn w:val="Normal"/>
    <w:uiPriority w:val="34"/>
    <w:rsid w:val="00655DCC"/>
    <w:pPr>
      <w:ind w:left="720"/>
      <w:contextualSpacing/>
    </w:pPr>
  </w:style>
  <w:style w:type="character" w:customStyle="1" w:styleId="FooterChar">
    <w:name w:val="Footer Char"/>
    <w:link w:val="Footer"/>
    <w:uiPriority w:val="99"/>
    <w:rsid w:val="00437798"/>
    <w:rPr>
      <w:sz w:val="24"/>
      <w:szCs w:val="24"/>
    </w:rPr>
  </w:style>
  <w:style w:type="character" w:styleId="PlaceholderText">
    <w:name w:val="Placeholder Text"/>
    <w:semiHidden/>
    <w:rsid w:val="00A57BB1"/>
    <w:rPr>
      <w:color w:val="808080"/>
    </w:rPr>
  </w:style>
  <w:style w:type="paragraph" w:styleId="TOCHeading">
    <w:name w:val="TOC Heading"/>
    <w:basedOn w:val="Heading1"/>
    <w:next w:val="Normal"/>
    <w:uiPriority w:val="39"/>
    <w:semiHidden/>
    <w:unhideWhenUsed/>
    <w:qFormat/>
    <w:rsid w:val="000A1E88"/>
    <w:pPr>
      <w:outlineLvl w:val="9"/>
    </w:pPr>
  </w:style>
  <w:style w:type="paragraph" w:styleId="TOC1">
    <w:name w:val="toc 1"/>
    <w:basedOn w:val="Normal"/>
    <w:next w:val="Normal"/>
    <w:autoRedefine/>
    <w:uiPriority w:val="39"/>
    <w:rsid w:val="00022E82"/>
    <w:pPr>
      <w:tabs>
        <w:tab w:val="left" w:pos="482"/>
        <w:tab w:val="right" w:leader="dot" w:pos="9498"/>
      </w:tabs>
      <w:ind w:left="426" w:right="-23" w:hanging="426"/>
    </w:pPr>
  </w:style>
  <w:style w:type="paragraph" w:styleId="TOC3">
    <w:name w:val="toc 3"/>
    <w:basedOn w:val="Normal"/>
    <w:next w:val="Normal"/>
    <w:autoRedefine/>
    <w:uiPriority w:val="39"/>
    <w:rsid w:val="00FE1979"/>
    <w:pPr>
      <w:tabs>
        <w:tab w:val="left" w:pos="1100"/>
        <w:tab w:val="right" w:leader="dot" w:pos="8755"/>
      </w:tabs>
      <w:spacing w:after="120"/>
    </w:pPr>
  </w:style>
  <w:style w:type="paragraph" w:customStyle="1" w:styleId="TableofContents">
    <w:name w:val="Table of Contents"/>
    <w:basedOn w:val="TOC3"/>
    <w:qFormat/>
    <w:rsid w:val="00B12055"/>
    <w:rPr>
      <w:noProof/>
    </w:rPr>
  </w:style>
  <w:style w:type="paragraph" w:customStyle="1" w:styleId="SectionTitle">
    <w:name w:val="Section Title"/>
    <w:basedOn w:val="Normal"/>
    <w:rsid w:val="004F139F"/>
    <w:pPr>
      <w:spacing w:before="200" w:after="200"/>
    </w:pPr>
    <w:rPr>
      <w:rFonts w:cs="Arial"/>
      <w:b/>
      <w:sz w:val="28"/>
    </w:rPr>
  </w:style>
  <w:style w:type="numbering" w:customStyle="1" w:styleId="PolicyBullet">
    <w:name w:val="Policy Bullet"/>
    <w:basedOn w:val="NoList"/>
    <w:rsid w:val="0012411D"/>
    <w:pPr>
      <w:numPr>
        <w:numId w:val="1"/>
      </w:numPr>
    </w:pPr>
  </w:style>
  <w:style w:type="paragraph" w:customStyle="1" w:styleId="Policyheader">
    <w:name w:val="Policy header"/>
    <w:basedOn w:val="Header"/>
    <w:link w:val="PolicyheaderChar"/>
    <w:qFormat/>
    <w:rsid w:val="00F73ACA"/>
    <w:pPr>
      <w:keepNext/>
      <w:numPr>
        <w:numId w:val="2"/>
      </w:numPr>
      <w:tabs>
        <w:tab w:val="clear" w:pos="4153"/>
        <w:tab w:val="clear" w:pos="8306"/>
      </w:tabs>
      <w:spacing w:before="240" w:after="240" w:line="300" w:lineRule="auto"/>
      <w:ind w:left="851" w:right="-23" w:hanging="851"/>
      <w:outlineLvl w:val="0"/>
    </w:pPr>
    <w:rPr>
      <w:b/>
      <w:sz w:val="28"/>
    </w:rPr>
  </w:style>
  <w:style w:type="character" w:customStyle="1" w:styleId="Heading3Char">
    <w:name w:val="Heading 3 Char"/>
    <w:link w:val="Heading3"/>
    <w:rsid w:val="007A6A04"/>
    <w:rPr>
      <w:rFonts w:ascii="Arial" w:hAnsi="Arial"/>
      <w:b/>
      <w:sz w:val="28"/>
    </w:rPr>
  </w:style>
  <w:style w:type="character" w:customStyle="1" w:styleId="TitleChar">
    <w:name w:val="Title Char"/>
    <w:aliases w:val="Centred title Char"/>
    <w:link w:val="Title"/>
    <w:rsid w:val="00B12055"/>
    <w:rPr>
      <w:rFonts w:ascii="Arial" w:hAnsi="Arial"/>
      <w:b/>
      <w:color w:val="000000"/>
      <w:sz w:val="28"/>
      <w:szCs w:val="20"/>
    </w:rPr>
  </w:style>
  <w:style w:type="paragraph" w:customStyle="1" w:styleId="Policybulletlevel2">
    <w:name w:val="Policy bullet level 2"/>
    <w:basedOn w:val="Normal"/>
    <w:link w:val="Policybulletlevel2Char"/>
    <w:qFormat/>
    <w:rsid w:val="00F73ACA"/>
    <w:pPr>
      <w:numPr>
        <w:ilvl w:val="1"/>
        <w:numId w:val="2"/>
      </w:numPr>
      <w:suppressAutoHyphens/>
      <w:spacing w:before="120" w:after="120" w:line="300" w:lineRule="auto"/>
      <w:ind w:left="851" w:right="-23" w:hanging="851"/>
    </w:pPr>
    <w:rPr>
      <w:rFonts w:cs="Arial"/>
      <w:bCs/>
      <w:color w:val="000000"/>
    </w:rPr>
  </w:style>
  <w:style w:type="paragraph" w:styleId="Revision">
    <w:name w:val="Revision"/>
    <w:hidden/>
    <w:uiPriority w:val="99"/>
    <w:semiHidden/>
    <w:rsid w:val="00431459"/>
    <w:rPr>
      <w:rFonts w:ascii="Arial" w:hAnsi="Arial"/>
      <w:sz w:val="22"/>
      <w:szCs w:val="24"/>
    </w:rPr>
  </w:style>
  <w:style w:type="paragraph" w:customStyle="1" w:styleId="PolicybulletLevel3">
    <w:name w:val="Policy bullet Level 3"/>
    <w:basedOn w:val="Policybulletlevel2"/>
    <w:qFormat/>
    <w:rsid w:val="00F73ACA"/>
    <w:pPr>
      <w:numPr>
        <w:ilvl w:val="2"/>
      </w:numPr>
      <w:ind w:left="851" w:hanging="851"/>
    </w:pPr>
  </w:style>
  <w:style w:type="numbering" w:customStyle="1" w:styleId="Bulletstyleforpolicies">
    <w:name w:val="Bullet style for policies"/>
    <w:rsid w:val="00307791"/>
    <w:pPr>
      <w:numPr>
        <w:numId w:val="3"/>
      </w:numPr>
    </w:pPr>
  </w:style>
  <w:style w:type="paragraph" w:customStyle="1" w:styleId="Policybulletlevel4">
    <w:name w:val="Policy bullet level 4"/>
    <w:basedOn w:val="PolicybulletLevel3"/>
    <w:qFormat/>
    <w:rsid w:val="00F73ACA"/>
    <w:pPr>
      <w:numPr>
        <w:ilvl w:val="3"/>
      </w:numPr>
      <w:ind w:hanging="877"/>
    </w:pPr>
  </w:style>
  <w:style w:type="paragraph" w:customStyle="1" w:styleId="Policybulletstyle">
    <w:name w:val="Policy bullet style"/>
    <w:basedOn w:val="Policybulletlevel2"/>
    <w:link w:val="PolicybulletstyleChar"/>
    <w:rsid w:val="001535D5"/>
  </w:style>
  <w:style w:type="paragraph" w:customStyle="1" w:styleId="Policybullet2">
    <w:name w:val="Policy bullet 2"/>
    <w:basedOn w:val="Heading3"/>
    <w:rsid w:val="00A4563E"/>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F73ACA"/>
    <w:rPr>
      <w:rFonts w:ascii="Arial" w:hAnsi="Arial"/>
      <w:b/>
      <w:sz w:val="28"/>
      <w:szCs w:val="24"/>
    </w:rPr>
  </w:style>
  <w:style w:type="character" w:customStyle="1" w:styleId="Policybulletlevel2Char">
    <w:name w:val="Policy bullet level 2 Char"/>
    <w:link w:val="Policybulletlevel2"/>
    <w:rsid w:val="00F73ACA"/>
    <w:rPr>
      <w:rFonts w:ascii="Arial" w:hAnsi="Arial" w:cs="Arial"/>
      <w:bCs/>
      <w:color w:val="000000"/>
      <w:sz w:val="24"/>
      <w:szCs w:val="24"/>
    </w:rPr>
  </w:style>
  <w:style w:type="character" w:customStyle="1" w:styleId="PolicybulletstyleChar">
    <w:name w:val="Policy bullet style Char"/>
    <w:basedOn w:val="Policybulletlevel2Char"/>
    <w:link w:val="Policybulletstyle"/>
    <w:rsid w:val="001535D5"/>
    <w:rPr>
      <w:rFonts w:ascii="Arial" w:hAnsi="Arial" w:cs="Arial"/>
      <w:bCs/>
      <w:color w:val="000000"/>
      <w:sz w:val="24"/>
      <w:szCs w:val="24"/>
    </w:rPr>
  </w:style>
  <w:style w:type="paragraph" w:customStyle="1" w:styleId="PolicyBullet3">
    <w:name w:val="Policy Bullet 3"/>
    <w:basedOn w:val="Policybullet2"/>
    <w:rsid w:val="00A4563E"/>
  </w:style>
  <w:style w:type="paragraph" w:customStyle="1" w:styleId="PolicyBullet4">
    <w:name w:val="Policy Bullet 4"/>
    <w:basedOn w:val="PolicyBullet3"/>
    <w:rsid w:val="00A4563E"/>
  </w:style>
  <w:style w:type="paragraph" w:styleId="NoSpacing">
    <w:name w:val="No Spacing"/>
    <w:uiPriority w:val="1"/>
    <w:rsid w:val="00F70BA6"/>
    <w:rPr>
      <w:rFonts w:ascii="Arial" w:hAnsi="Arial"/>
      <w:sz w:val="24"/>
      <w:szCs w:val="24"/>
    </w:rPr>
  </w:style>
  <w:style w:type="paragraph" w:customStyle="1" w:styleId="PolicyHeader2">
    <w:name w:val="Policy Header 2"/>
    <w:basedOn w:val="Policybulletlevel2"/>
    <w:next w:val="Policybullet2"/>
    <w:qFormat/>
    <w:rsid w:val="00FE1979"/>
    <w:pPr>
      <w:outlineLvl w:val="0"/>
    </w:pPr>
  </w:style>
  <w:style w:type="character" w:styleId="Strong">
    <w:name w:val="Strong"/>
    <w:uiPriority w:val="22"/>
    <w:rsid w:val="006E52E9"/>
    <w:rPr>
      <w:b/>
      <w:bCs/>
    </w:rPr>
  </w:style>
  <w:style w:type="paragraph" w:styleId="TOC2">
    <w:name w:val="toc 2"/>
    <w:basedOn w:val="Normal"/>
    <w:next w:val="Normal"/>
    <w:autoRedefine/>
    <w:uiPriority w:val="39"/>
    <w:rsid w:val="00FE1979"/>
    <w:pPr>
      <w:tabs>
        <w:tab w:val="left" w:pos="1134"/>
        <w:tab w:val="right" w:leader="dot" w:pos="9180"/>
      </w:tabs>
    </w:pPr>
  </w:style>
  <w:style w:type="paragraph" w:customStyle="1" w:styleId="PolicyHeader3">
    <w:name w:val="Policy Header 3"/>
    <w:basedOn w:val="PolicybulletLevel3"/>
    <w:next w:val="PolicybulletLevel3"/>
    <w:qFormat/>
    <w:rsid w:val="00DA354F"/>
    <w:pPr>
      <w:outlineLvl w:val="2"/>
    </w:pPr>
  </w:style>
  <w:style w:type="paragraph" w:customStyle="1" w:styleId="GroupWiseView">
    <w:name w:val="GroupWiseView"/>
    <w:rsid w:val="00EF3066"/>
    <w:pPr>
      <w:widowControl w:val="0"/>
      <w:autoSpaceDE w:val="0"/>
      <w:autoSpaceDN w:val="0"/>
      <w:adjustRightInd w:val="0"/>
    </w:pPr>
    <w:rPr>
      <w:rFonts w:ascii="Tahoma" w:eastAsia="Times New Roman" w:hAnsi="Tahoma"/>
      <w:sz w:val="16"/>
      <w:szCs w:val="16"/>
    </w:rPr>
  </w:style>
  <w:style w:type="character" w:customStyle="1" w:styleId="CommentTextChar">
    <w:name w:val="Comment Text Char"/>
    <w:link w:val="CommentText"/>
    <w:uiPriority w:val="99"/>
    <w:semiHidden/>
    <w:rsid w:val="0093661A"/>
    <w:rPr>
      <w:rFonts w:ascii="Arial" w:hAnsi="Arial"/>
    </w:rPr>
  </w:style>
  <w:style w:type="paragraph" w:customStyle="1" w:styleId="legclearfix">
    <w:name w:val="legclearfix"/>
    <w:basedOn w:val="Normal"/>
    <w:rsid w:val="00373B38"/>
    <w:pPr>
      <w:spacing w:before="100" w:beforeAutospacing="1" w:after="100" w:afterAutospacing="1"/>
    </w:pPr>
    <w:rPr>
      <w:rFonts w:ascii="Times New Roman" w:eastAsia="Times New Roman" w:hAnsi="Times New Roman"/>
    </w:rPr>
  </w:style>
  <w:style w:type="character" w:customStyle="1" w:styleId="legaddition">
    <w:name w:val="legaddition"/>
    <w:basedOn w:val="DefaultParagraphFont"/>
    <w:rsid w:val="00373B38"/>
  </w:style>
  <w:style w:type="character" w:styleId="UnresolvedMention">
    <w:name w:val="Unresolved Mention"/>
    <w:basedOn w:val="DefaultParagraphFont"/>
    <w:uiPriority w:val="99"/>
    <w:semiHidden/>
    <w:unhideWhenUsed/>
    <w:rsid w:val="00F5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49977">
      <w:bodyDiv w:val="1"/>
      <w:marLeft w:val="0"/>
      <w:marRight w:val="0"/>
      <w:marTop w:val="0"/>
      <w:marBottom w:val="0"/>
      <w:divBdr>
        <w:top w:val="none" w:sz="0" w:space="0" w:color="auto"/>
        <w:left w:val="none" w:sz="0" w:space="0" w:color="auto"/>
        <w:bottom w:val="none" w:sz="0" w:space="0" w:color="auto"/>
        <w:right w:val="none" w:sz="0" w:space="0" w:color="auto"/>
      </w:divBdr>
    </w:div>
    <w:div w:id="857817544">
      <w:bodyDiv w:val="1"/>
      <w:marLeft w:val="0"/>
      <w:marRight w:val="0"/>
      <w:marTop w:val="0"/>
      <w:marBottom w:val="0"/>
      <w:divBdr>
        <w:top w:val="none" w:sz="0" w:space="0" w:color="auto"/>
        <w:left w:val="none" w:sz="0" w:space="0" w:color="auto"/>
        <w:bottom w:val="none" w:sz="0" w:space="0" w:color="auto"/>
        <w:right w:val="none" w:sz="0" w:space="0" w:color="auto"/>
      </w:divBdr>
    </w:div>
    <w:div w:id="1529559996">
      <w:bodyDiv w:val="1"/>
      <w:marLeft w:val="0"/>
      <w:marRight w:val="0"/>
      <w:marTop w:val="0"/>
      <w:marBottom w:val="0"/>
      <w:divBdr>
        <w:top w:val="none" w:sz="0" w:space="0" w:color="auto"/>
        <w:left w:val="none" w:sz="0" w:space="0" w:color="auto"/>
        <w:bottom w:val="none" w:sz="0" w:space="0" w:color="auto"/>
        <w:right w:val="none" w:sz="0" w:space="0" w:color="auto"/>
      </w:divBdr>
      <w:divsChild>
        <w:div w:id="94910737">
          <w:marLeft w:val="0"/>
          <w:marRight w:val="0"/>
          <w:marTop w:val="0"/>
          <w:marBottom w:val="0"/>
          <w:divBdr>
            <w:top w:val="none" w:sz="0" w:space="0" w:color="auto"/>
            <w:left w:val="none" w:sz="0" w:space="0" w:color="auto"/>
            <w:bottom w:val="none" w:sz="0" w:space="0" w:color="auto"/>
            <w:right w:val="none" w:sz="0" w:space="0" w:color="auto"/>
          </w:divBdr>
          <w:divsChild>
            <w:div w:id="1917519542">
              <w:marLeft w:val="0"/>
              <w:marRight w:val="0"/>
              <w:marTop w:val="0"/>
              <w:marBottom w:val="0"/>
              <w:divBdr>
                <w:top w:val="none" w:sz="0" w:space="0" w:color="auto"/>
                <w:left w:val="none" w:sz="0" w:space="0" w:color="auto"/>
                <w:bottom w:val="none" w:sz="0" w:space="0" w:color="auto"/>
                <w:right w:val="none" w:sz="0" w:space="0" w:color="auto"/>
              </w:divBdr>
              <w:divsChild>
                <w:div w:id="454835664">
                  <w:marLeft w:val="0"/>
                  <w:marRight w:val="0"/>
                  <w:marTop w:val="0"/>
                  <w:marBottom w:val="0"/>
                  <w:divBdr>
                    <w:top w:val="none" w:sz="0" w:space="0" w:color="auto"/>
                    <w:left w:val="none" w:sz="0" w:space="0" w:color="auto"/>
                    <w:bottom w:val="none" w:sz="0" w:space="0" w:color="auto"/>
                    <w:right w:val="none" w:sz="0" w:space="0" w:color="auto"/>
                  </w:divBdr>
                  <w:divsChild>
                    <w:div w:id="1041053387">
                      <w:marLeft w:val="0"/>
                      <w:marRight w:val="0"/>
                      <w:marTop w:val="0"/>
                      <w:marBottom w:val="0"/>
                      <w:divBdr>
                        <w:top w:val="none" w:sz="0" w:space="0" w:color="auto"/>
                        <w:left w:val="none" w:sz="0" w:space="0" w:color="auto"/>
                        <w:bottom w:val="none" w:sz="0" w:space="0" w:color="auto"/>
                        <w:right w:val="none" w:sz="0" w:space="0" w:color="auto"/>
                      </w:divBdr>
                      <w:divsChild>
                        <w:div w:id="455220898">
                          <w:marLeft w:val="355"/>
                          <w:marRight w:val="691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assets.publishing.service.gov.uk/government/uploads/system/uploads/attachment_data/file/744071/CoP_FOI_Code_of_Practice_-_Minor_Amendments_20180926_.pdf"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ico.gov.uk/home/what_we_cover/freedom_of_inform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khuft.nhs.uk/patients-and-visitors/about-us/freedom-of-information/"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mailto:ekh-tr.FOI@nhs.net" TargetMode="External"/><Relationship Id="rId20" Type="http://schemas.openxmlformats.org/officeDocument/2006/relationships/hyperlink" Target="http://www.ico.org.uk"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mailto:ekr-tr.foi@nhs.net" TargetMode="External"/><Relationship Id="rId23" Type="http://schemas.openxmlformats.org/officeDocument/2006/relationships/hyperlink" Target="mailto:mail@ico.gsi.gov.uk"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gov.uk/government/organisations/ministry-of-justice"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lawrence.oke1.x\AppData\Roaming\Microsoft\Word\ekr-tr.foi@nhs.net" TargetMode="External"/><Relationship Id="rId22" Type="http://schemas.openxmlformats.org/officeDocument/2006/relationships/hyperlink" Target="mailto:ekh-tr.foi@nhs.ne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B78B937686CA47AFBF2A818596B9AB" ma:contentTypeVersion="0" ma:contentTypeDescription="Create a new document." ma:contentTypeScope="" ma:versionID="b793621c13949ef116e29137770673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7BEB-1436-4129-AB57-398554E1F77A}">
  <ds:schemaRefs>
    <ds:schemaRef ds:uri="http://schemas.microsoft.com/office/2006/metadata/longProperties"/>
  </ds:schemaRefs>
</ds:datastoreItem>
</file>

<file path=customXml/itemProps2.xml><?xml version="1.0" encoding="utf-8"?>
<ds:datastoreItem xmlns:ds="http://schemas.openxmlformats.org/officeDocument/2006/customXml" ds:itemID="{73E986D5-AE60-45A1-A973-0CB5A16E0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8FAD9F-AEFA-4323-8C00-70BDFF21ED47}">
  <ds:schemaRefs>
    <ds:schemaRef ds:uri="http://schemas.microsoft.com/sharepoint/v3/contenttype/forms"/>
  </ds:schemaRefs>
</ds:datastoreItem>
</file>

<file path=customXml/itemProps4.xml><?xml version="1.0" encoding="utf-8"?>
<ds:datastoreItem xmlns:ds="http://schemas.openxmlformats.org/officeDocument/2006/customXml" ds:itemID="{80A7E2B2-5B62-489C-B524-B12E3BE904D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367246-6BD0-40A1-AD28-56BE2F68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7965</Words>
  <Characters>45402</Characters>
  <Application>Microsoft Office Word</Application>
  <DocSecurity>8</DocSecurity>
  <Lines>378</Lines>
  <Paragraphs>106</Paragraphs>
  <ScaleCrop>false</ScaleCrop>
  <HeadingPairs>
    <vt:vector size="2" baseType="variant">
      <vt:variant>
        <vt:lpstr>Title</vt:lpstr>
      </vt:variant>
      <vt:variant>
        <vt:i4>1</vt:i4>
      </vt:variant>
    </vt:vector>
  </HeadingPairs>
  <TitlesOfParts>
    <vt:vector size="1" baseType="lpstr">
      <vt:lpstr>FOI and EIR policy</vt:lpstr>
    </vt:vector>
  </TitlesOfParts>
  <Company>East Kent Hospitals NHS Foundation Trust</Company>
  <LinksUpToDate>false</LinksUpToDate>
  <CharactersWithSpaces>53261</CharactersWithSpaces>
  <SharedDoc>false</SharedDoc>
  <HLinks>
    <vt:vector size="240" baseType="variant">
      <vt:variant>
        <vt:i4>2097215</vt:i4>
      </vt:variant>
      <vt:variant>
        <vt:i4>210</vt:i4>
      </vt:variant>
      <vt:variant>
        <vt:i4>0</vt:i4>
      </vt:variant>
      <vt:variant>
        <vt:i4>5</vt:i4>
      </vt:variant>
      <vt:variant>
        <vt:lpwstr>http://www.equalityhumanrights.com/scotland/public-sector-equality-duty/technical-guidance/</vt:lpwstr>
      </vt:variant>
      <vt:variant>
        <vt:lpwstr/>
      </vt:variant>
      <vt:variant>
        <vt:i4>2097215</vt:i4>
      </vt:variant>
      <vt:variant>
        <vt:i4>207</vt:i4>
      </vt:variant>
      <vt:variant>
        <vt:i4>0</vt:i4>
      </vt:variant>
      <vt:variant>
        <vt:i4>5</vt:i4>
      </vt:variant>
      <vt:variant>
        <vt:lpwstr>http://www.equalityhumanrights.com/scotland/public-sector-equality-duty/technical-guidance/</vt:lpwstr>
      </vt:variant>
      <vt:variant>
        <vt:lpwstr/>
      </vt:variant>
      <vt:variant>
        <vt:i4>1835051</vt:i4>
      </vt:variant>
      <vt:variant>
        <vt:i4>204</vt:i4>
      </vt:variant>
      <vt:variant>
        <vt:i4>0</vt:i4>
      </vt:variant>
      <vt:variant>
        <vt:i4>5</vt:i4>
      </vt:variant>
      <vt:variant>
        <vt:lpwstr>mailto:mail@ico.gsi.gov.uk</vt:lpwstr>
      </vt:variant>
      <vt:variant>
        <vt:lpwstr/>
      </vt:variant>
      <vt:variant>
        <vt:i4>3735554</vt:i4>
      </vt:variant>
      <vt:variant>
        <vt:i4>201</vt:i4>
      </vt:variant>
      <vt:variant>
        <vt:i4>0</vt:i4>
      </vt:variant>
      <vt:variant>
        <vt:i4>5</vt:i4>
      </vt:variant>
      <vt:variant>
        <vt:lpwstr>mailto:ekh-tr.foi@nhs.net</vt:lpwstr>
      </vt:variant>
      <vt:variant>
        <vt:lpwstr/>
      </vt:variant>
      <vt:variant>
        <vt:i4>6946872</vt:i4>
      </vt:variant>
      <vt:variant>
        <vt:i4>198</vt:i4>
      </vt:variant>
      <vt:variant>
        <vt:i4>0</vt:i4>
      </vt:variant>
      <vt:variant>
        <vt:i4>5</vt:i4>
      </vt:variant>
      <vt:variant>
        <vt:lpwstr>http://www.ico.gov.uk/home/what_we_cover/freedom_of_information</vt:lpwstr>
      </vt:variant>
      <vt:variant>
        <vt:lpwstr/>
      </vt:variant>
      <vt:variant>
        <vt:i4>8323114</vt:i4>
      </vt:variant>
      <vt:variant>
        <vt:i4>192</vt:i4>
      </vt:variant>
      <vt:variant>
        <vt:i4>0</vt:i4>
      </vt:variant>
      <vt:variant>
        <vt:i4>5</vt:i4>
      </vt:variant>
      <vt:variant>
        <vt:lpwstr>http://www.ico.org.uk/</vt:lpwstr>
      </vt:variant>
      <vt:variant>
        <vt:lpwstr/>
      </vt:variant>
      <vt:variant>
        <vt:i4>3407915</vt:i4>
      </vt:variant>
      <vt:variant>
        <vt:i4>189</vt:i4>
      </vt:variant>
      <vt:variant>
        <vt:i4>0</vt:i4>
      </vt:variant>
      <vt:variant>
        <vt:i4>5</vt:i4>
      </vt:variant>
      <vt:variant>
        <vt:lpwstr>http://www.gov.uk/government/organisations/ministry-of-justice</vt:lpwstr>
      </vt:variant>
      <vt:variant>
        <vt:lpwstr/>
      </vt:variant>
      <vt:variant>
        <vt:i4>6946879</vt:i4>
      </vt:variant>
      <vt:variant>
        <vt:i4>186</vt:i4>
      </vt:variant>
      <vt:variant>
        <vt:i4>0</vt:i4>
      </vt:variant>
      <vt:variant>
        <vt:i4>5</vt:i4>
      </vt:variant>
      <vt:variant>
        <vt:lpwstr>https://insight4grc.ekhuft.nhs.uk/UserHome/Policies/SearchResult.aspx?kw=people+at+risk</vt:lpwstr>
      </vt:variant>
      <vt:variant>
        <vt:lpwstr/>
      </vt:variant>
      <vt:variant>
        <vt:i4>71</vt:i4>
      </vt:variant>
      <vt:variant>
        <vt:i4>183</vt:i4>
      </vt:variant>
      <vt:variant>
        <vt:i4>0</vt:i4>
      </vt:variant>
      <vt:variant>
        <vt:i4>5</vt:i4>
      </vt:variant>
      <vt:variant>
        <vt:lpwstr>https://www.ekhuft.nhs.uk/patients-and-visitors/about-us/freedom-of-information/</vt:lpwstr>
      </vt:variant>
      <vt:variant>
        <vt:lpwstr/>
      </vt:variant>
      <vt:variant>
        <vt:i4>2293762</vt:i4>
      </vt:variant>
      <vt:variant>
        <vt:i4>180</vt:i4>
      </vt:variant>
      <vt:variant>
        <vt:i4>0</vt:i4>
      </vt:variant>
      <vt:variant>
        <vt:i4>5</vt:i4>
      </vt:variant>
      <vt:variant>
        <vt:lpwstr>mailto:ekr-tr.foi@nhs.net</vt:lpwstr>
      </vt:variant>
      <vt:variant>
        <vt:lpwstr/>
      </vt:variant>
      <vt:variant>
        <vt:i4>5963798</vt:i4>
      </vt:variant>
      <vt:variant>
        <vt:i4>177</vt:i4>
      </vt:variant>
      <vt:variant>
        <vt:i4>0</vt:i4>
      </vt:variant>
      <vt:variant>
        <vt:i4>5</vt:i4>
      </vt:variant>
      <vt:variant>
        <vt:lpwstr>C:\Users\lawrence.oke1.x\AppData\Roaming\Microsoft\Word\ekr-tr.foi@nhs.net</vt:lpwstr>
      </vt:variant>
      <vt:variant>
        <vt:lpwstr/>
      </vt:variant>
      <vt:variant>
        <vt:i4>1966133</vt:i4>
      </vt:variant>
      <vt:variant>
        <vt:i4>170</vt:i4>
      </vt:variant>
      <vt:variant>
        <vt:i4>0</vt:i4>
      </vt:variant>
      <vt:variant>
        <vt:i4>5</vt:i4>
      </vt:variant>
      <vt:variant>
        <vt:lpwstr/>
      </vt:variant>
      <vt:variant>
        <vt:lpwstr>_Toc31192958</vt:lpwstr>
      </vt:variant>
      <vt:variant>
        <vt:i4>1114165</vt:i4>
      </vt:variant>
      <vt:variant>
        <vt:i4>164</vt:i4>
      </vt:variant>
      <vt:variant>
        <vt:i4>0</vt:i4>
      </vt:variant>
      <vt:variant>
        <vt:i4>5</vt:i4>
      </vt:variant>
      <vt:variant>
        <vt:lpwstr/>
      </vt:variant>
      <vt:variant>
        <vt:lpwstr>_Toc31192957</vt:lpwstr>
      </vt:variant>
      <vt:variant>
        <vt:i4>1048629</vt:i4>
      </vt:variant>
      <vt:variant>
        <vt:i4>158</vt:i4>
      </vt:variant>
      <vt:variant>
        <vt:i4>0</vt:i4>
      </vt:variant>
      <vt:variant>
        <vt:i4>5</vt:i4>
      </vt:variant>
      <vt:variant>
        <vt:lpwstr/>
      </vt:variant>
      <vt:variant>
        <vt:lpwstr>_Toc31192956</vt:lpwstr>
      </vt:variant>
      <vt:variant>
        <vt:i4>1245237</vt:i4>
      </vt:variant>
      <vt:variant>
        <vt:i4>152</vt:i4>
      </vt:variant>
      <vt:variant>
        <vt:i4>0</vt:i4>
      </vt:variant>
      <vt:variant>
        <vt:i4>5</vt:i4>
      </vt:variant>
      <vt:variant>
        <vt:lpwstr/>
      </vt:variant>
      <vt:variant>
        <vt:lpwstr>_Toc31192955</vt:lpwstr>
      </vt:variant>
      <vt:variant>
        <vt:i4>1179701</vt:i4>
      </vt:variant>
      <vt:variant>
        <vt:i4>146</vt:i4>
      </vt:variant>
      <vt:variant>
        <vt:i4>0</vt:i4>
      </vt:variant>
      <vt:variant>
        <vt:i4>5</vt:i4>
      </vt:variant>
      <vt:variant>
        <vt:lpwstr/>
      </vt:variant>
      <vt:variant>
        <vt:lpwstr>_Toc31192954</vt:lpwstr>
      </vt:variant>
      <vt:variant>
        <vt:i4>1376309</vt:i4>
      </vt:variant>
      <vt:variant>
        <vt:i4>140</vt:i4>
      </vt:variant>
      <vt:variant>
        <vt:i4>0</vt:i4>
      </vt:variant>
      <vt:variant>
        <vt:i4>5</vt:i4>
      </vt:variant>
      <vt:variant>
        <vt:lpwstr/>
      </vt:variant>
      <vt:variant>
        <vt:lpwstr>_Toc31192953</vt:lpwstr>
      </vt:variant>
      <vt:variant>
        <vt:i4>1310773</vt:i4>
      </vt:variant>
      <vt:variant>
        <vt:i4>134</vt:i4>
      </vt:variant>
      <vt:variant>
        <vt:i4>0</vt:i4>
      </vt:variant>
      <vt:variant>
        <vt:i4>5</vt:i4>
      </vt:variant>
      <vt:variant>
        <vt:lpwstr/>
      </vt:variant>
      <vt:variant>
        <vt:lpwstr>_Toc31192952</vt:lpwstr>
      </vt:variant>
      <vt:variant>
        <vt:i4>1507381</vt:i4>
      </vt:variant>
      <vt:variant>
        <vt:i4>128</vt:i4>
      </vt:variant>
      <vt:variant>
        <vt:i4>0</vt:i4>
      </vt:variant>
      <vt:variant>
        <vt:i4>5</vt:i4>
      </vt:variant>
      <vt:variant>
        <vt:lpwstr/>
      </vt:variant>
      <vt:variant>
        <vt:lpwstr>_Toc31192951</vt:lpwstr>
      </vt:variant>
      <vt:variant>
        <vt:i4>1441845</vt:i4>
      </vt:variant>
      <vt:variant>
        <vt:i4>122</vt:i4>
      </vt:variant>
      <vt:variant>
        <vt:i4>0</vt:i4>
      </vt:variant>
      <vt:variant>
        <vt:i4>5</vt:i4>
      </vt:variant>
      <vt:variant>
        <vt:lpwstr/>
      </vt:variant>
      <vt:variant>
        <vt:lpwstr>_Toc31192950</vt:lpwstr>
      </vt:variant>
      <vt:variant>
        <vt:i4>2031668</vt:i4>
      </vt:variant>
      <vt:variant>
        <vt:i4>116</vt:i4>
      </vt:variant>
      <vt:variant>
        <vt:i4>0</vt:i4>
      </vt:variant>
      <vt:variant>
        <vt:i4>5</vt:i4>
      </vt:variant>
      <vt:variant>
        <vt:lpwstr/>
      </vt:variant>
      <vt:variant>
        <vt:lpwstr>_Toc31192949</vt:lpwstr>
      </vt:variant>
      <vt:variant>
        <vt:i4>1966132</vt:i4>
      </vt:variant>
      <vt:variant>
        <vt:i4>110</vt:i4>
      </vt:variant>
      <vt:variant>
        <vt:i4>0</vt:i4>
      </vt:variant>
      <vt:variant>
        <vt:i4>5</vt:i4>
      </vt:variant>
      <vt:variant>
        <vt:lpwstr/>
      </vt:variant>
      <vt:variant>
        <vt:lpwstr>_Toc31192948</vt:lpwstr>
      </vt:variant>
      <vt:variant>
        <vt:i4>1114164</vt:i4>
      </vt:variant>
      <vt:variant>
        <vt:i4>104</vt:i4>
      </vt:variant>
      <vt:variant>
        <vt:i4>0</vt:i4>
      </vt:variant>
      <vt:variant>
        <vt:i4>5</vt:i4>
      </vt:variant>
      <vt:variant>
        <vt:lpwstr/>
      </vt:variant>
      <vt:variant>
        <vt:lpwstr>_Toc31192947</vt:lpwstr>
      </vt:variant>
      <vt:variant>
        <vt:i4>1245236</vt:i4>
      </vt:variant>
      <vt:variant>
        <vt:i4>98</vt:i4>
      </vt:variant>
      <vt:variant>
        <vt:i4>0</vt:i4>
      </vt:variant>
      <vt:variant>
        <vt:i4>5</vt:i4>
      </vt:variant>
      <vt:variant>
        <vt:lpwstr/>
      </vt:variant>
      <vt:variant>
        <vt:lpwstr>_Toc31192945</vt:lpwstr>
      </vt:variant>
      <vt:variant>
        <vt:i4>1179700</vt:i4>
      </vt:variant>
      <vt:variant>
        <vt:i4>92</vt:i4>
      </vt:variant>
      <vt:variant>
        <vt:i4>0</vt:i4>
      </vt:variant>
      <vt:variant>
        <vt:i4>5</vt:i4>
      </vt:variant>
      <vt:variant>
        <vt:lpwstr/>
      </vt:variant>
      <vt:variant>
        <vt:lpwstr>_Toc31192944</vt:lpwstr>
      </vt:variant>
      <vt:variant>
        <vt:i4>1507380</vt:i4>
      </vt:variant>
      <vt:variant>
        <vt:i4>86</vt:i4>
      </vt:variant>
      <vt:variant>
        <vt:i4>0</vt:i4>
      </vt:variant>
      <vt:variant>
        <vt:i4>5</vt:i4>
      </vt:variant>
      <vt:variant>
        <vt:lpwstr/>
      </vt:variant>
      <vt:variant>
        <vt:lpwstr>_Toc31192941</vt:lpwstr>
      </vt:variant>
      <vt:variant>
        <vt:i4>2031667</vt:i4>
      </vt:variant>
      <vt:variant>
        <vt:i4>80</vt:i4>
      </vt:variant>
      <vt:variant>
        <vt:i4>0</vt:i4>
      </vt:variant>
      <vt:variant>
        <vt:i4>5</vt:i4>
      </vt:variant>
      <vt:variant>
        <vt:lpwstr/>
      </vt:variant>
      <vt:variant>
        <vt:lpwstr>_Toc31192939</vt:lpwstr>
      </vt:variant>
      <vt:variant>
        <vt:i4>1966131</vt:i4>
      </vt:variant>
      <vt:variant>
        <vt:i4>74</vt:i4>
      </vt:variant>
      <vt:variant>
        <vt:i4>0</vt:i4>
      </vt:variant>
      <vt:variant>
        <vt:i4>5</vt:i4>
      </vt:variant>
      <vt:variant>
        <vt:lpwstr/>
      </vt:variant>
      <vt:variant>
        <vt:lpwstr>_Toc31192938</vt:lpwstr>
      </vt:variant>
      <vt:variant>
        <vt:i4>1048627</vt:i4>
      </vt:variant>
      <vt:variant>
        <vt:i4>68</vt:i4>
      </vt:variant>
      <vt:variant>
        <vt:i4>0</vt:i4>
      </vt:variant>
      <vt:variant>
        <vt:i4>5</vt:i4>
      </vt:variant>
      <vt:variant>
        <vt:lpwstr/>
      </vt:variant>
      <vt:variant>
        <vt:lpwstr>_Toc31192936</vt:lpwstr>
      </vt:variant>
      <vt:variant>
        <vt:i4>1179699</vt:i4>
      </vt:variant>
      <vt:variant>
        <vt:i4>62</vt:i4>
      </vt:variant>
      <vt:variant>
        <vt:i4>0</vt:i4>
      </vt:variant>
      <vt:variant>
        <vt:i4>5</vt:i4>
      </vt:variant>
      <vt:variant>
        <vt:lpwstr/>
      </vt:variant>
      <vt:variant>
        <vt:lpwstr>_Toc31192934</vt:lpwstr>
      </vt:variant>
      <vt:variant>
        <vt:i4>1376307</vt:i4>
      </vt:variant>
      <vt:variant>
        <vt:i4>56</vt:i4>
      </vt:variant>
      <vt:variant>
        <vt:i4>0</vt:i4>
      </vt:variant>
      <vt:variant>
        <vt:i4>5</vt:i4>
      </vt:variant>
      <vt:variant>
        <vt:lpwstr/>
      </vt:variant>
      <vt:variant>
        <vt:lpwstr>_Toc31192933</vt:lpwstr>
      </vt:variant>
      <vt:variant>
        <vt:i4>1310771</vt:i4>
      </vt:variant>
      <vt:variant>
        <vt:i4>50</vt:i4>
      </vt:variant>
      <vt:variant>
        <vt:i4>0</vt:i4>
      </vt:variant>
      <vt:variant>
        <vt:i4>5</vt:i4>
      </vt:variant>
      <vt:variant>
        <vt:lpwstr/>
      </vt:variant>
      <vt:variant>
        <vt:lpwstr>_Toc31192932</vt:lpwstr>
      </vt:variant>
      <vt:variant>
        <vt:i4>1507379</vt:i4>
      </vt:variant>
      <vt:variant>
        <vt:i4>44</vt:i4>
      </vt:variant>
      <vt:variant>
        <vt:i4>0</vt:i4>
      </vt:variant>
      <vt:variant>
        <vt:i4>5</vt:i4>
      </vt:variant>
      <vt:variant>
        <vt:lpwstr/>
      </vt:variant>
      <vt:variant>
        <vt:lpwstr>_Toc31192931</vt:lpwstr>
      </vt:variant>
      <vt:variant>
        <vt:i4>1441843</vt:i4>
      </vt:variant>
      <vt:variant>
        <vt:i4>38</vt:i4>
      </vt:variant>
      <vt:variant>
        <vt:i4>0</vt:i4>
      </vt:variant>
      <vt:variant>
        <vt:i4>5</vt:i4>
      </vt:variant>
      <vt:variant>
        <vt:lpwstr/>
      </vt:variant>
      <vt:variant>
        <vt:lpwstr>_Toc31192930</vt:lpwstr>
      </vt:variant>
      <vt:variant>
        <vt:i4>2031666</vt:i4>
      </vt:variant>
      <vt:variant>
        <vt:i4>32</vt:i4>
      </vt:variant>
      <vt:variant>
        <vt:i4>0</vt:i4>
      </vt:variant>
      <vt:variant>
        <vt:i4>5</vt:i4>
      </vt:variant>
      <vt:variant>
        <vt:lpwstr/>
      </vt:variant>
      <vt:variant>
        <vt:lpwstr>_Toc31192929</vt:lpwstr>
      </vt:variant>
      <vt:variant>
        <vt:i4>1966130</vt:i4>
      </vt:variant>
      <vt:variant>
        <vt:i4>26</vt:i4>
      </vt:variant>
      <vt:variant>
        <vt:i4>0</vt:i4>
      </vt:variant>
      <vt:variant>
        <vt:i4>5</vt:i4>
      </vt:variant>
      <vt:variant>
        <vt:lpwstr/>
      </vt:variant>
      <vt:variant>
        <vt:lpwstr>_Toc31192928</vt:lpwstr>
      </vt:variant>
      <vt:variant>
        <vt:i4>1114162</vt:i4>
      </vt:variant>
      <vt:variant>
        <vt:i4>20</vt:i4>
      </vt:variant>
      <vt:variant>
        <vt:i4>0</vt:i4>
      </vt:variant>
      <vt:variant>
        <vt:i4>5</vt:i4>
      </vt:variant>
      <vt:variant>
        <vt:lpwstr/>
      </vt:variant>
      <vt:variant>
        <vt:lpwstr>_Toc31192927</vt:lpwstr>
      </vt:variant>
      <vt:variant>
        <vt:i4>1048626</vt:i4>
      </vt:variant>
      <vt:variant>
        <vt:i4>14</vt:i4>
      </vt:variant>
      <vt:variant>
        <vt:i4>0</vt:i4>
      </vt:variant>
      <vt:variant>
        <vt:i4>5</vt:i4>
      </vt:variant>
      <vt:variant>
        <vt:lpwstr/>
      </vt:variant>
      <vt:variant>
        <vt:lpwstr>_Toc31192926</vt:lpwstr>
      </vt:variant>
      <vt:variant>
        <vt:i4>1245234</vt:i4>
      </vt:variant>
      <vt:variant>
        <vt:i4>8</vt:i4>
      </vt:variant>
      <vt:variant>
        <vt:i4>0</vt:i4>
      </vt:variant>
      <vt:variant>
        <vt:i4>5</vt:i4>
      </vt:variant>
      <vt:variant>
        <vt:lpwstr/>
      </vt:variant>
      <vt:variant>
        <vt:lpwstr>_Toc31192925</vt:lpwstr>
      </vt:variant>
      <vt:variant>
        <vt:i4>1179698</vt:i4>
      </vt:variant>
      <vt:variant>
        <vt:i4>2</vt:i4>
      </vt:variant>
      <vt:variant>
        <vt:i4>0</vt:i4>
      </vt:variant>
      <vt:variant>
        <vt:i4>5</vt:i4>
      </vt:variant>
      <vt:variant>
        <vt:lpwstr/>
      </vt:variant>
      <vt:variant>
        <vt:lpwstr>_Toc31192924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and EIR policy</dc:title>
  <dc:subject>Freedom of Information and Environmental Information Regulations policy for East Kent Hospitals</dc:subject>
  <dc:creator>Lesley Williams</dc:creator>
  <cp:keywords/>
  <cp:lastModifiedBy>Hollie Godwin</cp:lastModifiedBy>
  <cp:revision>3</cp:revision>
  <cp:lastPrinted>2024-09-06T14:01:00Z</cp:lastPrinted>
  <dcterms:created xsi:type="dcterms:W3CDTF">2024-09-10T10:51:00Z</dcterms:created>
  <dcterms:modified xsi:type="dcterms:W3CDTF">2024-09-10T10:52:00Z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0">
    <vt:lpwstr>Michael Doherty</vt:lpwstr>
  </property>
  <property fmtid="{D5CDD505-2E9C-101B-9397-08002B2CF9AE}" pid="3" name="FOI Class">
    <vt:lpwstr>;#Our policies and procedures;#</vt:lpwstr>
  </property>
  <property fmtid="{D5CDD505-2E9C-101B-9397-08002B2CF9AE}" pid="4" name="Date Issued">
    <vt:lpwstr>2019-03-04T00:00:00Z</vt:lpwstr>
  </property>
  <property fmtid="{D5CDD505-2E9C-101B-9397-08002B2CF9AE}" pid="5" name="Readership">
    <vt:lpwstr>All Staff</vt:lpwstr>
  </property>
  <property fmtid="{D5CDD505-2E9C-101B-9397-08002B2CF9AE}" pid="6" name="PIA Check">
    <vt:lpwstr>Yes</vt:lpwstr>
  </property>
  <property fmtid="{D5CDD505-2E9C-101B-9397-08002B2CF9AE}" pid="7" name="E&amp;D Check">
    <vt:lpwstr>Not Applicable</vt:lpwstr>
  </property>
  <property fmtid="{D5CDD505-2E9C-101B-9397-08002B2CF9AE}" pid="8" name="Document Status">
    <vt:lpwstr>Draft</vt:lpwstr>
  </property>
  <property fmtid="{D5CDD505-2E9C-101B-9397-08002B2CF9AE}" pid="9" name="EIA Full Assessment">
    <vt:lpwstr>No</vt:lpwstr>
  </property>
  <property fmtid="{D5CDD505-2E9C-101B-9397-08002B2CF9AE}" pid="10" name="Review Date">
    <vt:lpwstr/>
  </property>
  <property fmtid="{D5CDD505-2E9C-101B-9397-08002B2CF9AE}" pid="11" name="Origin">
    <vt:lpwstr>EKHT</vt:lpwstr>
  </property>
  <property fmtid="{D5CDD505-2E9C-101B-9397-08002B2CF9AE}" pid="12" name="Division0">
    <vt:lpwstr/>
  </property>
  <property fmtid="{D5CDD505-2E9C-101B-9397-08002B2CF9AE}" pid="13" name="Dept">
    <vt:lpwstr/>
  </property>
  <property fmtid="{D5CDD505-2E9C-101B-9397-08002B2CF9AE}" pid="14" name="_Version">
    <vt:lpwstr/>
  </property>
  <property fmtid="{D5CDD505-2E9C-101B-9397-08002B2CF9AE}" pid="15" name="IG Class">
    <vt:lpwstr>Not Protectively Marked</vt:lpwstr>
  </property>
  <property fmtid="{D5CDD505-2E9C-101B-9397-08002B2CF9AE}" pid="16" name="Date Ratified">
    <vt:lpwstr/>
  </property>
  <property fmtid="{D5CDD505-2E9C-101B-9397-08002B2CF9AE}" pid="17" name="Approving Body">
    <vt:lpwstr/>
  </property>
  <property fmtid="{D5CDD505-2E9C-101B-9397-08002B2CF9AE}" pid="18" name="EIA Screening0">
    <vt:lpwstr>Yes</vt:lpwstr>
  </property>
  <property fmtid="{D5CDD505-2E9C-101B-9397-08002B2CF9AE}" pid="19" name="More Work">
    <vt:lpwstr>0</vt:lpwstr>
  </property>
  <property fmtid="{D5CDD505-2E9C-101B-9397-08002B2CF9AE}" pid="20" name="Document Type">
    <vt:lpwstr>Policy</vt:lpwstr>
  </property>
  <property fmtid="{D5CDD505-2E9C-101B-9397-08002B2CF9AE}" pid="21" name="Template">
    <vt:lpwstr>0</vt:lpwstr>
  </property>
  <property fmtid="{D5CDD505-2E9C-101B-9397-08002B2CF9AE}" pid="22" name="Base Target">
    <vt:lpwstr>Page Default (20)</vt:lpwstr>
  </property>
</Properties>
</file>