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29E2" w14:textId="6FA8EB04" w:rsidR="0071366A" w:rsidRDefault="0071366A" w:rsidP="00BC0A7E">
      <w:pPr>
        <w:spacing w:before="200" w:line="288" w:lineRule="auto"/>
        <w:jc w:val="center"/>
        <w:rPr>
          <w:rFonts w:cs="Arial"/>
          <w:sz w:val="40"/>
          <w:szCs w:val="40"/>
        </w:rPr>
      </w:pPr>
      <w:bookmarkStart w:id="0" w:name="_GoBack"/>
      <w:bookmarkEnd w:id="0"/>
    </w:p>
    <w:p w14:paraId="3DA2AF73" w14:textId="77777777" w:rsidR="0071366A" w:rsidRDefault="0071366A" w:rsidP="00BC0A7E">
      <w:pPr>
        <w:spacing w:before="200" w:line="288" w:lineRule="auto"/>
        <w:jc w:val="center"/>
        <w:rPr>
          <w:rFonts w:cs="Arial"/>
          <w:sz w:val="40"/>
          <w:szCs w:val="40"/>
        </w:rPr>
      </w:pPr>
    </w:p>
    <w:p w14:paraId="25319B48" w14:textId="77777777" w:rsidR="008970DA" w:rsidRDefault="0022378C" w:rsidP="00BC0A7E">
      <w:pPr>
        <w:spacing w:before="200" w:line="288" w:lineRule="auto"/>
        <w:jc w:val="center"/>
        <w:rPr>
          <w:rFonts w:cs="Arial"/>
          <w:sz w:val="40"/>
          <w:szCs w:val="40"/>
        </w:rPr>
      </w:pPr>
      <w:r>
        <w:rPr>
          <w:rFonts w:cs="Arial"/>
          <w:sz w:val="40"/>
          <w:szCs w:val="40"/>
        </w:rPr>
        <w:t>East Kent Hospitals University</w:t>
      </w:r>
    </w:p>
    <w:p w14:paraId="7B1EDE16" w14:textId="77777777" w:rsidR="0022378C" w:rsidRDefault="0022378C" w:rsidP="00BC0A7E">
      <w:pPr>
        <w:spacing w:before="200" w:line="288" w:lineRule="auto"/>
        <w:jc w:val="center"/>
        <w:rPr>
          <w:rFonts w:cs="Arial"/>
          <w:sz w:val="40"/>
          <w:szCs w:val="40"/>
        </w:rPr>
      </w:pPr>
      <w:r>
        <w:rPr>
          <w:rFonts w:cs="Arial"/>
          <w:sz w:val="40"/>
          <w:szCs w:val="40"/>
        </w:rPr>
        <w:t>NHS</w:t>
      </w:r>
      <w:r w:rsidR="008970DA">
        <w:rPr>
          <w:rFonts w:cs="Arial"/>
          <w:sz w:val="40"/>
          <w:szCs w:val="40"/>
        </w:rPr>
        <w:t xml:space="preserve"> </w:t>
      </w:r>
      <w:r>
        <w:rPr>
          <w:rFonts w:cs="Arial"/>
          <w:sz w:val="40"/>
          <w:szCs w:val="40"/>
        </w:rPr>
        <w:t>Foundation Trust</w:t>
      </w:r>
    </w:p>
    <w:p w14:paraId="6A3AF663" w14:textId="77777777" w:rsidR="0022378C" w:rsidRDefault="0022378C" w:rsidP="00BC0A7E">
      <w:pPr>
        <w:spacing w:before="200" w:line="288" w:lineRule="auto"/>
        <w:rPr>
          <w:rFonts w:cs="Arial"/>
        </w:rPr>
      </w:pPr>
    </w:p>
    <w:p w14:paraId="730B32AA" w14:textId="77777777" w:rsidR="0022378C" w:rsidRDefault="0022378C" w:rsidP="00BC0A7E">
      <w:pPr>
        <w:spacing w:before="200" w:line="288" w:lineRule="auto"/>
        <w:rPr>
          <w:rFonts w:cs="Arial"/>
        </w:rPr>
      </w:pPr>
    </w:p>
    <w:p w14:paraId="0FA3A9E2" w14:textId="77777777" w:rsidR="002C1CDA" w:rsidRPr="002C1CDA" w:rsidRDefault="002C1CDA" w:rsidP="002C1CDA">
      <w:pPr>
        <w:spacing w:before="200" w:line="288" w:lineRule="auto"/>
        <w:jc w:val="center"/>
        <w:rPr>
          <w:rFonts w:cs="Arial"/>
          <w:b/>
          <w:sz w:val="28"/>
        </w:rPr>
      </w:pPr>
      <w:r w:rsidRPr="002C1CDA">
        <w:rPr>
          <w:rFonts w:cs="Arial"/>
          <w:b/>
          <w:sz w:val="28"/>
        </w:rPr>
        <w:t>POLICY DOCUMENT</w:t>
      </w:r>
    </w:p>
    <w:p w14:paraId="14B8FBFA" w14:textId="77777777" w:rsidR="0022378C" w:rsidRDefault="0022378C" w:rsidP="00BC0A7E">
      <w:pPr>
        <w:spacing w:before="200" w:line="288" w:lineRule="auto"/>
        <w:rPr>
          <w:rFonts w:cs="Arial"/>
        </w:rPr>
      </w:pPr>
    </w:p>
    <w:p w14:paraId="17A75421" w14:textId="77777777" w:rsidR="0022378C" w:rsidRPr="002D69EB" w:rsidRDefault="00D668DF" w:rsidP="00BC0A7E">
      <w:pPr>
        <w:pStyle w:val="Title"/>
        <w:spacing w:line="288" w:lineRule="auto"/>
        <w:rPr>
          <w:sz w:val="32"/>
        </w:rPr>
      </w:pPr>
      <w:r>
        <w:rPr>
          <w:sz w:val="32"/>
        </w:rPr>
        <w:t>Learning from Deaths</w:t>
      </w:r>
    </w:p>
    <w:p w14:paraId="09533335" w14:textId="77777777" w:rsidR="0022378C" w:rsidRDefault="0022378C" w:rsidP="00BC0A7E">
      <w:pPr>
        <w:spacing w:before="200" w:line="288" w:lineRule="auto"/>
        <w:rPr>
          <w:rFonts w:cs="Arial"/>
        </w:rPr>
      </w:pPr>
    </w:p>
    <w:tbl>
      <w:tblPr>
        <w:tblStyle w:val="TableGrid1"/>
        <w:tblW w:w="10093" w:type="dxa"/>
        <w:tblLayout w:type="fixed"/>
        <w:tblLook w:val="06A0" w:firstRow="1" w:lastRow="0" w:firstColumn="1" w:lastColumn="0" w:noHBand="1" w:noVBand="1"/>
      </w:tblPr>
      <w:tblGrid>
        <w:gridCol w:w="5245"/>
        <w:gridCol w:w="4848"/>
      </w:tblGrid>
      <w:tr w:rsidR="0022378C" w:rsidRPr="00F54910" w14:paraId="6B07BD48" w14:textId="77777777" w:rsidTr="008761B6">
        <w:tc>
          <w:tcPr>
            <w:tcW w:w="5245" w:type="dxa"/>
          </w:tcPr>
          <w:p w14:paraId="57E03B17" w14:textId="77777777" w:rsidR="0022378C" w:rsidRPr="00F54910" w:rsidRDefault="0022378C" w:rsidP="00BC0A7E">
            <w:pPr>
              <w:spacing w:before="80" w:after="80" w:line="288" w:lineRule="auto"/>
              <w:rPr>
                <w:rFonts w:cs="Arial"/>
                <w:b/>
              </w:rPr>
            </w:pPr>
            <w:r w:rsidRPr="00F54910">
              <w:rPr>
                <w:rFonts w:cs="Arial"/>
                <w:b/>
              </w:rPr>
              <w:t>Version:</w:t>
            </w:r>
          </w:p>
        </w:tc>
        <w:tc>
          <w:tcPr>
            <w:tcW w:w="4848" w:type="dxa"/>
          </w:tcPr>
          <w:p w14:paraId="5047BC18" w14:textId="2F8F9FA9" w:rsidR="0022378C" w:rsidRPr="00F54910" w:rsidRDefault="00833013" w:rsidP="00BC0A7E">
            <w:pPr>
              <w:spacing w:before="80" w:after="80" w:line="288" w:lineRule="auto"/>
              <w:rPr>
                <w:rFonts w:cs="Arial"/>
              </w:rPr>
            </w:pPr>
            <w:r>
              <w:rPr>
                <w:rFonts w:cs="Arial"/>
              </w:rPr>
              <w:t>3.0</w:t>
            </w:r>
          </w:p>
        </w:tc>
      </w:tr>
      <w:tr w:rsidR="0022378C" w:rsidRPr="00F54910" w14:paraId="060238D2" w14:textId="77777777" w:rsidTr="008761B6">
        <w:tc>
          <w:tcPr>
            <w:tcW w:w="5245" w:type="dxa"/>
          </w:tcPr>
          <w:p w14:paraId="22F567D2" w14:textId="524520BA" w:rsidR="0022378C" w:rsidRPr="00F54910" w:rsidRDefault="00ED535B" w:rsidP="00BC0A7E">
            <w:pPr>
              <w:spacing w:before="80" w:after="80" w:line="288" w:lineRule="auto"/>
              <w:rPr>
                <w:rFonts w:cs="Arial"/>
                <w:b/>
              </w:rPr>
            </w:pPr>
            <w:r w:rsidRPr="00F54910">
              <w:rPr>
                <w:rFonts w:cs="Arial"/>
                <w:b/>
              </w:rPr>
              <w:t>A</w:t>
            </w:r>
            <w:r w:rsidR="0022378C" w:rsidRPr="00F54910">
              <w:rPr>
                <w:rFonts w:cs="Arial"/>
                <w:b/>
              </w:rPr>
              <w:t>uthor</w:t>
            </w:r>
            <w:r w:rsidR="00895E92">
              <w:rPr>
                <w:rFonts w:cs="Arial"/>
                <w:b/>
              </w:rPr>
              <w:t>/s</w:t>
            </w:r>
            <w:r w:rsidR="0022378C" w:rsidRPr="00F54910">
              <w:rPr>
                <w:rFonts w:cs="Arial"/>
                <w:b/>
              </w:rPr>
              <w:t>:</w:t>
            </w:r>
          </w:p>
        </w:tc>
        <w:tc>
          <w:tcPr>
            <w:tcW w:w="4848" w:type="dxa"/>
          </w:tcPr>
          <w:p w14:paraId="3B9CB616" w14:textId="3C1F36A7" w:rsidR="00E87D0B" w:rsidRPr="00F54910" w:rsidRDefault="00E87D0B" w:rsidP="00BC0A7E">
            <w:pPr>
              <w:spacing w:before="80" w:after="80" w:line="288" w:lineRule="auto"/>
              <w:rPr>
                <w:rFonts w:cs="Arial"/>
              </w:rPr>
            </w:pPr>
            <w:r>
              <w:rPr>
                <w:rFonts w:cs="Arial"/>
              </w:rPr>
              <w:t>Learning from Deaths Facilitator</w:t>
            </w:r>
          </w:p>
        </w:tc>
      </w:tr>
      <w:tr w:rsidR="00ED535B" w:rsidRPr="00F54910" w14:paraId="38F3E8F4" w14:textId="77777777" w:rsidTr="008761B6">
        <w:tc>
          <w:tcPr>
            <w:tcW w:w="5245" w:type="dxa"/>
          </w:tcPr>
          <w:p w14:paraId="1E4A8710" w14:textId="77777777" w:rsidR="00ED535B" w:rsidRPr="00F54910" w:rsidRDefault="00ED535B" w:rsidP="00BC0A7E">
            <w:pPr>
              <w:spacing w:before="80" w:after="80" w:line="288" w:lineRule="auto"/>
              <w:rPr>
                <w:rFonts w:cs="Arial"/>
                <w:b/>
              </w:rPr>
            </w:pPr>
            <w:r w:rsidRPr="00F54910">
              <w:rPr>
                <w:rFonts w:cs="Arial"/>
                <w:b/>
              </w:rPr>
              <w:t>Approving committee:</w:t>
            </w:r>
          </w:p>
        </w:tc>
        <w:tc>
          <w:tcPr>
            <w:tcW w:w="4848" w:type="dxa"/>
          </w:tcPr>
          <w:p w14:paraId="2C2C4230" w14:textId="3CBDF961" w:rsidR="00ED535B" w:rsidRPr="00F54910" w:rsidRDefault="00104A17" w:rsidP="00BC0A7E">
            <w:pPr>
              <w:spacing w:before="80" w:after="80" w:line="288" w:lineRule="auto"/>
              <w:rPr>
                <w:rFonts w:cs="Arial"/>
              </w:rPr>
            </w:pPr>
            <w:r>
              <w:rPr>
                <w:rFonts w:cs="Arial"/>
              </w:rPr>
              <w:t xml:space="preserve">Patient Safety </w:t>
            </w:r>
            <w:r w:rsidR="00F94DDB">
              <w:rPr>
                <w:rFonts w:cs="Arial"/>
              </w:rPr>
              <w:t>Committee</w:t>
            </w:r>
            <w:r w:rsidR="00A56EFC">
              <w:rPr>
                <w:rFonts w:cs="Arial"/>
              </w:rPr>
              <w:t xml:space="preserve"> (Chair’s action)</w:t>
            </w:r>
          </w:p>
        </w:tc>
      </w:tr>
      <w:tr w:rsidR="00ED535B" w:rsidRPr="00F54910" w14:paraId="65E76157" w14:textId="77777777" w:rsidTr="008761B6">
        <w:tc>
          <w:tcPr>
            <w:tcW w:w="5245" w:type="dxa"/>
          </w:tcPr>
          <w:p w14:paraId="003CB75B" w14:textId="77777777" w:rsidR="00ED535B" w:rsidRPr="00F54910" w:rsidRDefault="00ED535B" w:rsidP="00BC0A7E">
            <w:pPr>
              <w:spacing w:before="80" w:after="80" w:line="288" w:lineRule="auto"/>
              <w:rPr>
                <w:rFonts w:cs="Arial"/>
                <w:b/>
              </w:rPr>
            </w:pPr>
            <w:r w:rsidRPr="00F54910">
              <w:rPr>
                <w:rFonts w:cs="Arial"/>
                <w:b/>
              </w:rPr>
              <w:t>Date approved:</w:t>
            </w:r>
          </w:p>
        </w:tc>
        <w:tc>
          <w:tcPr>
            <w:tcW w:w="4848" w:type="dxa"/>
          </w:tcPr>
          <w:p w14:paraId="3452C1F3" w14:textId="33ECEC90" w:rsidR="00ED535B" w:rsidRPr="00F54910" w:rsidRDefault="00E87D0B" w:rsidP="00BC0A7E">
            <w:pPr>
              <w:spacing w:before="80" w:after="80" w:line="288" w:lineRule="auto"/>
              <w:rPr>
                <w:rFonts w:cs="Arial"/>
              </w:rPr>
            </w:pPr>
            <w:r>
              <w:rPr>
                <w:rFonts w:cs="Arial"/>
              </w:rPr>
              <w:t>11</w:t>
            </w:r>
            <w:r w:rsidR="00A56EFC">
              <w:rPr>
                <w:rFonts w:cs="Arial"/>
              </w:rPr>
              <w:t xml:space="preserve"> January </w:t>
            </w:r>
            <w:r w:rsidR="00833013">
              <w:rPr>
                <w:rFonts w:cs="Arial"/>
              </w:rPr>
              <w:t>20</w:t>
            </w:r>
            <w:r>
              <w:rPr>
                <w:rFonts w:cs="Arial"/>
              </w:rPr>
              <w:t>22</w:t>
            </w:r>
          </w:p>
        </w:tc>
      </w:tr>
      <w:tr w:rsidR="00ED535B" w:rsidRPr="00F54910" w14:paraId="49FFECCD" w14:textId="77777777" w:rsidTr="008761B6">
        <w:tc>
          <w:tcPr>
            <w:tcW w:w="5245" w:type="dxa"/>
          </w:tcPr>
          <w:p w14:paraId="788E3B91" w14:textId="199D323B" w:rsidR="00ED535B" w:rsidRPr="00F54910" w:rsidRDefault="00ED535B" w:rsidP="00BC0A7E">
            <w:pPr>
              <w:spacing w:before="80" w:after="80" w:line="288" w:lineRule="auto"/>
              <w:rPr>
                <w:rFonts w:cs="Arial"/>
                <w:b/>
              </w:rPr>
            </w:pPr>
            <w:r w:rsidRPr="00F54910">
              <w:rPr>
                <w:rFonts w:cs="Arial"/>
                <w:b/>
              </w:rPr>
              <w:t xml:space="preserve">Date ratified by Policy </w:t>
            </w:r>
            <w:r w:rsidR="002C1CDA">
              <w:rPr>
                <w:rFonts w:cs="Arial"/>
                <w:b/>
              </w:rPr>
              <w:t>Authorisation</w:t>
            </w:r>
            <w:r w:rsidRPr="00F54910">
              <w:rPr>
                <w:rFonts w:cs="Arial"/>
                <w:b/>
              </w:rPr>
              <w:t xml:space="preserve"> Group</w:t>
            </w:r>
            <w:r w:rsidR="002C1CDA">
              <w:rPr>
                <w:rFonts w:cs="Arial"/>
                <w:b/>
              </w:rPr>
              <w:t>:</w:t>
            </w:r>
          </w:p>
        </w:tc>
        <w:tc>
          <w:tcPr>
            <w:tcW w:w="4848" w:type="dxa"/>
          </w:tcPr>
          <w:p w14:paraId="03901846" w14:textId="233C25CF" w:rsidR="00ED535B" w:rsidRPr="00F54910" w:rsidRDefault="00833013" w:rsidP="00BC0A7E">
            <w:pPr>
              <w:spacing w:before="80" w:after="80" w:line="288" w:lineRule="auto"/>
              <w:rPr>
                <w:rFonts w:cs="Arial"/>
              </w:rPr>
            </w:pPr>
            <w:r>
              <w:rPr>
                <w:rFonts w:cs="Arial"/>
              </w:rPr>
              <w:t>09 February 2022</w:t>
            </w:r>
          </w:p>
        </w:tc>
      </w:tr>
      <w:tr w:rsidR="00AC3354" w:rsidRPr="00F54910" w14:paraId="38DA52C0" w14:textId="77777777" w:rsidTr="008761B6">
        <w:tc>
          <w:tcPr>
            <w:tcW w:w="5245" w:type="dxa"/>
          </w:tcPr>
          <w:p w14:paraId="7A2C573A" w14:textId="77777777" w:rsidR="00AC3354" w:rsidRPr="00F54910" w:rsidRDefault="00AC3354" w:rsidP="00BC0A7E">
            <w:pPr>
              <w:spacing w:before="80" w:after="80" w:line="288" w:lineRule="auto"/>
              <w:rPr>
                <w:rFonts w:cs="Arial"/>
                <w:b/>
              </w:rPr>
            </w:pPr>
            <w:r w:rsidRPr="00F54910">
              <w:rPr>
                <w:rFonts w:cs="Arial"/>
                <w:b/>
              </w:rPr>
              <w:t>Director responsible for implementation:</w:t>
            </w:r>
          </w:p>
        </w:tc>
        <w:tc>
          <w:tcPr>
            <w:tcW w:w="4848" w:type="dxa"/>
          </w:tcPr>
          <w:p w14:paraId="121B3559" w14:textId="3E9CD2F5" w:rsidR="00AC3354" w:rsidRPr="00F54910" w:rsidRDefault="002C1CDA" w:rsidP="00BC0A7E">
            <w:pPr>
              <w:spacing w:before="80" w:after="80" w:line="288" w:lineRule="auto"/>
              <w:rPr>
                <w:rFonts w:cs="Arial"/>
              </w:rPr>
            </w:pPr>
            <w:r>
              <w:rPr>
                <w:rFonts w:cs="Arial"/>
              </w:rPr>
              <w:t>Chief Medical Officer</w:t>
            </w:r>
          </w:p>
        </w:tc>
      </w:tr>
      <w:tr w:rsidR="0022378C" w:rsidRPr="00F54910" w14:paraId="37189F23" w14:textId="77777777" w:rsidTr="008761B6">
        <w:tc>
          <w:tcPr>
            <w:tcW w:w="5245" w:type="dxa"/>
          </w:tcPr>
          <w:p w14:paraId="2AA56B2A" w14:textId="77777777" w:rsidR="0022378C" w:rsidRPr="00F54910" w:rsidRDefault="0022378C" w:rsidP="00BC0A7E">
            <w:pPr>
              <w:spacing w:before="80" w:after="80" w:line="288" w:lineRule="auto"/>
              <w:rPr>
                <w:rFonts w:cs="Arial"/>
                <w:b/>
              </w:rPr>
            </w:pPr>
            <w:r w:rsidRPr="00F54910">
              <w:rPr>
                <w:rFonts w:cs="Arial"/>
                <w:b/>
              </w:rPr>
              <w:t>Date issued:</w:t>
            </w:r>
          </w:p>
        </w:tc>
        <w:tc>
          <w:tcPr>
            <w:tcW w:w="4848" w:type="dxa"/>
          </w:tcPr>
          <w:p w14:paraId="270CF4D0" w14:textId="5382C352" w:rsidR="0022378C" w:rsidRPr="00F54910" w:rsidRDefault="00826203" w:rsidP="00BC0A7E">
            <w:pPr>
              <w:spacing w:before="80" w:after="80" w:line="288" w:lineRule="auto"/>
              <w:rPr>
                <w:rFonts w:cs="Arial"/>
              </w:rPr>
            </w:pPr>
            <w:r>
              <w:rPr>
                <w:rFonts w:cs="Arial"/>
              </w:rPr>
              <w:t>22 February 2022</w:t>
            </w:r>
          </w:p>
        </w:tc>
      </w:tr>
      <w:tr w:rsidR="0022378C" w:rsidRPr="00F54910" w14:paraId="5E0F16D5" w14:textId="77777777" w:rsidTr="008761B6">
        <w:tc>
          <w:tcPr>
            <w:tcW w:w="5245" w:type="dxa"/>
          </w:tcPr>
          <w:p w14:paraId="469DD7CF" w14:textId="77777777" w:rsidR="0022378C" w:rsidRPr="00F54910" w:rsidRDefault="00ED535B" w:rsidP="00BC0A7E">
            <w:pPr>
              <w:spacing w:before="80" w:after="80" w:line="288" w:lineRule="auto"/>
              <w:rPr>
                <w:rFonts w:cs="Arial"/>
                <w:b/>
              </w:rPr>
            </w:pPr>
            <w:r w:rsidRPr="00F54910">
              <w:rPr>
                <w:rFonts w:cs="Arial"/>
                <w:b/>
              </w:rPr>
              <w:t>Next r</w:t>
            </w:r>
            <w:r w:rsidR="0022378C" w:rsidRPr="00F54910">
              <w:rPr>
                <w:rFonts w:cs="Arial"/>
                <w:b/>
              </w:rPr>
              <w:t>eview date:</w:t>
            </w:r>
          </w:p>
        </w:tc>
        <w:tc>
          <w:tcPr>
            <w:tcW w:w="4848" w:type="dxa"/>
          </w:tcPr>
          <w:p w14:paraId="306CEEBA" w14:textId="55833357" w:rsidR="0022378C" w:rsidRPr="00F54910" w:rsidRDefault="00A56EFC" w:rsidP="00BC0A7E">
            <w:pPr>
              <w:spacing w:before="80" w:after="80" w:line="288" w:lineRule="auto"/>
              <w:rPr>
                <w:rFonts w:cs="Arial"/>
              </w:rPr>
            </w:pPr>
            <w:r>
              <w:rPr>
                <w:rFonts w:cs="Arial"/>
              </w:rPr>
              <w:t>January 2025</w:t>
            </w:r>
          </w:p>
        </w:tc>
      </w:tr>
      <w:tr w:rsidR="002C1CDA" w:rsidRPr="00F54910" w14:paraId="4F476E25" w14:textId="77777777" w:rsidTr="008761B6">
        <w:tc>
          <w:tcPr>
            <w:tcW w:w="5245" w:type="dxa"/>
          </w:tcPr>
          <w:p w14:paraId="03EBCB3D" w14:textId="77777777" w:rsidR="002C1CDA" w:rsidRPr="00F54910" w:rsidRDefault="002C1CDA" w:rsidP="00BC0A7E">
            <w:pPr>
              <w:spacing w:before="80" w:after="80" w:line="288" w:lineRule="auto"/>
              <w:rPr>
                <w:rFonts w:cs="Arial"/>
                <w:b/>
              </w:rPr>
            </w:pPr>
            <w:r w:rsidRPr="002C1CDA">
              <w:rPr>
                <w:rFonts w:cs="Arial"/>
                <w:b/>
              </w:rPr>
              <w:t>Applies to (include subsidiary companies):</w:t>
            </w:r>
          </w:p>
        </w:tc>
        <w:tc>
          <w:tcPr>
            <w:tcW w:w="4848" w:type="dxa"/>
          </w:tcPr>
          <w:p w14:paraId="07E09F2E" w14:textId="6F63AE88" w:rsidR="002C1CDA" w:rsidRDefault="00833013" w:rsidP="00BC0A7E">
            <w:pPr>
              <w:spacing w:before="80" w:after="80" w:line="288" w:lineRule="auto"/>
              <w:rPr>
                <w:rFonts w:cs="Arial"/>
              </w:rPr>
            </w:pPr>
            <w:r>
              <w:rPr>
                <w:rFonts w:cs="Arial"/>
              </w:rPr>
              <w:t>EKHUFT staff</w:t>
            </w:r>
          </w:p>
        </w:tc>
      </w:tr>
    </w:tbl>
    <w:p w14:paraId="02595165" w14:textId="77777777" w:rsidR="00986A3F" w:rsidRDefault="00986A3F" w:rsidP="00BC0A7E">
      <w:pPr>
        <w:spacing w:before="200" w:line="288" w:lineRule="auto"/>
        <w:rPr>
          <w:rFonts w:cs="Arial"/>
          <w:b/>
        </w:rPr>
      </w:pPr>
    </w:p>
    <w:p w14:paraId="37943BE6" w14:textId="74177430" w:rsidR="00986A3F" w:rsidRPr="00A56EFC" w:rsidRDefault="00227F4E" w:rsidP="005757F7">
      <w:pPr>
        <w:spacing w:before="200" w:line="288" w:lineRule="auto"/>
        <w:rPr>
          <w:rFonts w:cs="Arial"/>
          <w:sz w:val="28"/>
          <w:szCs w:val="28"/>
        </w:rPr>
      </w:pPr>
      <w:r w:rsidRPr="00A56EFC">
        <w:rPr>
          <w:rFonts w:cs="Arial"/>
          <w:sz w:val="28"/>
          <w:szCs w:val="28"/>
        </w:rPr>
        <w:t xml:space="preserve">This policy is available in other formats, for example, in large print, Audio and Easy Read on request. Please contact </w:t>
      </w:r>
      <w:hyperlink r:id="rId12" w:history="1">
        <w:r w:rsidR="00C16708" w:rsidRPr="00A56EFC">
          <w:rPr>
            <w:rStyle w:val="Hyperlink"/>
            <w:rFonts w:cs="Arial"/>
            <w:sz w:val="28"/>
            <w:szCs w:val="28"/>
          </w:rPr>
          <w:t>ekhuft.edi@nhs.net</w:t>
        </w:r>
      </w:hyperlink>
      <w:r w:rsidR="00C16708" w:rsidRPr="00A56EFC">
        <w:rPr>
          <w:rFonts w:cs="Arial"/>
          <w:sz w:val="28"/>
          <w:szCs w:val="28"/>
        </w:rPr>
        <w:t xml:space="preserve"> </w:t>
      </w:r>
    </w:p>
    <w:p w14:paraId="4CCAC6D7" w14:textId="77777777" w:rsidR="0022378C" w:rsidRPr="007A6A04" w:rsidRDefault="00CC3728" w:rsidP="00BC0A7E">
      <w:pPr>
        <w:pStyle w:val="SectionTitle"/>
        <w:spacing w:line="288" w:lineRule="auto"/>
      </w:pPr>
      <w:r>
        <w:br w:type="page"/>
      </w:r>
      <w:r w:rsidR="00C900D2">
        <w:lastRenderedPageBreak/>
        <w:t>V</w:t>
      </w:r>
      <w:r w:rsidR="0022378C" w:rsidRPr="0071366A">
        <w:t>ersion Control Schedule</w:t>
      </w:r>
    </w:p>
    <w:tbl>
      <w:tblPr>
        <w:tblStyle w:val="TableGrid1"/>
        <w:tblW w:w="0" w:type="auto"/>
        <w:tblLook w:val="0620" w:firstRow="1" w:lastRow="0" w:firstColumn="0" w:lastColumn="0" w:noHBand="1" w:noVBand="1"/>
      </w:tblPr>
      <w:tblGrid>
        <w:gridCol w:w="1441"/>
        <w:gridCol w:w="1163"/>
        <w:gridCol w:w="2153"/>
        <w:gridCol w:w="1367"/>
        <w:gridCol w:w="3258"/>
      </w:tblGrid>
      <w:tr w:rsidR="0022378C" w:rsidRPr="00F54910" w14:paraId="0405ABAC" w14:textId="77777777" w:rsidTr="008761B6">
        <w:tc>
          <w:tcPr>
            <w:tcW w:w="1441" w:type="dxa"/>
          </w:tcPr>
          <w:p w14:paraId="1A3B003F" w14:textId="77777777" w:rsidR="0022378C" w:rsidRPr="00F54910" w:rsidRDefault="0022378C" w:rsidP="00BC0A7E">
            <w:pPr>
              <w:spacing w:line="288" w:lineRule="auto"/>
              <w:rPr>
                <w:b/>
              </w:rPr>
            </w:pPr>
            <w:r w:rsidRPr="00F54910">
              <w:rPr>
                <w:b/>
              </w:rPr>
              <w:t>Version</w:t>
            </w:r>
          </w:p>
        </w:tc>
        <w:tc>
          <w:tcPr>
            <w:tcW w:w="1163" w:type="dxa"/>
          </w:tcPr>
          <w:p w14:paraId="64853811" w14:textId="77777777" w:rsidR="0022378C" w:rsidRPr="00F54910" w:rsidRDefault="0022378C" w:rsidP="00BC0A7E">
            <w:pPr>
              <w:spacing w:line="288" w:lineRule="auto"/>
              <w:rPr>
                <w:b/>
              </w:rPr>
            </w:pPr>
            <w:r w:rsidRPr="00F54910">
              <w:rPr>
                <w:b/>
              </w:rPr>
              <w:t>Date</w:t>
            </w:r>
          </w:p>
        </w:tc>
        <w:tc>
          <w:tcPr>
            <w:tcW w:w="2153" w:type="dxa"/>
          </w:tcPr>
          <w:p w14:paraId="65C4D371" w14:textId="77777777" w:rsidR="0022378C" w:rsidRPr="00F54910" w:rsidRDefault="0022378C" w:rsidP="00BC0A7E">
            <w:pPr>
              <w:spacing w:line="288" w:lineRule="auto"/>
              <w:rPr>
                <w:b/>
              </w:rPr>
            </w:pPr>
            <w:r w:rsidRPr="00F54910">
              <w:rPr>
                <w:b/>
              </w:rPr>
              <w:t>Author</w:t>
            </w:r>
          </w:p>
        </w:tc>
        <w:tc>
          <w:tcPr>
            <w:tcW w:w="1307" w:type="dxa"/>
          </w:tcPr>
          <w:p w14:paraId="4AF08C23" w14:textId="77777777" w:rsidR="0022378C" w:rsidRPr="00F54910" w:rsidRDefault="0022378C" w:rsidP="00BC0A7E">
            <w:pPr>
              <w:spacing w:line="288" w:lineRule="auto"/>
              <w:rPr>
                <w:b/>
              </w:rPr>
            </w:pPr>
            <w:r w:rsidRPr="00F54910">
              <w:rPr>
                <w:b/>
              </w:rPr>
              <w:t>Status</w:t>
            </w:r>
          </w:p>
        </w:tc>
        <w:tc>
          <w:tcPr>
            <w:tcW w:w="3258" w:type="dxa"/>
          </w:tcPr>
          <w:p w14:paraId="093CFEBF" w14:textId="77777777" w:rsidR="0022378C" w:rsidRPr="00F54910" w:rsidRDefault="0022378C" w:rsidP="00BC0A7E">
            <w:pPr>
              <w:spacing w:line="288" w:lineRule="auto"/>
              <w:rPr>
                <w:b/>
              </w:rPr>
            </w:pPr>
            <w:r w:rsidRPr="00F54910">
              <w:rPr>
                <w:b/>
              </w:rPr>
              <w:t>Comment</w:t>
            </w:r>
          </w:p>
        </w:tc>
      </w:tr>
      <w:tr w:rsidR="0022378C" w:rsidRPr="00F54910" w14:paraId="50BBECAC" w14:textId="77777777" w:rsidTr="008761B6">
        <w:tc>
          <w:tcPr>
            <w:tcW w:w="1441" w:type="dxa"/>
          </w:tcPr>
          <w:p w14:paraId="6897A77E" w14:textId="77777777" w:rsidR="0022378C" w:rsidRPr="00F54910" w:rsidRDefault="005C4066" w:rsidP="00BC0A7E">
            <w:pPr>
              <w:spacing w:before="80" w:after="80" w:line="288" w:lineRule="auto"/>
              <w:rPr>
                <w:rFonts w:cs="Arial"/>
              </w:rPr>
            </w:pPr>
            <w:r>
              <w:rPr>
                <w:rFonts w:cs="Arial"/>
              </w:rPr>
              <w:t>1.0</w:t>
            </w:r>
          </w:p>
        </w:tc>
        <w:tc>
          <w:tcPr>
            <w:tcW w:w="1163" w:type="dxa"/>
          </w:tcPr>
          <w:p w14:paraId="1D018DF4" w14:textId="77777777" w:rsidR="0022378C" w:rsidRPr="00F54910" w:rsidRDefault="005C4066" w:rsidP="00BC0A7E">
            <w:pPr>
              <w:spacing w:before="80" w:after="80" w:line="288" w:lineRule="auto"/>
              <w:rPr>
                <w:rFonts w:cs="Arial"/>
              </w:rPr>
            </w:pPr>
            <w:r>
              <w:rPr>
                <w:rFonts w:cs="Arial"/>
              </w:rPr>
              <w:t>Sept-17</w:t>
            </w:r>
          </w:p>
        </w:tc>
        <w:tc>
          <w:tcPr>
            <w:tcW w:w="2153" w:type="dxa"/>
          </w:tcPr>
          <w:p w14:paraId="5FAF82CF" w14:textId="275F2145" w:rsidR="0022378C" w:rsidRPr="00F54910" w:rsidRDefault="005C4066" w:rsidP="00BC0A7E">
            <w:pPr>
              <w:spacing w:before="80" w:after="80" w:line="288" w:lineRule="auto"/>
              <w:rPr>
                <w:rFonts w:cs="Arial"/>
              </w:rPr>
            </w:pPr>
            <w:r>
              <w:rPr>
                <w:rFonts w:cs="Arial"/>
              </w:rPr>
              <w:t>Medical Director</w:t>
            </w:r>
            <w:r w:rsidR="00895E92">
              <w:rPr>
                <w:rFonts w:cs="Arial"/>
              </w:rPr>
              <w:t xml:space="preserve"> 2013-2022</w:t>
            </w:r>
          </w:p>
        </w:tc>
        <w:tc>
          <w:tcPr>
            <w:tcW w:w="1307" w:type="dxa"/>
          </w:tcPr>
          <w:p w14:paraId="6B3A2FBD" w14:textId="77777777" w:rsidR="0022378C" w:rsidRPr="00F54910" w:rsidRDefault="005C4066" w:rsidP="00BC0A7E">
            <w:pPr>
              <w:spacing w:before="80" w:after="80" w:line="288" w:lineRule="auto"/>
              <w:rPr>
                <w:rFonts w:cs="Arial"/>
              </w:rPr>
            </w:pPr>
            <w:r>
              <w:rPr>
                <w:rFonts w:cs="Arial"/>
              </w:rPr>
              <w:t>Final</w:t>
            </w:r>
          </w:p>
        </w:tc>
        <w:tc>
          <w:tcPr>
            <w:tcW w:w="3258" w:type="dxa"/>
          </w:tcPr>
          <w:p w14:paraId="32465F1F" w14:textId="5C5F1FC1" w:rsidR="0022378C" w:rsidRPr="00F54910" w:rsidRDefault="00927D95" w:rsidP="00BC0A7E">
            <w:pPr>
              <w:spacing w:before="80" w:after="80" w:line="288" w:lineRule="auto"/>
              <w:rPr>
                <w:rFonts w:cs="Arial"/>
              </w:rPr>
            </w:pPr>
            <w:r>
              <w:rPr>
                <w:rFonts w:cs="Arial"/>
              </w:rPr>
              <w:t>(</w:t>
            </w:r>
            <w:r w:rsidR="00833013">
              <w:rPr>
                <w:rFonts w:cs="Arial"/>
              </w:rPr>
              <w:t>N</w:t>
            </w:r>
            <w:r>
              <w:rPr>
                <w:rFonts w:cs="Arial"/>
              </w:rPr>
              <w:t>ot issued)</w:t>
            </w:r>
          </w:p>
        </w:tc>
      </w:tr>
      <w:tr w:rsidR="0022378C" w:rsidRPr="00F54910" w14:paraId="597F2F88" w14:textId="77777777" w:rsidTr="008761B6">
        <w:tc>
          <w:tcPr>
            <w:tcW w:w="1441" w:type="dxa"/>
          </w:tcPr>
          <w:p w14:paraId="5473561A" w14:textId="77777777" w:rsidR="0022378C" w:rsidRPr="00F54910" w:rsidRDefault="00C45C54" w:rsidP="00BC0A7E">
            <w:pPr>
              <w:spacing w:before="80" w:after="80" w:line="288" w:lineRule="auto"/>
              <w:rPr>
                <w:rFonts w:cs="Arial"/>
              </w:rPr>
            </w:pPr>
            <w:r>
              <w:rPr>
                <w:rFonts w:cs="Arial"/>
              </w:rPr>
              <w:t>2.0</w:t>
            </w:r>
          </w:p>
        </w:tc>
        <w:tc>
          <w:tcPr>
            <w:tcW w:w="1163" w:type="dxa"/>
          </w:tcPr>
          <w:p w14:paraId="67BB188E" w14:textId="77777777" w:rsidR="0022378C" w:rsidRPr="00F54910" w:rsidRDefault="00C45C54" w:rsidP="00BC0A7E">
            <w:pPr>
              <w:spacing w:before="80" w:after="80" w:line="288" w:lineRule="auto"/>
              <w:rPr>
                <w:rFonts w:cs="Arial"/>
              </w:rPr>
            </w:pPr>
            <w:r>
              <w:rPr>
                <w:rFonts w:cs="Arial"/>
              </w:rPr>
              <w:t>Feb-19</w:t>
            </w:r>
          </w:p>
        </w:tc>
        <w:tc>
          <w:tcPr>
            <w:tcW w:w="2153" w:type="dxa"/>
          </w:tcPr>
          <w:p w14:paraId="0FA9FC1F" w14:textId="5F64D08C" w:rsidR="0022378C" w:rsidRPr="00F54910" w:rsidRDefault="00895E92" w:rsidP="00BC0A7E">
            <w:pPr>
              <w:spacing w:before="80" w:after="80" w:line="288" w:lineRule="auto"/>
              <w:rPr>
                <w:rFonts w:cs="Arial"/>
              </w:rPr>
            </w:pPr>
            <w:r>
              <w:rPr>
                <w:rFonts w:cs="Arial"/>
              </w:rPr>
              <w:t>LFD Facilitator</w:t>
            </w:r>
          </w:p>
        </w:tc>
        <w:tc>
          <w:tcPr>
            <w:tcW w:w="1307" w:type="dxa"/>
          </w:tcPr>
          <w:p w14:paraId="0739E065" w14:textId="66FA0689" w:rsidR="0022378C" w:rsidRPr="00F54910" w:rsidRDefault="00622C79" w:rsidP="00BC0A7E">
            <w:pPr>
              <w:spacing w:before="80" w:after="80" w:line="288" w:lineRule="auto"/>
              <w:rPr>
                <w:rFonts w:cs="Arial"/>
              </w:rPr>
            </w:pPr>
            <w:r>
              <w:rPr>
                <w:rFonts w:cs="Arial"/>
              </w:rPr>
              <w:t>Superseded</w:t>
            </w:r>
          </w:p>
        </w:tc>
        <w:tc>
          <w:tcPr>
            <w:tcW w:w="3258" w:type="dxa"/>
          </w:tcPr>
          <w:p w14:paraId="52623FD5" w14:textId="77777777" w:rsidR="00C45C54" w:rsidRPr="00C45C54" w:rsidRDefault="00FC6441" w:rsidP="00BC0A7E">
            <w:pPr>
              <w:spacing w:line="288" w:lineRule="auto"/>
              <w:rPr>
                <w:rFonts w:cs="Arial"/>
                <w:szCs w:val="20"/>
              </w:rPr>
            </w:pPr>
            <w:r w:rsidRPr="00C45C54">
              <w:rPr>
                <w:rFonts w:cs="Arial"/>
                <w:szCs w:val="20"/>
              </w:rPr>
              <w:t>Reformatting of whole document</w:t>
            </w:r>
            <w:r w:rsidR="00C45C54" w:rsidRPr="00C45C54">
              <w:rPr>
                <w:rFonts w:cs="Arial"/>
                <w:szCs w:val="20"/>
              </w:rPr>
              <w:t xml:space="preserve"> and a</w:t>
            </w:r>
            <w:r w:rsidR="00602E58" w:rsidRPr="00C45C54">
              <w:rPr>
                <w:rFonts w:cs="Arial"/>
                <w:szCs w:val="20"/>
              </w:rPr>
              <w:t>ddition of point</w:t>
            </w:r>
            <w:r w:rsidR="000E1D9F" w:rsidRPr="00C45C54">
              <w:rPr>
                <w:rFonts w:cs="Arial"/>
                <w:szCs w:val="20"/>
              </w:rPr>
              <w:t>s</w:t>
            </w:r>
          </w:p>
          <w:p w14:paraId="1E37B09D" w14:textId="77777777" w:rsidR="00602E58" w:rsidRPr="00924A4E" w:rsidRDefault="00602E58" w:rsidP="00BC0A7E">
            <w:pPr>
              <w:spacing w:line="288" w:lineRule="auto"/>
              <w:rPr>
                <w:rFonts w:cs="Arial"/>
                <w:sz w:val="20"/>
                <w:szCs w:val="20"/>
              </w:rPr>
            </w:pPr>
          </w:p>
        </w:tc>
      </w:tr>
      <w:tr w:rsidR="0022378C" w:rsidRPr="00F54910" w14:paraId="6C4BA933" w14:textId="77777777" w:rsidTr="008761B6">
        <w:tc>
          <w:tcPr>
            <w:tcW w:w="1441" w:type="dxa"/>
          </w:tcPr>
          <w:p w14:paraId="7F4F4C98" w14:textId="0EBE3F73" w:rsidR="0022378C" w:rsidRPr="00F54910" w:rsidRDefault="00354203" w:rsidP="00BC0A7E">
            <w:pPr>
              <w:spacing w:before="80" w:after="80" w:line="288" w:lineRule="auto"/>
              <w:rPr>
                <w:rFonts w:cs="Arial"/>
              </w:rPr>
            </w:pPr>
            <w:r>
              <w:rPr>
                <w:rFonts w:cs="Arial"/>
              </w:rPr>
              <w:t>3</w:t>
            </w:r>
          </w:p>
        </w:tc>
        <w:tc>
          <w:tcPr>
            <w:tcW w:w="1163" w:type="dxa"/>
          </w:tcPr>
          <w:p w14:paraId="203A5B68" w14:textId="28BC43F0" w:rsidR="00354203" w:rsidRPr="00F54910" w:rsidRDefault="00354203" w:rsidP="00BC0A7E">
            <w:pPr>
              <w:spacing w:before="80" w:after="80" w:line="288" w:lineRule="auto"/>
              <w:rPr>
                <w:rFonts w:cs="Arial"/>
              </w:rPr>
            </w:pPr>
            <w:r>
              <w:rPr>
                <w:rFonts w:cs="Arial"/>
              </w:rPr>
              <w:t>Jan-22</w:t>
            </w:r>
          </w:p>
        </w:tc>
        <w:tc>
          <w:tcPr>
            <w:tcW w:w="2153" w:type="dxa"/>
          </w:tcPr>
          <w:p w14:paraId="79D165BE" w14:textId="58A42F8B" w:rsidR="00354203" w:rsidRPr="00F54910" w:rsidRDefault="0047065C" w:rsidP="00BA058A">
            <w:pPr>
              <w:spacing w:before="80" w:after="80" w:line="288" w:lineRule="auto"/>
              <w:rPr>
                <w:rFonts w:cs="Arial"/>
              </w:rPr>
            </w:pPr>
            <w:r>
              <w:rPr>
                <w:rFonts w:cs="Arial"/>
              </w:rPr>
              <w:t>Head of Patient Safety</w:t>
            </w:r>
            <w:r w:rsidR="00622C79">
              <w:rPr>
                <w:rFonts w:cs="Arial"/>
              </w:rPr>
              <w:t xml:space="preserve"> and </w:t>
            </w:r>
            <w:r w:rsidR="00354203">
              <w:rPr>
                <w:rFonts w:cs="Arial"/>
              </w:rPr>
              <w:t>Learning from Deaths Facilitator</w:t>
            </w:r>
          </w:p>
        </w:tc>
        <w:tc>
          <w:tcPr>
            <w:tcW w:w="1307" w:type="dxa"/>
          </w:tcPr>
          <w:p w14:paraId="7139165E" w14:textId="333FD49A" w:rsidR="00354203" w:rsidRPr="00F54910" w:rsidRDefault="00622C79" w:rsidP="00BC0A7E">
            <w:pPr>
              <w:spacing w:before="80" w:after="80" w:line="288" w:lineRule="auto"/>
              <w:rPr>
                <w:rFonts w:cs="Arial"/>
              </w:rPr>
            </w:pPr>
            <w:r>
              <w:rPr>
                <w:rFonts w:cs="Arial"/>
              </w:rPr>
              <w:t>Final</w:t>
            </w:r>
          </w:p>
        </w:tc>
        <w:tc>
          <w:tcPr>
            <w:tcW w:w="3258" w:type="dxa"/>
          </w:tcPr>
          <w:p w14:paraId="10D64FAF" w14:textId="77777777" w:rsidR="00622C79" w:rsidRDefault="00622C79" w:rsidP="00BC0A7E">
            <w:pPr>
              <w:spacing w:before="80" w:after="80" w:line="288" w:lineRule="auto"/>
              <w:rPr>
                <w:rFonts w:cs="Arial"/>
              </w:rPr>
            </w:pPr>
            <w:r>
              <w:rPr>
                <w:rFonts w:cs="Arial"/>
              </w:rPr>
              <w:t>Scheduled review</w:t>
            </w:r>
          </w:p>
          <w:p w14:paraId="361C072A" w14:textId="380533CE" w:rsidR="00354203" w:rsidRPr="00F54910" w:rsidRDefault="00354203" w:rsidP="00BC0A7E">
            <w:pPr>
              <w:spacing w:before="80" w:after="80" w:line="288" w:lineRule="auto"/>
              <w:rPr>
                <w:rFonts w:cs="Arial"/>
              </w:rPr>
            </w:pPr>
          </w:p>
        </w:tc>
      </w:tr>
    </w:tbl>
    <w:p w14:paraId="42C057C0" w14:textId="77777777" w:rsidR="0022378C" w:rsidRDefault="0022378C" w:rsidP="00BC0A7E">
      <w:pPr>
        <w:spacing w:before="200" w:line="288" w:lineRule="auto"/>
        <w:rPr>
          <w:rFonts w:cs="Arial"/>
          <w:b/>
          <w:sz w:val="26"/>
          <w:szCs w:val="26"/>
        </w:rPr>
      </w:pPr>
    </w:p>
    <w:p w14:paraId="67F335CB" w14:textId="77777777" w:rsidR="002C1CDA" w:rsidRDefault="002C1CDA" w:rsidP="002C1CDA">
      <w:pPr>
        <w:pStyle w:val="SectionTitle"/>
      </w:pPr>
      <w:r>
        <w:t>Policy Reviewers</w:t>
      </w:r>
    </w:p>
    <w:tbl>
      <w:tblPr>
        <w:tblStyle w:val="TableGrid1"/>
        <w:tblW w:w="0" w:type="auto"/>
        <w:tblLook w:val="0620" w:firstRow="1" w:lastRow="0" w:firstColumn="0" w:lastColumn="0" w:noHBand="1" w:noVBand="1"/>
      </w:tblPr>
      <w:tblGrid>
        <w:gridCol w:w="7196"/>
        <w:gridCol w:w="2126"/>
      </w:tblGrid>
      <w:tr w:rsidR="00690EC6" w:rsidRPr="00F54910" w14:paraId="6F144BA5" w14:textId="77777777" w:rsidTr="008761B6">
        <w:trPr>
          <w:trHeight w:val="397"/>
        </w:trPr>
        <w:tc>
          <w:tcPr>
            <w:tcW w:w="7196" w:type="dxa"/>
          </w:tcPr>
          <w:p w14:paraId="78638CCD" w14:textId="77777777" w:rsidR="00690EC6" w:rsidRPr="00F54910" w:rsidRDefault="00690EC6" w:rsidP="00BC0A7E">
            <w:pPr>
              <w:spacing w:line="288" w:lineRule="auto"/>
              <w:contextualSpacing/>
              <w:rPr>
                <w:rFonts w:cs="Arial"/>
                <w:b/>
              </w:rPr>
            </w:pPr>
            <w:r w:rsidRPr="00F54910">
              <w:rPr>
                <w:rFonts w:cs="Arial"/>
                <w:b/>
              </w:rPr>
              <w:t>Name and Title of Individual</w:t>
            </w:r>
          </w:p>
        </w:tc>
        <w:tc>
          <w:tcPr>
            <w:tcW w:w="2126" w:type="dxa"/>
          </w:tcPr>
          <w:p w14:paraId="1E1D8F6F" w14:textId="77777777" w:rsidR="00690EC6" w:rsidRPr="00F54910" w:rsidRDefault="00690EC6" w:rsidP="00BC0A7E">
            <w:pPr>
              <w:spacing w:line="288" w:lineRule="auto"/>
              <w:rPr>
                <w:rFonts w:cs="Arial"/>
                <w:b/>
              </w:rPr>
            </w:pPr>
            <w:r w:rsidRPr="00F54910">
              <w:rPr>
                <w:rFonts w:cs="Arial"/>
                <w:b/>
              </w:rPr>
              <w:t>Date Consulted</w:t>
            </w:r>
          </w:p>
        </w:tc>
      </w:tr>
      <w:tr w:rsidR="0047065C" w:rsidRPr="00F54910" w14:paraId="6F160211" w14:textId="77777777" w:rsidTr="008761B6">
        <w:trPr>
          <w:trHeight w:val="397"/>
        </w:trPr>
        <w:tc>
          <w:tcPr>
            <w:tcW w:w="7196" w:type="dxa"/>
          </w:tcPr>
          <w:p w14:paraId="602BC34F" w14:textId="6D0E4865" w:rsidR="0047065C" w:rsidRDefault="0047065C" w:rsidP="00BC0A7E">
            <w:pPr>
              <w:spacing w:line="288" w:lineRule="auto"/>
              <w:ind w:left="142"/>
              <w:rPr>
                <w:rFonts w:cs="Arial"/>
              </w:rPr>
            </w:pPr>
            <w:r>
              <w:rPr>
                <w:rFonts w:cs="Arial"/>
              </w:rPr>
              <w:t>Medical Director: Mortality Clinical Lead</w:t>
            </w:r>
          </w:p>
        </w:tc>
        <w:tc>
          <w:tcPr>
            <w:tcW w:w="2126" w:type="dxa"/>
          </w:tcPr>
          <w:p w14:paraId="09F09F25" w14:textId="77777777" w:rsidR="0047065C" w:rsidRDefault="0047065C" w:rsidP="00BC0A7E">
            <w:pPr>
              <w:spacing w:line="288" w:lineRule="auto"/>
              <w:rPr>
                <w:rFonts w:cs="Arial"/>
              </w:rPr>
            </w:pPr>
            <w:r>
              <w:rPr>
                <w:rFonts w:cs="Arial"/>
              </w:rPr>
              <w:t>June 2021</w:t>
            </w:r>
          </w:p>
        </w:tc>
      </w:tr>
      <w:tr w:rsidR="0047065C" w:rsidRPr="00F54910" w14:paraId="52647D98" w14:textId="77777777" w:rsidTr="008761B6">
        <w:trPr>
          <w:trHeight w:val="397"/>
        </w:trPr>
        <w:tc>
          <w:tcPr>
            <w:tcW w:w="7196" w:type="dxa"/>
          </w:tcPr>
          <w:p w14:paraId="3A5A25C9" w14:textId="57FC40DA" w:rsidR="0047065C" w:rsidRDefault="0047065C" w:rsidP="00BC0A7E">
            <w:pPr>
              <w:spacing w:line="288" w:lineRule="auto"/>
              <w:ind w:left="142"/>
              <w:rPr>
                <w:rFonts w:cs="Arial"/>
              </w:rPr>
            </w:pPr>
            <w:r>
              <w:rPr>
                <w:rFonts w:cs="Arial"/>
              </w:rPr>
              <w:t>Lead Medical Examiner</w:t>
            </w:r>
          </w:p>
        </w:tc>
        <w:tc>
          <w:tcPr>
            <w:tcW w:w="2126" w:type="dxa"/>
          </w:tcPr>
          <w:p w14:paraId="2F68612B" w14:textId="77777777" w:rsidR="0047065C" w:rsidRDefault="0047065C" w:rsidP="00BC0A7E">
            <w:pPr>
              <w:spacing w:line="288" w:lineRule="auto"/>
              <w:rPr>
                <w:rFonts w:cs="Arial"/>
              </w:rPr>
            </w:pPr>
            <w:r>
              <w:rPr>
                <w:rFonts w:cs="Arial"/>
              </w:rPr>
              <w:t>June 2021</w:t>
            </w:r>
          </w:p>
        </w:tc>
      </w:tr>
      <w:tr w:rsidR="0047065C" w:rsidRPr="00F54910" w14:paraId="1FC8A882" w14:textId="77777777" w:rsidTr="008761B6">
        <w:trPr>
          <w:trHeight w:val="397"/>
        </w:trPr>
        <w:tc>
          <w:tcPr>
            <w:tcW w:w="7196" w:type="dxa"/>
          </w:tcPr>
          <w:p w14:paraId="74331B4A" w14:textId="0350D646" w:rsidR="0047065C" w:rsidRDefault="0047065C" w:rsidP="00BC0A7E">
            <w:pPr>
              <w:spacing w:line="288" w:lineRule="auto"/>
              <w:ind w:left="142"/>
              <w:rPr>
                <w:rFonts w:cs="Arial"/>
              </w:rPr>
            </w:pPr>
            <w:r>
              <w:rPr>
                <w:rFonts w:cs="Arial"/>
              </w:rPr>
              <w:t>Learning from Deaths Facilitator</w:t>
            </w:r>
          </w:p>
        </w:tc>
        <w:tc>
          <w:tcPr>
            <w:tcW w:w="2126" w:type="dxa"/>
          </w:tcPr>
          <w:p w14:paraId="67AAD560" w14:textId="77777777" w:rsidR="0047065C" w:rsidRDefault="0047065C" w:rsidP="00BC0A7E">
            <w:pPr>
              <w:spacing w:line="288" w:lineRule="auto"/>
              <w:rPr>
                <w:rFonts w:cs="Arial"/>
              </w:rPr>
            </w:pPr>
            <w:r>
              <w:rPr>
                <w:rFonts w:cs="Arial"/>
              </w:rPr>
              <w:t>June 2021</w:t>
            </w:r>
          </w:p>
        </w:tc>
      </w:tr>
      <w:tr w:rsidR="0047065C" w:rsidRPr="00F54910" w14:paraId="1D116573" w14:textId="77777777" w:rsidTr="008761B6">
        <w:trPr>
          <w:trHeight w:val="397"/>
        </w:trPr>
        <w:tc>
          <w:tcPr>
            <w:tcW w:w="7196" w:type="dxa"/>
          </w:tcPr>
          <w:p w14:paraId="6FF53487" w14:textId="4F38DE32" w:rsidR="0047065C" w:rsidRDefault="00F81508" w:rsidP="00BC0A7E">
            <w:pPr>
              <w:spacing w:line="288" w:lineRule="auto"/>
              <w:ind w:left="142"/>
              <w:rPr>
                <w:rFonts w:cs="Arial"/>
              </w:rPr>
            </w:pPr>
            <w:r>
              <w:rPr>
                <w:rFonts w:cs="Arial"/>
              </w:rPr>
              <w:t>Learning from Deaths Facilitator</w:t>
            </w:r>
          </w:p>
        </w:tc>
        <w:tc>
          <w:tcPr>
            <w:tcW w:w="2126" w:type="dxa"/>
          </w:tcPr>
          <w:p w14:paraId="2CED0CD0" w14:textId="0944E525" w:rsidR="0047065C" w:rsidRDefault="00F81508" w:rsidP="00BC0A7E">
            <w:pPr>
              <w:spacing w:line="288" w:lineRule="auto"/>
              <w:rPr>
                <w:rFonts w:cs="Arial"/>
              </w:rPr>
            </w:pPr>
            <w:r>
              <w:rPr>
                <w:rFonts w:cs="Arial"/>
              </w:rPr>
              <w:t>July 2021</w:t>
            </w:r>
          </w:p>
        </w:tc>
      </w:tr>
    </w:tbl>
    <w:p w14:paraId="3F6DB71B" w14:textId="77777777" w:rsidR="00690EC6" w:rsidRDefault="00690EC6" w:rsidP="00BC0A7E">
      <w:pPr>
        <w:spacing w:before="200" w:line="288" w:lineRule="auto"/>
        <w:ind w:firstLine="180"/>
        <w:rPr>
          <w:rFonts w:cs="Arial"/>
          <w:b/>
        </w:rPr>
      </w:pPr>
    </w:p>
    <w:tbl>
      <w:tblPr>
        <w:tblStyle w:val="TableGrid1"/>
        <w:tblW w:w="9322" w:type="dxa"/>
        <w:tblLook w:val="0620" w:firstRow="1" w:lastRow="0" w:firstColumn="0" w:lastColumn="0" w:noHBand="1" w:noVBand="1"/>
      </w:tblPr>
      <w:tblGrid>
        <w:gridCol w:w="7196"/>
        <w:gridCol w:w="2126"/>
      </w:tblGrid>
      <w:tr w:rsidR="00690EC6" w:rsidRPr="00F54910" w14:paraId="4802B2DD" w14:textId="77777777" w:rsidTr="008761B6">
        <w:trPr>
          <w:trHeight w:val="397"/>
        </w:trPr>
        <w:tc>
          <w:tcPr>
            <w:tcW w:w="7196" w:type="dxa"/>
          </w:tcPr>
          <w:p w14:paraId="6F1667D7" w14:textId="77777777" w:rsidR="00690EC6" w:rsidRPr="00F54910" w:rsidRDefault="00690EC6" w:rsidP="00BC0A7E">
            <w:pPr>
              <w:spacing w:line="288" w:lineRule="auto"/>
              <w:contextualSpacing/>
              <w:rPr>
                <w:rFonts w:cs="Arial"/>
                <w:b/>
              </w:rPr>
            </w:pPr>
            <w:r w:rsidRPr="00F54910">
              <w:rPr>
                <w:rFonts w:cs="Arial"/>
                <w:b/>
              </w:rPr>
              <w:t>Name of Committee</w:t>
            </w:r>
          </w:p>
        </w:tc>
        <w:tc>
          <w:tcPr>
            <w:tcW w:w="2126" w:type="dxa"/>
          </w:tcPr>
          <w:p w14:paraId="499A8590" w14:textId="77777777" w:rsidR="00690EC6" w:rsidRPr="00F54910" w:rsidRDefault="00690EC6" w:rsidP="00BC0A7E">
            <w:pPr>
              <w:spacing w:line="288" w:lineRule="auto"/>
              <w:rPr>
                <w:rFonts w:cs="Arial"/>
                <w:b/>
              </w:rPr>
            </w:pPr>
            <w:r w:rsidRPr="00F54910">
              <w:rPr>
                <w:rFonts w:cs="Arial"/>
                <w:b/>
              </w:rPr>
              <w:t>Date Reviewed</w:t>
            </w:r>
          </w:p>
        </w:tc>
      </w:tr>
      <w:tr w:rsidR="0047065C" w:rsidRPr="00F54910" w14:paraId="51462AEF" w14:textId="77777777" w:rsidTr="008761B6">
        <w:trPr>
          <w:trHeight w:val="437"/>
        </w:trPr>
        <w:tc>
          <w:tcPr>
            <w:tcW w:w="7196" w:type="dxa"/>
          </w:tcPr>
          <w:p w14:paraId="360B6BEB" w14:textId="77777777" w:rsidR="0047065C" w:rsidRPr="00842D20" w:rsidRDefault="0047065C" w:rsidP="00BC0A7E">
            <w:pPr>
              <w:spacing w:line="288" w:lineRule="auto"/>
              <w:rPr>
                <w:rFonts w:cs="Arial"/>
              </w:rPr>
            </w:pPr>
            <w:r>
              <w:rPr>
                <w:rFonts w:cs="Arial"/>
              </w:rPr>
              <w:t>Mortality Surveillance and Steering Group</w:t>
            </w:r>
          </w:p>
        </w:tc>
        <w:tc>
          <w:tcPr>
            <w:tcW w:w="2126" w:type="dxa"/>
          </w:tcPr>
          <w:p w14:paraId="6F37F886" w14:textId="530B4F94" w:rsidR="0047065C" w:rsidRDefault="002F6BE9" w:rsidP="00BC0A7E">
            <w:pPr>
              <w:spacing w:line="288" w:lineRule="auto"/>
              <w:rPr>
                <w:rFonts w:cs="Arial"/>
              </w:rPr>
            </w:pPr>
            <w:r>
              <w:rPr>
                <w:rFonts w:cs="Arial"/>
              </w:rPr>
              <w:t>27</w:t>
            </w:r>
            <w:r w:rsidRPr="002F6BE9">
              <w:rPr>
                <w:rFonts w:cs="Arial"/>
                <w:vertAlign w:val="superscript"/>
              </w:rPr>
              <w:t>th</w:t>
            </w:r>
            <w:r>
              <w:rPr>
                <w:rFonts w:cs="Arial"/>
              </w:rPr>
              <w:t xml:space="preserve"> October 21</w:t>
            </w:r>
          </w:p>
        </w:tc>
      </w:tr>
      <w:tr w:rsidR="0047065C" w:rsidRPr="00F54910" w14:paraId="6E68F0A1" w14:textId="77777777" w:rsidTr="008761B6">
        <w:trPr>
          <w:trHeight w:val="397"/>
        </w:trPr>
        <w:tc>
          <w:tcPr>
            <w:tcW w:w="7196" w:type="dxa"/>
          </w:tcPr>
          <w:p w14:paraId="0BE9EF37" w14:textId="77777777" w:rsidR="0047065C" w:rsidRPr="00842D20" w:rsidRDefault="0047065C" w:rsidP="00BC0A7E">
            <w:pPr>
              <w:spacing w:line="288" w:lineRule="auto"/>
              <w:rPr>
                <w:rFonts w:cs="Arial"/>
              </w:rPr>
            </w:pPr>
            <w:r>
              <w:rPr>
                <w:rFonts w:cs="Arial"/>
              </w:rPr>
              <w:t xml:space="preserve">Patient Safety Committee </w:t>
            </w:r>
          </w:p>
        </w:tc>
        <w:tc>
          <w:tcPr>
            <w:tcW w:w="2126" w:type="dxa"/>
          </w:tcPr>
          <w:p w14:paraId="288AC309" w14:textId="02E27453" w:rsidR="0047065C" w:rsidRDefault="00026666" w:rsidP="00BC0A7E">
            <w:pPr>
              <w:spacing w:line="288" w:lineRule="auto"/>
              <w:rPr>
                <w:rFonts w:cs="Arial"/>
              </w:rPr>
            </w:pPr>
            <w:r>
              <w:rPr>
                <w:rFonts w:cs="Arial"/>
              </w:rPr>
              <w:t>11/1/22</w:t>
            </w:r>
          </w:p>
        </w:tc>
      </w:tr>
    </w:tbl>
    <w:p w14:paraId="57192E2A" w14:textId="77777777" w:rsidR="00BA058A" w:rsidRDefault="00BA058A" w:rsidP="007F7897">
      <w:pPr>
        <w:pStyle w:val="SectionTitle"/>
        <w:spacing w:before="360"/>
      </w:pPr>
    </w:p>
    <w:p w14:paraId="1383482A" w14:textId="77777777" w:rsidR="00BA058A" w:rsidRDefault="00BA058A">
      <w:pPr>
        <w:rPr>
          <w:rFonts w:cs="Arial"/>
          <w:b/>
          <w:sz w:val="28"/>
        </w:rPr>
      </w:pPr>
      <w:r>
        <w:br w:type="page"/>
      </w:r>
    </w:p>
    <w:p w14:paraId="4920225C" w14:textId="7C0CD639" w:rsidR="007F7897" w:rsidRDefault="007F7897" w:rsidP="007F7897">
      <w:pPr>
        <w:pStyle w:val="SectionTitle"/>
        <w:spacing w:before="360"/>
      </w:pPr>
      <w:r>
        <w:lastRenderedPageBreak/>
        <w:t>Summary of Key Changes from Last Approved Version</w:t>
      </w:r>
    </w:p>
    <w:p w14:paraId="39E250FB" w14:textId="255572D7" w:rsidR="007925F2" w:rsidRDefault="00F81508" w:rsidP="007F7897">
      <w:pPr>
        <w:pStyle w:val="Policybulletlevel2"/>
        <w:numPr>
          <w:ilvl w:val="0"/>
          <w:numId w:val="0"/>
        </w:numPr>
      </w:pPr>
      <w:r>
        <w:t xml:space="preserve">The key changes from </w:t>
      </w:r>
      <w:r w:rsidR="00833013">
        <w:t>version 2 (</w:t>
      </w:r>
      <w:r>
        <w:t>February 2019</w:t>
      </w:r>
      <w:r w:rsidR="00833013">
        <w:t>)</w:t>
      </w:r>
      <w:r>
        <w:t xml:space="preserve"> include</w:t>
      </w:r>
      <w:r w:rsidR="007925F2">
        <w:t>:</w:t>
      </w:r>
    </w:p>
    <w:p w14:paraId="27314C24" w14:textId="602E4B01" w:rsidR="007925F2" w:rsidRDefault="007925F2" w:rsidP="007925F2">
      <w:pPr>
        <w:pStyle w:val="Policybulletlevel2"/>
        <w:numPr>
          <w:ilvl w:val="0"/>
          <w:numId w:val="29"/>
        </w:numPr>
      </w:pPr>
      <w:r>
        <w:t>Updates to align with the current Serious Incident process</w:t>
      </w:r>
    </w:p>
    <w:p w14:paraId="5DBCEA20" w14:textId="77777777" w:rsidR="007925F2" w:rsidRDefault="007925F2" w:rsidP="007925F2">
      <w:pPr>
        <w:pStyle w:val="Policybulletlevel2"/>
        <w:numPr>
          <w:ilvl w:val="0"/>
          <w:numId w:val="29"/>
        </w:numPr>
      </w:pPr>
      <w:r>
        <w:t>Inclusion of the Medical Examiner (ME) involvement in the Learning from Deaths process</w:t>
      </w:r>
    </w:p>
    <w:p w14:paraId="6B0049D7" w14:textId="6A49204A" w:rsidR="007925F2" w:rsidRDefault="007925F2" w:rsidP="007925F2">
      <w:pPr>
        <w:pStyle w:val="Policybulletlevel2"/>
        <w:numPr>
          <w:ilvl w:val="0"/>
          <w:numId w:val="29"/>
        </w:numPr>
      </w:pPr>
      <w:r>
        <w:t>Update to the random sample selection criteria</w:t>
      </w:r>
    </w:p>
    <w:p w14:paraId="1268A04F" w14:textId="6D5F3E03" w:rsidR="007925F2" w:rsidRDefault="007925F2" w:rsidP="007925F2">
      <w:pPr>
        <w:pStyle w:val="Policybulletlevel2"/>
        <w:numPr>
          <w:ilvl w:val="0"/>
          <w:numId w:val="29"/>
        </w:numPr>
      </w:pPr>
      <w:r>
        <w:t>The role of the Learning from Death (LFD) leads and the LFD panel</w:t>
      </w:r>
    </w:p>
    <w:p w14:paraId="79DADAA5" w14:textId="21D0F150" w:rsidR="007925F2" w:rsidRDefault="007925F2" w:rsidP="007925F2">
      <w:pPr>
        <w:pStyle w:val="Policybulletlevel2"/>
        <w:numPr>
          <w:ilvl w:val="0"/>
          <w:numId w:val="29"/>
        </w:numPr>
      </w:pPr>
      <w:r>
        <w:t>Update to the current S</w:t>
      </w:r>
      <w:r w:rsidR="00415077">
        <w:t xml:space="preserve">tructured </w:t>
      </w:r>
      <w:r>
        <w:t>J</w:t>
      </w:r>
      <w:r w:rsidR="00415077">
        <w:t xml:space="preserve">udgement </w:t>
      </w:r>
      <w:r>
        <w:t>R</w:t>
      </w:r>
      <w:r w:rsidR="00415077">
        <w:t>eview (SJR)</w:t>
      </w:r>
      <w:r>
        <w:t xml:space="preserve"> screening process</w:t>
      </w:r>
    </w:p>
    <w:p w14:paraId="29B4D4F2" w14:textId="7FD2A273" w:rsidR="007925F2" w:rsidRDefault="007925F2" w:rsidP="007925F2">
      <w:pPr>
        <w:pStyle w:val="Policybulletlevel2"/>
        <w:numPr>
          <w:ilvl w:val="0"/>
          <w:numId w:val="29"/>
        </w:numPr>
      </w:pPr>
      <w:r>
        <w:t>The role of Mortality and Morbidity meetings interfacing with the LFD process</w:t>
      </w:r>
    </w:p>
    <w:p w14:paraId="0A0CBB11" w14:textId="669A56BE" w:rsidR="007925F2" w:rsidRDefault="007925F2" w:rsidP="007925F2">
      <w:pPr>
        <w:pStyle w:val="Policybulletlevel2"/>
        <w:numPr>
          <w:ilvl w:val="0"/>
          <w:numId w:val="29"/>
        </w:numPr>
      </w:pPr>
      <w:r>
        <w:t>Process for inclusion of any Hospital at Home related mortality cases</w:t>
      </w:r>
    </w:p>
    <w:p w14:paraId="49FEA132" w14:textId="093FE1EF" w:rsidR="007925F2" w:rsidRDefault="007925F2" w:rsidP="007925F2">
      <w:pPr>
        <w:pStyle w:val="Policybulletlevel2"/>
        <w:numPr>
          <w:ilvl w:val="0"/>
          <w:numId w:val="29"/>
        </w:numPr>
      </w:pPr>
      <w:r>
        <w:t>Process for inclusion of any community mortality cases that raise in-hospital concerns</w:t>
      </w:r>
    </w:p>
    <w:p w14:paraId="0AD4CCDD" w14:textId="5B7EAFAF" w:rsidR="002F1EF1" w:rsidRDefault="00895E92" w:rsidP="007925F2">
      <w:pPr>
        <w:pStyle w:val="Policybulletlevel2"/>
        <w:numPr>
          <w:ilvl w:val="0"/>
          <w:numId w:val="29"/>
        </w:numPr>
      </w:pPr>
      <w:r>
        <w:t>Update to how SJR aligns with the complaints and duty of candour process</w:t>
      </w:r>
    </w:p>
    <w:p w14:paraId="3961E781" w14:textId="2626C583" w:rsidR="005646FE" w:rsidRDefault="005646FE" w:rsidP="007925F2">
      <w:pPr>
        <w:pStyle w:val="Policybulletlevel2"/>
        <w:numPr>
          <w:ilvl w:val="0"/>
          <w:numId w:val="29"/>
        </w:numPr>
      </w:pPr>
      <w:r>
        <w:t>The appendices have been replaced to reflect the current Learning from Deaths process</w:t>
      </w:r>
    </w:p>
    <w:p w14:paraId="4AE451D0" w14:textId="70D2F0F8" w:rsidR="00D5698E" w:rsidRDefault="00D5698E" w:rsidP="00BC0A7E">
      <w:pPr>
        <w:pStyle w:val="SectionTitle"/>
        <w:spacing w:before="360" w:line="288" w:lineRule="auto"/>
      </w:pPr>
      <w:r>
        <w:t>Associated Documentation</w:t>
      </w:r>
    </w:p>
    <w:p w14:paraId="3423862F" w14:textId="77777777" w:rsidR="00C900D2" w:rsidRPr="00F956AE" w:rsidRDefault="005C4066" w:rsidP="00BC0A7E">
      <w:pPr>
        <w:spacing w:before="200" w:line="288" w:lineRule="auto"/>
        <w:rPr>
          <w:rFonts w:cs="Arial"/>
        </w:rPr>
      </w:pPr>
      <w:r w:rsidRPr="00F956AE">
        <w:rPr>
          <w:rFonts w:cs="Arial"/>
        </w:rPr>
        <w:t>Incident Management Policy</w:t>
      </w:r>
    </w:p>
    <w:p w14:paraId="51DF88F2" w14:textId="6BCC6D42" w:rsidR="0047065C" w:rsidRPr="00F81508" w:rsidRDefault="0047065C" w:rsidP="002C1CDA">
      <w:pPr>
        <w:spacing w:before="120" w:line="288" w:lineRule="auto"/>
        <w:rPr>
          <w:rFonts w:cs="Arial"/>
          <w:color w:val="FF0000"/>
        </w:rPr>
      </w:pPr>
      <w:r w:rsidRPr="00F956AE">
        <w:rPr>
          <w:rFonts w:cs="Arial"/>
        </w:rPr>
        <w:t xml:space="preserve">Medical Examiner </w:t>
      </w:r>
      <w:r w:rsidR="00A56EFC">
        <w:rPr>
          <w:rFonts w:cs="Arial"/>
        </w:rPr>
        <w:t xml:space="preserve">Service </w:t>
      </w:r>
      <w:r w:rsidRPr="00F956AE">
        <w:rPr>
          <w:rFonts w:cs="Arial"/>
        </w:rPr>
        <w:t>Policy</w:t>
      </w:r>
    </w:p>
    <w:p w14:paraId="07959DE2" w14:textId="7246A573" w:rsidR="00E014E4" w:rsidRDefault="00E014E4" w:rsidP="002C1CDA">
      <w:pPr>
        <w:spacing w:before="120" w:line="288" w:lineRule="auto"/>
        <w:rPr>
          <w:rFonts w:cs="Arial"/>
        </w:rPr>
      </w:pPr>
      <w:r w:rsidRPr="00F956AE">
        <w:rPr>
          <w:rFonts w:cs="Arial"/>
        </w:rPr>
        <w:t>Child Death Review Process Guideline</w:t>
      </w:r>
    </w:p>
    <w:p w14:paraId="1B462CE8" w14:textId="4E7762F1" w:rsidR="003E55A2" w:rsidRPr="00F956AE" w:rsidRDefault="003E55A2" w:rsidP="002C1CDA">
      <w:pPr>
        <w:spacing w:before="120" w:line="288" w:lineRule="auto"/>
        <w:rPr>
          <w:rFonts w:cs="Arial"/>
        </w:rPr>
      </w:pPr>
      <w:r>
        <w:rPr>
          <w:rFonts w:cs="Arial"/>
        </w:rPr>
        <w:t>Complaints Management Policy</w:t>
      </w:r>
    </w:p>
    <w:p w14:paraId="2C6A475C" w14:textId="77777777" w:rsidR="007F7897" w:rsidRPr="002C1CDA" w:rsidRDefault="007F7897" w:rsidP="002C1CDA">
      <w:pPr>
        <w:spacing w:before="120" w:line="288" w:lineRule="auto"/>
        <w:rPr>
          <w:rFonts w:cs="Arial"/>
          <w:color w:val="FF0000"/>
        </w:rPr>
      </w:pPr>
    </w:p>
    <w:p w14:paraId="773B29AC" w14:textId="77777777" w:rsidR="005757F7" w:rsidRDefault="00ED535B" w:rsidP="00BC0A7E">
      <w:pPr>
        <w:pStyle w:val="SectionTitle"/>
        <w:spacing w:line="288" w:lineRule="auto"/>
        <w:rPr>
          <w:noProof/>
        </w:rPr>
      </w:pPr>
      <w:r>
        <w:br w:type="page"/>
      </w:r>
      <w:r w:rsidR="00D40ED0">
        <w:lastRenderedPageBreak/>
        <w:t>Contents</w:t>
      </w:r>
      <w:r w:rsidR="000A1E88">
        <w:fldChar w:fldCharType="begin"/>
      </w:r>
      <w:r w:rsidR="000A1E88">
        <w:instrText xml:space="preserve"> TOC \o "1-3" \h \z \u </w:instrText>
      </w:r>
      <w:r w:rsidR="000A1E88">
        <w:fldChar w:fldCharType="separate"/>
      </w:r>
    </w:p>
    <w:p w14:paraId="33BA9EA6" w14:textId="7F19985F" w:rsidR="005757F7" w:rsidRDefault="00E8222A">
      <w:pPr>
        <w:pStyle w:val="TOC1"/>
        <w:rPr>
          <w:rFonts w:eastAsiaTheme="minorEastAsia"/>
          <w:noProof/>
        </w:rPr>
      </w:pPr>
      <w:hyperlink w:anchor="_Toc94693623" w:history="1">
        <w:r w:rsidR="005757F7" w:rsidRPr="00F3753D">
          <w:rPr>
            <w:rStyle w:val="Hyperlink"/>
            <w:noProof/>
          </w:rPr>
          <w:t>1.</w:t>
        </w:r>
        <w:r w:rsidR="005757F7">
          <w:rPr>
            <w:rFonts w:eastAsiaTheme="minorEastAsia"/>
            <w:noProof/>
          </w:rPr>
          <w:tab/>
        </w:r>
        <w:r w:rsidR="005757F7" w:rsidRPr="00F3753D">
          <w:rPr>
            <w:rStyle w:val="Hyperlink"/>
            <w:noProof/>
          </w:rPr>
          <w:t>Policy Description</w:t>
        </w:r>
        <w:r w:rsidR="005757F7">
          <w:rPr>
            <w:noProof/>
            <w:webHidden/>
          </w:rPr>
          <w:tab/>
        </w:r>
        <w:r w:rsidR="005757F7">
          <w:rPr>
            <w:noProof/>
            <w:webHidden/>
          </w:rPr>
          <w:fldChar w:fldCharType="begin"/>
        </w:r>
        <w:r w:rsidR="005757F7">
          <w:rPr>
            <w:noProof/>
            <w:webHidden/>
          </w:rPr>
          <w:instrText xml:space="preserve"> PAGEREF _Toc94693623 \h </w:instrText>
        </w:r>
        <w:r w:rsidR="005757F7">
          <w:rPr>
            <w:noProof/>
            <w:webHidden/>
          </w:rPr>
        </w:r>
        <w:r w:rsidR="005757F7">
          <w:rPr>
            <w:noProof/>
            <w:webHidden/>
          </w:rPr>
          <w:fldChar w:fldCharType="separate"/>
        </w:r>
        <w:r w:rsidR="009B0657">
          <w:rPr>
            <w:noProof/>
            <w:webHidden/>
          </w:rPr>
          <w:t>5</w:t>
        </w:r>
        <w:r w:rsidR="005757F7">
          <w:rPr>
            <w:noProof/>
            <w:webHidden/>
          </w:rPr>
          <w:fldChar w:fldCharType="end"/>
        </w:r>
      </w:hyperlink>
    </w:p>
    <w:p w14:paraId="19652731" w14:textId="0DE55A82" w:rsidR="005757F7" w:rsidRDefault="00E8222A">
      <w:pPr>
        <w:pStyle w:val="TOC1"/>
        <w:rPr>
          <w:rFonts w:eastAsiaTheme="minorEastAsia"/>
          <w:noProof/>
        </w:rPr>
      </w:pPr>
      <w:hyperlink w:anchor="_Toc94693624" w:history="1">
        <w:r w:rsidR="005757F7" w:rsidRPr="00F3753D">
          <w:rPr>
            <w:rStyle w:val="Hyperlink"/>
            <w:noProof/>
          </w:rPr>
          <w:t>2.</w:t>
        </w:r>
        <w:r w:rsidR="005757F7">
          <w:rPr>
            <w:rFonts w:eastAsiaTheme="minorEastAsia"/>
            <w:noProof/>
          </w:rPr>
          <w:tab/>
        </w:r>
        <w:r w:rsidR="005757F7" w:rsidRPr="00F3753D">
          <w:rPr>
            <w:rStyle w:val="Hyperlink"/>
            <w:noProof/>
          </w:rPr>
          <w:t>Introduction</w:t>
        </w:r>
        <w:r w:rsidR="005757F7">
          <w:rPr>
            <w:noProof/>
            <w:webHidden/>
          </w:rPr>
          <w:tab/>
        </w:r>
        <w:r w:rsidR="005757F7">
          <w:rPr>
            <w:noProof/>
            <w:webHidden/>
          </w:rPr>
          <w:fldChar w:fldCharType="begin"/>
        </w:r>
        <w:r w:rsidR="005757F7">
          <w:rPr>
            <w:noProof/>
            <w:webHidden/>
          </w:rPr>
          <w:instrText xml:space="preserve"> PAGEREF _Toc94693624 \h </w:instrText>
        </w:r>
        <w:r w:rsidR="005757F7">
          <w:rPr>
            <w:noProof/>
            <w:webHidden/>
          </w:rPr>
        </w:r>
        <w:r w:rsidR="005757F7">
          <w:rPr>
            <w:noProof/>
            <w:webHidden/>
          </w:rPr>
          <w:fldChar w:fldCharType="separate"/>
        </w:r>
        <w:r w:rsidR="009B0657">
          <w:rPr>
            <w:noProof/>
            <w:webHidden/>
          </w:rPr>
          <w:t>5</w:t>
        </w:r>
        <w:r w:rsidR="005757F7">
          <w:rPr>
            <w:noProof/>
            <w:webHidden/>
          </w:rPr>
          <w:fldChar w:fldCharType="end"/>
        </w:r>
      </w:hyperlink>
    </w:p>
    <w:p w14:paraId="589D30F5" w14:textId="2287E4A8" w:rsidR="005757F7" w:rsidRDefault="00E8222A">
      <w:pPr>
        <w:pStyle w:val="TOC1"/>
        <w:rPr>
          <w:rFonts w:eastAsiaTheme="minorEastAsia"/>
          <w:noProof/>
        </w:rPr>
      </w:pPr>
      <w:hyperlink w:anchor="_Toc94693625" w:history="1">
        <w:r w:rsidR="005757F7" w:rsidRPr="00F3753D">
          <w:rPr>
            <w:rStyle w:val="Hyperlink"/>
            <w:noProof/>
          </w:rPr>
          <w:t>3.</w:t>
        </w:r>
        <w:r w:rsidR="005757F7">
          <w:rPr>
            <w:rFonts w:eastAsiaTheme="minorEastAsia"/>
            <w:noProof/>
          </w:rPr>
          <w:tab/>
        </w:r>
        <w:r w:rsidR="005757F7" w:rsidRPr="00F3753D">
          <w:rPr>
            <w:rStyle w:val="Hyperlink"/>
            <w:noProof/>
          </w:rPr>
          <w:t>Definitions</w:t>
        </w:r>
        <w:r w:rsidR="005757F7">
          <w:rPr>
            <w:noProof/>
            <w:webHidden/>
          </w:rPr>
          <w:tab/>
        </w:r>
        <w:r w:rsidR="005757F7">
          <w:rPr>
            <w:noProof/>
            <w:webHidden/>
          </w:rPr>
          <w:fldChar w:fldCharType="begin"/>
        </w:r>
        <w:r w:rsidR="005757F7">
          <w:rPr>
            <w:noProof/>
            <w:webHidden/>
          </w:rPr>
          <w:instrText xml:space="preserve"> PAGEREF _Toc94693625 \h </w:instrText>
        </w:r>
        <w:r w:rsidR="005757F7">
          <w:rPr>
            <w:noProof/>
            <w:webHidden/>
          </w:rPr>
        </w:r>
        <w:r w:rsidR="005757F7">
          <w:rPr>
            <w:noProof/>
            <w:webHidden/>
          </w:rPr>
          <w:fldChar w:fldCharType="separate"/>
        </w:r>
        <w:r w:rsidR="009B0657">
          <w:rPr>
            <w:noProof/>
            <w:webHidden/>
          </w:rPr>
          <w:t>6</w:t>
        </w:r>
        <w:r w:rsidR="005757F7">
          <w:rPr>
            <w:noProof/>
            <w:webHidden/>
          </w:rPr>
          <w:fldChar w:fldCharType="end"/>
        </w:r>
      </w:hyperlink>
    </w:p>
    <w:p w14:paraId="216BFCA6" w14:textId="23A44B57" w:rsidR="005757F7" w:rsidRDefault="00E8222A">
      <w:pPr>
        <w:pStyle w:val="TOC1"/>
        <w:rPr>
          <w:rFonts w:eastAsiaTheme="minorEastAsia"/>
          <w:noProof/>
        </w:rPr>
      </w:pPr>
      <w:hyperlink w:anchor="_Toc94693628" w:history="1">
        <w:r w:rsidR="005757F7" w:rsidRPr="00F3753D">
          <w:rPr>
            <w:rStyle w:val="Hyperlink"/>
            <w:noProof/>
          </w:rPr>
          <w:t>4.</w:t>
        </w:r>
        <w:r w:rsidR="005757F7">
          <w:rPr>
            <w:rFonts w:eastAsiaTheme="minorEastAsia"/>
            <w:noProof/>
          </w:rPr>
          <w:tab/>
        </w:r>
        <w:r w:rsidR="005757F7" w:rsidRPr="00F3753D">
          <w:rPr>
            <w:rStyle w:val="Hyperlink"/>
            <w:noProof/>
          </w:rPr>
          <w:t>Purpose and Scope</w:t>
        </w:r>
        <w:r w:rsidR="005757F7">
          <w:rPr>
            <w:noProof/>
            <w:webHidden/>
          </w:rPr>
          <w:tab/>
        </w:r>
        <w:r w:rsidR="005757F7">
          <w:rPr>
            <w:noProof/>
            <w:webHidden/>
          </w:rPr>
          <w:fldChar w:fldCharType="begin"/>
        </w:r>
        <w:r w:rsidR="005757F7">
          <w:rPr>
            <w:noProof/>
            <w:webHidden/>
          </w:rPr>
          <w:instrText xml:space="preserve"> PAGEREF _Toc94693628 \h </w:instrText>
        </w:r>
        <w:r w:rsidR="005757F7">
          <w:rPr>
            <w:noProof/>
            <w:webHidden/>
          </w:rPr>
        </w:r>
        <w:r w:rsidR="005757F7">
          <w:rPr>
            <w:noProof/>
            <w:webHidden/>
          </w:rPr>
          <w:fldChar w:fldCharType="separate"/>
        </w:r>
        <w:r w:rsidR="009B0657">
          <w:rPr>
            <w:noProof/>
            <w:webHidden/>
          </w:rPr>
          <w:t>8</w:t>
        </w:r>
        <w:r w:rsidR="005757F7">
          <w:rPr>
            <w:noProof/>
            <w:webHidden/>
          </w:rPr>
          <w:fldChar w:fldCharType="end"/>
        </w:r>
      </w:hyperlink>
    </w:p>
    <w:p w14:paraId="46C83762" w14:textId="03F4CADD" w:rsidR="005757F7" w:rsidRDefault="00E8222A">
      <w:pPr>
        <w:pStyle w:val="TOC1"/>
        <w:rPr>
          <w:rFonts w:eastAsiaTheme="minorEastAsia"/>
          <w:noProof/>
        </w:rPr>
      </w:pPr>
      <w:hyperlink w:anchor="_Toc94693629" w:history="1">
        <w:r w:rsidR="005757F7" w:rsidRPr="00F3753D">
          <w:rPr>
            <w:rStyle w:val="Hyperlink"/>
            <w:noProof/>
          </w:rPr>
          <w:t>5.</w:t>
        </w:r>
        <w:r w:rsidR="005757F7">
          <w:rPr>
            <w:rFonts w:eastAsiaTheme="minorEastAsia"/>
            <w:noProof/>
          </w:rPr>
          <w:tab/>
        </w:r>
        <w:r w:rsidR="005757F7" w:rsidRPr="00F3753D">
          <w:rPr>
            <w:rStyle w:val="Hyperlink"/>
            <w:noProof/>
          </w:rPr>
          <w:t>Duties</w:t>
        </w:r>
        <w:r w:rsidR="005757F7">
          <w:rPr>
            <w:noProof/>
            <w:webHidden/>
          </w:rPr>
          <w:tab/>
        </w:r>
        <w:r w:rsidR="005757F7">
          <w:rPr>
            <w:noProof/>
            <w:webHidden/>
          </w:rPr>
          <w:fldChar w:fldCharType="begin"/>
        </w:r>
        <w:r w:rsidR="005757F7">
          <w:rPr>
            <w:noProof/>
            <w:webHidden/>
          </w:rPr>
          <w:instrText xml:space="preserve"> PAGEREF _Toc94693629 \h </w:instrText>
        </w:r>
        <w:r w:rsidR="005757F7">
          <w:rPr>
            <w:noProof/>
            <w:webHidden/>
          </w:rPr>
        </w:r>
        <w:r w:rsidR="005757F7">
          <w:rPr>
            <w:noProof/>
            <w:webHidden/>
          </w:rPr>
          <w:fldChar w:fldCharType="separate"/>
        </w:r>
        <w:r w:rsidR="009B0657">
          <w:rPr>
            <w:noProof/>
            <w:webHidden/>
          </w:rPr>
          <w:t>9</w:t>
        </w:r>
        <w:r w:rsidR="005757F7">
          <w:rPr>
            <w:noProof/>
            <w:webHidden/>
          </w:rPr>
          <w:fldChar w:fldCharType="end"/>
        </w:r>
      </w:hyperlink>
    </w:p>
    <w:p w14:paraId="0A018498" w14:textId="505DA634" w:rsidR="005757F7" w:rsidRDefault="00E8222A">
      <w:pPr>
        <w:pStyle w:val="TOC1"/>
        <w:rPr>
          <w:rFonts w:eastAsiaTheme="minorEastAsia"/>
          <w:noProof/>
        </w:rPr>
      </w:pPr>
      <w:hyperlink w:anchor="_Toc94693630" w:history="1">
        <w:r w:rsidR="005757F7" w:rsidRPr="00F3753D">
          <w:rPr>
            <w:rStyle w:val="Hyperlink"/>
            <w:noProof/>
          </w:rPr>
          <w:t>6.</w:t>
        </w:r>
        <w:r w:rsidR="005757F7">
          <w:rPr>
            <w:rFonts w:eastAsiaTheme="minorEastAsia"/>
            <w:noProof/>
          </w:rPr>
          <w:tab/>
        </w:r>
        <w:r w:rsidR="005757F7" w:rsidRPr="00F3753D">
          <w:rPr>
            <w:rStyle w:val="Hyperlink"/>
            <w:noProof/>
          </w:rPr>
          <w:t>Learning from Deaths Process</w:t>
        </w:r>
        <w:r w:rsidR="005757F7">
          <w:rPr>
            <w:noProof/>
            <w:webHidden/>
          </w:rPr>
          <w:tab/>
        </w:r>
        <w:r w:rsidR="005757F7">
          <w:rPr>
            <w:noProof/>
            <w:webHidden/>
          </w:rPr>
          <w:fldChar w:fldCharType="begin"/>
        </w:r>
        <w:r w:rsidR="005757F7">
          <w:rPr>
            <w:noProof/>
            <w:webHidden/>
          </w:rPr>
          <w:instrText xml:space="preserve"> PAGEREF _Toc94693630 \h </w:instrText>
        </w:r>
        <w:r w:rsidR="005757F7">
          <w:rPr>
            <w:noProof/>
            <w:webHidden/>
          </w:rPr>
        </w:r>
        <w:r w:rsidR="005757F7">
          <w:rPr>
            <w:noProof/>
            <w:webHidden/>
          </w:rPr>
          <w:fldChar w:fldCharType="separate"/>
        </w:r>
        <w:r w:rsidR="009B0657">
          <w:rPr>
            <w:noProof/>
            <w:webHidden/>
          </w:rPr>
          <w:t>10</w:t>
        </w:r>
        <w:r w:rsidR="005757F7">
          <w:rPr>
            <w:noProof/>
            <w:webHidden/>
          </w:rPr>
          <w:fldChar w:fldCharType="end"/>
        </w:r>
      </w:hyperlink>
    </w:p>
    <w:p w14:paraId="77487476" w14:textId="1A1875F8" w:rsidR="005757F7" w:rsidRDefault="00E8222A">
      <w:pPr>
        <w:pStyle w:val="TOC1"/>
        <w:rPr>
          <w:rFonts w:eastAsiaTheme="minorEastAsia"/>
          <w:noProof/>
        </w:rPr>
      </w:pPr>
      <w:hyperlink w:anchor="_Toc94693631" w:history="1">
        <w:r w:rsidR="005757F7" w:rsidRPr="00F3753D">
          <w:rPr>
            <w:rStyle w:val="Hyperlink"/>
            <w:noProof/>
          </w:rPr>
          <w:t>7.</w:t>
        </w:r>
        <w:r w:rsidR="005757F7">
          <w:rPr>
            <w:rFonts w:eastAsiaTheme="minorEastAsia"/>
            <w:noProof/>
          </w:rPr>
          <w:tab/>
        </w:r>
        <w:r w:rsidR="005757F7" w:rsidRPr="00F3753D">
          <w:rPr>
            <w:rStyle w:val="Hyperlink"/>
            <w:noProof/>
          </w:rPr>
          <w:t>Interactions with Bereaved Families and Carers</w:t>
        </w:r>
        <w:r w:rsidR="005757F7">
          <w:rPr>
            <w:noProof/>
            <w:webHidden/>
          </w:rPr>
          <w:tab/>
        </w:r>
        <w:r w:rsidR="005757F7">
          <w:rPr>
            <w:noProof/>
            <w:webHidden/>
          </w:rPr>
          <w:fldChar w:fldCharType="begin"/>
        </w:r>
        <w:r w:rsidR="005757F7">
          <w:rPr>
            <w:noProof/>
            <w:webHidden/>
          </w:rPr>
          <w:instrText xml:space="preserve"> PAGEREF _Toc94693631 \h </w:instrText>
        </w:r>
        <w:r w:rsidR="005757F7">
          <w:rPr>
            <w:noProof/>
            <w:webHidden/>
          </w:rPr>
        </w:r>
        <w:r w:rsidR="005757F7">
          <w:rPr>
            <w:noProof/>
            <w:webHidden/>
          </w:rPr>
          <w:fldChar w:fldCharType="separate"/>
        </w:r>
        <w:r w:rsidR="009B0657">
          <w:rPr>
            <w:noProof/>
            <w:webHidden/>
          </w:rPr>
          <w:t>12</w:t>
        </w:r>
        <w:r w:rsidR="005757F7">
          <w:rPr>
            <w:noProof/>
            <w:webHidden/>
          </w:rPr>
          <w:fldChar w:fldCharType="end"/>
        </w:r>
      </w:hyperlink>
    </w:p>
    <w:p w14:paraId="31A8CA61" w14:textId="3B7A4381" w:rsidR="005757F7" w:rsidRDefault="00E8222A">
      <w:pPr>
        <w:pStyle w:val="TOC1"/>
        <w:rPr>
          <w:rFonts w:eastAsiaTheme="minorEastAsia"/>
          <w:noProof/>
        </w:rPr>
      </w:pPr>
      <w:hyperlink w:anchor="_Toc94693632" w:history="1">
        <w:r w:rsidR="005757F7" w:rsidRPr="00F3753D">
          <w:rPr>
            <w:rStyle w:val="Hyperlink"/>
            <w:noProof/>
          </w:rPr>
          <w:t>8.</w:t>
        </w:r>
        <w:r w:rsidR="005757F7">
          <w:rPr>
            <w:rFonts w:eastAsiaTheme="minorEastAsia"/>
            <w:noProof/>
          </w:rPr>
          <w:tab/>
        </w:r>
        <w:r w:rsidR="005757F7" w:rsidRPr="00F3753D">
          <w:rPr>
            <w:rStyle w:val="Hyperlink"/>
            <w:noProof/>
          </w:rPr>
          <w:t>Reporting and governance arrangements</w:t>
        </w:r>
        <w:r w:rsidR="005757F7">
          <w:rPr>
            <w:noProof/>
            <w:webHidden/>
          </w:rPr>
          <w:tab/>
        </w:r>
        <w:r w:rsidR="005757F7">
          <w:rPr>
            <w:noProof/>
            <w:webHidden/>
          </w:rPr>
          <w:fldChar w:fldCharType="begin"/>
        </w:r>
        <w:r w:rsidR="005757F7">
          <w:rPr>
            <w:noProof/>
            <w:webHidden/>
          </w:rPr>
          <w:instrText xml:space="preserve"> PAGEREF _Toc94693632 \h </w:instrText>
        </w:r>
        <w:r w:rsidR="005757F7">
          <w:rPr>
            <w:noProof/>
            <w:webHidden/>
          </w:rPr>
        </w:r>
        <w:r w:rsidR="005757F7">
          <w:rPr>
            <w:noProof/>
            <w:webHidden/>
          </w:rPr>
          <w:fldChar w:fldCharType="separate"/>
        </w:r>
        <w:r w:rsidR="009B0657">
          <w:rPr>
            <w:noProof/>
            <w:webHidden/>
          </w:rPr>
          <w:t>13</w:t>
        </w:r>
        <w:r w:rsidR="005757F7">
          <w:rPr>
            <w:noProof/>
            <w:webHidden/>
          </w:rPr>
          <w:fldChar w:fldCharType="end"/>
        </w:r>
      </w:hyperlink>
    </w:p>
    <w:p w14:paraId="3368BA4A" w14:textId="2C8485B5" w:rsidR="005757F7" w:rsidRDefault="00E8222A">
      <w:pPr>
        <w:pStyle w:val="TOC1"/>
        <w:rPr>
          <w:rFonts w:eastAsiaTheme="minorEastAsia"/>
          <w:noProof/>
        </w:rPr>
      </w:pPr>
      <w:hyperlink w:anchor="_Toc94693633" w:history="1">
        <w:r w:rsidR="005757F7" w:rsidRPr="00F3753D">
          <w:rPr>
            <w:rStyle w:val="Hyperlink"/>
            <w:noProof/>
          </w:rPr>
          <w:t>9.</w:t>
        </w:r>
        <w:r w:rsidR="005757F7">
          <w:rPr>
            <w:rFonts w:eastAsiaTheme="minorEastAsia"/>
            <w:noProof/>
          </w:rPr>
          <w:tab/>
        </w:r>
        <w:r w:rsidR="005757F7" w:rsidRPr="00F3753D">
          <w:rPr>
            <w:rStyle w:val="Hyperlink"/>
            <w:noProof/>
          </w:rPr>
          <w:t>Policy Development, Approval and Authorisation</w:t>
        </w:r>
        <w:r w:rsidR="005757F7">
          <w:rPr>
            <w:noProof/>
            <w:webHidden/>
          </w:rPr>
          <w:tab/>
        </w:r>
        <w:r w:rsidR="005757F7">
          <w:rPr>
            <w:noProof/>
            <w:webHidden/>
          </w:rPr>
          <w:fldChar w:fldCharType="begin"/>
        </w:r>
        <w:r w:rsidR="005757F7">
          <w:rPr>
            <w:noProof/>
            <w:webHidden/>
          </w:rPr>
          <w:instrText xml:space="preserve"> PAGEREF _Toc94693633 \h </w:instrText>
        </w:r>
        <w:r w:rsidR="005757F7">
          <w:rPr>
            <w:noProof/>
            <w:webHidden/>
          </w:rPr>
        </w:r>
        <w:r w:rsidR="005757F7">
          <w:rPr>
            <w:noProof/>
            <w:webHidden/>
          </w:rPr>
          <w:fldChar w:fldCharType="separate"/>
        </w:r>
        <w:r w:rsidR="009B0657">
          <w:rPr>
            <w:noProof/>
            <w:webHidden/>
          </w:rPr>
          <w:t>13</w:t>
        </w:r>
        <w:r w:rsidR="005757F7">
          <w:rPr>
            <w:noProof/>
            <w:webHidden/>
          </w:rPr>
          <w:fldChar w:fldCharType="end"/>
        </w:r>
      </w:hyperlink>
    </w:p>
    <w:p w14:paraId="53BF748F" w14:textId="6A6F96D3" w:rsidR="005757F7" w:rsidRDefault="00E8222A">
      <w:pPr>
        <w:pStyle w:val="TOC1"/>
        <w:rPr>
          <w:rFonts w:eastAsiaTheme="minorEastAsia"/>
          <w:noProof/>
        </w:rPr>
      </w:pPr>
      <w:hyperlink w:anchor="_Toc94693634" w:history="1">
        <w:r w:rsidR="005757F7" w:rsidRPr="00F3753D">
          <w:rPr>
            <w:rStyle w:val="Hyperlink"/>
            <w:noProof/>
          </w:rPr>
          <w:t>10.</w:t>
        </w:r>
        <w:r w:rsidR="005757F7">
          <w:rPr>
            <w:rFonts w:eastAsiaTheme="minorEastAsia"/>
            <w:noProof/>
          </w:rPr>
          <w:tab/>
        </w:r>
        <w:r w:rsidR="005757F7" w:rsidRPr="00F3753D">
          <w:rPr>
            <w:rStyle w:val="Hyperlink"/>
            <w:noProof/>
          </w:rPr>
          <w:t>Review and Revision Arrangements</w:t>
        </w:r>
        <w:r w:rsidR="005757F7">
          <w:rPr>
            <w:noProof/>
            <w:webHidden/>
          </w:rPr>
          <w:tab/>
        </w:r>
        <w:r w:rsidR="005757F7">
          <w:rPr>
            <w:noProof/>
            <w:webHidden/>
          </w:rPr>
          <w:fldChar w:fldCharType="begin"/>
        </w:r>
        <w:r w:rsidR="005757F7">
          <w:rPr>
            <w:noProof/>
            <w:webHidden/>
          </w:rPr>
          <w:instrText xml:space="preserve"> PAGEREF _Toc94693634 \h </w:instrText>
        </w:r>
        <w:r w:rsidR="005757F7">
          <w:rPr>
            <w:noProof/>
            <w:webHidden/>
          </w:rPr>
        </w:r>
        <w:r w:rsidR="005757F7">
          <w:rPr>
            <w:noProof/>
            <w:webHidden/>
          </w:rPr>
          <w:fldChar w:fldCharType="separate"/>
        </w:r>
        <w:r w:rsidR="009B0657">
          <w:rPr>
            <w:noProof/>
            <w:webHidden/>
          </w:rPr>
          <w:t>13</w:t>
        </w:r>
        <w:r w:rsidR="005757F7">
          <w:rPr>
            <w:noProof/>
            <w:webHidden/>
          </w:rPr>
          <w:fldChar w:fldCharType="end"/>
        </w:r>
      </w:hyperlink>
    </w:p>
    <w:p w14:paraId="72E77D52" w14:textId="72918483" w:rsidR="005757F7" w:rsidRDefault="00E8222A">
      <w:pPr>
        <w:pStyle w:val="TOC1"/>
        <w:rPr>
          <w:rFonts w:eastAsiaTheme="minorEastAsia"/>
          <w:noProof/>
        </w:rPr>
      </w:pPr>
      <w:hyperlink w:anchor="_Toc94693635" w:history="1">
        <w:r w:rsidR="005757F7" w:rsidRPr="00F3753D">
          <w:rPr>
            <w:rStyle w:val="Hyperlink"/>
            <w:noProof/>
          </w:rPr>
          <w:t>11.</w:t>
        </w:r>
        <w:r w:rsidR="005757F7">
          <w:rPr>
            <w:rFonts w:eastAsiaTheme="minorEastAsia"/>
            <w:noProof/>
          </w:rPr>
          <w:tab/>
        </w:r>
        <w:r w:rsidR="005757F7" w:rsidRPr="00F3753D">
          <w:rPr>
            <w:rStyle w:val="Hyperlink"/>
            <w:noProof/>
          </w:rPr>
          <w:t>Policy Implementation</w:t>
        </w:r>
        <w:r w:rsidR="005757F7">
          <w:rPr>
            <w:noProof/>
            <w:webHidden/>
          </w:rPr>
          <w:tab/>
        </w:r>
        <w:r w:rsidR="005757F7">
          <w:rPr>
            <w:noProof/>
            <w:webHidden/>
          </w:rPr>
          <w:fldChar w:fldCharType="begin"/>
        </w:r>
        <w:r w:rsidR="005757F7">
          <w:rPr>
            <w:noProof/>
            <w:webHidden/>
          </w:rPr>
          <w:instrText xml:space="preserve"> PAGEREF _Toc94693635 \h </w:instrText>
        </w:r>
        <w:r w:rsidR="005757F7">
          <w:rPr>
            <w:noProof/>
            <w:webHidden/>
          </w:rPr>
        </w:r>
        <w:r w:rsidR="005757F7">
          <w:rPr>
            <w:noProof/>
            <w:webHidden/>
          </w:rPr>
          <w:fldChar w:fldCharType="separate"/>
        </w:r>
        <w:r w:rsidR="009B0657">
          <w:rPr>
            <w:noProof/>
            <w:webHidden/>
          </w:rPr>
          <w:t>14</w:t>
        </w:r>
        <w:r w:rsidR="005757F7">
          <w:rPr>
            <w:noProof/>
            <w:webHidden/>
          </w:rPr>
          <w:fldChar w:fldCharType="end"/>
        </w:r>
      </w:hyperlink>
    </w:p>
    <w:p w14:paraId="35BF97CB" w14:textId="284AD06A" w:rsidR="005757F7" w:rsidRDefault="00E8222A">
      <w:pPr>
        <w:pStyle w:val="TOC1"/>
        <w:rPr>
          <w:rFonts w:eastAsiaTheme="minorEastAsia"/>
          <w:noProof/>
        </w:rPr>
      </w:pPr>
      <w:hyperlink w:anchor="_Toc94693636" w:history="1">
        <w:r w:rsidR="005757F7" w:rsidRPr="00F3753D">
          <w:rPr>
            <w:rStyle w:val="Hyperlink"/>
            <w:noProof/>
          </w:rPr>
          <w:t>12.</w:t>
        </w:r>
        <w:r w:rsidR="005757F7">
          <w:rPr>
            <w:rFonts w:eastAsiaTheme="minorEastAsia"/>
            <w:noProof/>
          </w:rPr>
          <w:tab/>
        </w:r>
        <w:r w:rsidR="005757F7" w:rsidRPr="00F3753D">
          <w:rPr>
            <w:rStyle w:val="Hyperlink"/>
            <w:noProof/>
          </w:rPr>
          <w:t>Document Control including Archiving Arrangements</w:t>
        </w:r>
        <w:r w:rsidR="005757F7">
          <w:rPr>
            <w:noProof/>
            <w:webHidden/>
          </w:rPr>
          <w:tab/>
        </w:r>
        <w:r w:rsidR="005757F7">
          <w:rPr>
            <w:noProof/>
            <w:webHidden/>
          </w:rPr>
          <w:fldChar w:fldCharType="begin"/>
        </w:r>
        <w:r w:rsidR="005757F7">
          <w:rPr>
            <w:noProof/>
            <w:webHidden/>
          </w:rPr>
          <w:instrText xml:space="preserve"> PAGEREF _Toc94693636 \h </w:instrText>
        </w:r>
        <w:r w:rsidR="005757F7">
          <w:rPr>
            <w:noProof/>
            <w:webHidden/>
          </w:rPr>
        </w:r>
        <w:r w:rsidR="005757F7">
          <w:rPr>
            <w:noProof/>
            <w:webHidden/>
          </w:rPr>
          <w:fldChar w:fldCharType="separate"/>
        </w:r>
        <w:r w:rsidR="009B0657">
          <w:rPr>
            <w:noProof/>
            <w:webHidden/>
          </w:rPr>
          <w:t>14</w:t>
        </w:r>
        <w:r w:rsidR="005757F7">
          <w:rPr>
            <w:noProof/>
            <w:webHidden/>
          </w:rPr>
          <w:fldChar w:fldCharType="end"/>
        </w:r>
      </w:hyperlink>
    </w:p>
    <w:p w14:paraId="122F1AE5" w14:textId="44A63C30" w:rsidR="005757F7" w:rsidRDefault="00E8222A">
      <w:pPr>
        <w:pStyle w:val="TOC1"/>
        <w:rPr>
          <w:rFonts w:eastAsiaTheme="minorEastAsia"/>
          <w:noProof/>
        </w:rPr>
      </w:pPr>
      <w:hyperlink w:anchor="_Toc94693637" w:history="1">
        <w:r w:rsidR="005757F7" w:rsidRPr="00F3753D">
          <w:rPr>
            <w:rStyle w:val="Hyperlink"/>
            <w:noProof/>
          </w:rPr>
          <w:t>13.</w:t>
        </w:r>
        <w:r w:rsidR="005757F7">
          <w:rPr>
            <w:rFonts w:eastAsiaTheme="minorEastAsia"/>
            <w:noProof/>
          </w:rPr>
          <w:tab/>
        </w:r>
        <w:r w:rsidR="005757F7" w:rsidRPr="00F3753D">
          <w:rPr>
            <w:rStyle w:val="Hyperlink"/>
            <w:noProof/>
          </w:rPr>
          <w:t>Monitoring Compliance</w:t>
        </w:r>
        <w:r w:rsidR="005757F7">
          <w:rPr>
            <w:noProof/>
            <w:webHidden/>
          </w:rPr>
          <w:tab/>
        </w:r>
        <w:r w:rsidR="005757F7">
          <w:rPr>
            <w:noProof/>
            <w:webHidden/>
          </w:rPr>
          <w:fldChar w:fldCharType="begin"/>
        </w:r>
        <w:r w:rsidR="005757F7">
          <w:rPr>
            <w:noProof/>
            <w:webHidden/>
          </w:rPr>
          <w:instrText xml:space="preserve"> PAGEREF _Toc94693637 \h </w:instrText>
        </w:r>
        <w:r w:rsidR="005757F7">
          <w:rPr>
            <w:noProof/>
            <w:webHidden/>
          </w:rPr>
        </w:r>
        <w:r w:rsidR="005757F7">
          <w:rPr>
            <w:noProof/>
            <w:webHidden/>
          </w:rPr>
          <w:fldChar w:fldCharType="separate"/>
        </w:r>
        <w:r w:rsidR="009B0657">
          <w:rPr>
            <w:noProof/>
            <w:webHidden/>
          </w:rPr>
          <w:t>14</w:t>
        </w:r>
        <w:r w:rsidR="005757F7">
          <w:rPr>
            <w:noProof/>
            <w:webHidden/>
          </w:rPr>
          <w:fldChar w:fldCharType="end"/>
        </w:r>
      </w:hyperlink>
    </w:p>
    <w:p w14:paraId="342775FE" w14:textId="5042AB6C" w:rsidR="005757F7" w:rsidRDefault="00E8222A">
      <w:pPr>
        <w:pStyle w:val="TOC1"/>
        <w:rPr>
          <w:rFonts w:eastAsiaTheme="minorEastAsia"/>
          <w:noProof/>
        </w:rPr>
      </w:pPr>
      <w:hyperlink w:anchor="_Toc94693638" w:history="1">
        <w:r w:rsidR="005757F7" w:rsidRPr="00F3753D">
          <w:rPr>
            <w:rStyle w:val="Hyperlink"/>
            <w:noProof/>
          </w:rPr>
          <w:t>14.</w:t>
        </w:r>
        <w:r w:rsidR="005757F7">
          <w:rPr>
            <w:rFonts w:eastAsiaTheme="minorEastAsia"/>
            <w:noProof/>
          </w:rPr>
          <w:tab/>
        </w:r>
        <w:r w:rsidR="005757F7" w:rsidRPr="00F3753D">
          <w:rPr>
            <w:rStyle w:val="Hyperlink"/>
            <w:noProof/>
          </w:rPr>
          <w:t>References</w:t>
        </w:r>
        <w:r w:rsidR="005757F7">
          <w:rPr>
            <w:noProof/>
            <w:webHidden/>
          </w:rPr>
          <w:tab/>
        </w:r>
        <w:r w:rsidR="005757F7">
          <w:rPr>
            <w:noProof/>
            <w:webHidden/>
          </w:rPr>
          <w:fldChar w:fldCharType="begin"/>
        </w:r>
        <w:r w:rsidR="005757F7">
          <w:rPr>
            <w:noProof/>
            <w:webHidden/>
          </w:rPr>
          <w:instrText xml:space="preserve"> PAGEREF _Toc94693638 \h </w:instrText>
        </w:r>
        <w:r w:rsidR="005757F7">
          <w:rPr>
            <w:noProof/>
            <w:webHidden/>
          </w:rPr>
        </w:r>
        <w:r w:rsidR="005757F7">
          <w:rPr>
            <w:noProof/>
            <w:webHidden/>
          </w:rPr>
          <w:fldChar w:fldCharType="separate"/>
        </w:r>
        <w:r w:rsidR="009B0657">
          <w:rPr>
            <w:noProof/>
            <w:webHidden/>
          </w:rPr>
          <w:t>14</w:t>
        </w:r>
        <w:r w:rsidR="005757F7">
          <w:rPr>
            <w:noProof/>
            <w:webHidden/>
          </w:rPr>
          <w:fldChar w:fldCharType="end"/>
        </w:r>
      </w:hyperlink>
    </w:p>
    <w:p w14:paraId="68E670F4" w14:textId="14611FE6" w:rsidR="005757F7" w:rsidRDefault="00E8222A">
      <w:pPr>
        <w:pStyle w:val="TOC1"/>
        <w:rPr>
          <w:rFonts w:eastAsiaTheme="minorEastAsia"/>
          <w:noProof/>
        </w:rPr>
      </w:pPr>
      <w:hyperlink w:anchor="_Toc94693639" w:history="1">
        <w:r w:rsidR="005757F7" w:rsidRPr="00F3753D">
          <w:rPr>
            <w:rStyle w:val="Hyperlink"/>
            <w:noProof/>
          </w:rPr>
          <w:t>15.</w:t>
        </w:r>
        <w:r w:rsidR="005757F7">
          <w:rPr>
            <w:rFonts w:eastAsiaTheme="minorEastAsia"/>
            <w:noProof/>
          </w:rPr>
          <w:tab/>
        </w:r>
        <w:r w:rsidR="005757F7" w:rsidRPr="00F3753D">
          <w:rPr>
            <w:rStyle w:val="Hyperlink"/>
            <w:noProof/>
          </w:rPr>
          <w:t>Appendices</w:t>
        </w:r>
        <w:r w:rsidR="005757F7">
          <w:rPr>
            <w:noProof/>
            <w:webHidden/>
          </w:rPr>
          <w:tab/>
        </w:r>
        <w:r w:rsidR="005757F7">
          <w:rPr>
            <w:noProof/>
            <w:webHidden/>
          </w:rPr>
          <w:fldChar w:fldCharType="begin"/>
        </w:r>
        <w:r w:rsidR="005757F7">
          <w:rPr>
            <w:noProof/>
            <w:webHidden/>
          </w:rPr>
          <w:instrText xml:space="preserve"> PAGEREF _Toc94693639 \h </w:instrText>
        </w:r>
        <w:r w:rsidR="005757F7">
          <w:rPr>
            <w:noProof/>
            <w:webHidden/>
          </w:rPr>
        </w:r>
        <w:r w:rsidR="005757F7">
          <w:rPr>
            <w:noProof/>
            <w:webHidden/>
          </w:rPr>
          <w:fldChar w:fldCharType="separate"/>
        </w:r>
        <w:r w:rsidR="009B0657">
          <w:rPr>
            <w:noProof/>
            <w:webHidden/>
          </w:rPr>
          <w:t>15</w:t>
        </w:r>
        <w:r w:rsidR="005757F7">
          <w:rPr>
            <w:noProof/>
            <w:webHidden/>
          </w:rPr>
          <w:fldChar w:fldCharType="end"/>
        </w:r>
      </w:hyperlink>
    </w:p>
    <w:p w14:paraId="6B883F1E" w14:textId="51049716" w:rsidR="005757F7" w:rsidRDefault="00E8222A">
      <w:pPr>
        <w:pStyle w:val="TOC1"/>
        <w:rPr>
          <w:rFonts w:eastAsiaTheme="minorEastAsia"/>
          <w:noProof/>
        </w:rPr>
      </w:pPr>
      <w:hyperlink w:anchor="_Toc94693640" w:history="1">
        <w:r w:rsidR="005757F7" w:rsidRPr="00F3753D">
          <w:rPr>
            <w:rStyle w:val="Hyperlink"/>
            <w:noProof/>
          </w:rPr>
          <w:t>Appendix 1 – Summary of Adult Structured Judgement Review process for staff</w:t>
        </w:r>
        <w:r w:rsidR="005757F7">
          <w:rPr>
            <w:noProof/>
            <w:webHidden/>
          </w:rPr>
          <w:tab/>
        </w:r>
        <w:r w:rsidR="005757F7">
          <w:rPr>
            <w:noProof/>
            <w:webHidden/>
          </w:rPr>
          <w:fldChar w:fldCharType="begin"/>
        </w:r>
        <w:r w:rsidR="005757F7">
          <w:rPr>
            <w:noProof/>
            <w:webHidden/>
          </w:rPr>
          <w:instrText xml:space="preserve"> PAGEREF _Toc94693640 \h </w:instrText>
        </w:r>
        <w:r w:rsidR="005757F7">
          <w:rPr>
            <w:noProof/>
            <w:webHidden/>
          </w:rPr>
        </w:r>
        <w:r w:rsidR="005757F7">
          <w:rPr>
            <w:noProof/>
            <w:webHidden/>
          </w:rPr>
          <w:fldChar w:fldCharType="separate"/>
        </w:r>
        <w:r w:rsidR="009B0657">
          <w:rPr>
            <w:noProof/>
            <w:webHidden/>
          </w:rPr>
          <w:t>16</w:t>
        </w:r>
        <w:r w:rsidR="005757F7">
          <w:rPr>
            <w:noProof/>
            <w:webHidden/>
          </w:rPr>
          <w:fldChar w:fldCharType="end"/>
        </w:r>
      </w:hyperlink>
    </w:p>
    <w:p w14:paraId="64EA531D" w14:textId="7F21F719" w:rsidR="005757F7" w:rsidRDefault="00E8222A">
      <w:pPr>
        <w:pStyle w:val="TOC1"/>
        <w:rPr>
          <w:rFonts w:eastAsiaTheme="minorEastAsia"/>
          <w:noProof/>
        </w:rPr>
      </w:pPr>
      <w:hyperlink w:anchor="_Toc94693641" w:history="1">
        <w:r w:rsidR="005757F7" w:rsidRPr="00F3753D">
          <w:rPr>
            <w:rStyle w:val="Hyperlink"/>
            <w:noProof/>
          </w:rPr>
          <w:t>Appendix 2 – Learning from deaths process</w:t>
        </w:r>
        <w:r w:rsidR="005757F7">
          <w:rPr>
            <w:noProof/>
            <w:webHidden/>
          </w:rPr>
          <w:tab/>
        </w:r>
        <w:r w:rsidR="005757F7">
          <w:rPr>
            <w:noProof/>
            <w:webHidden/>
          </w:rPr>
          <w:fldChar w:fldCharType="begin"/>
        </w:r>
        <w:r w:rsidR="005757F7">
          <w:rPr>
            <w:noProof/>
            <w:webHidden/>
          </w:rPr>
          <w:instrText xml:space="preserve"> PAGEREF _Toc94693641 \h </w:instrText>
        </w:r>
        <w:r w:rsidR="005757F7">
          <w:rPr>
            <w:noProof/>
            <w:webHidden/>
          </w:rPr>
        </w:r>
        <w:r w:rsidR="005757F7">
          <w:rPr>
            <w:noProof/>
            <w:webHidden/>
          </w:rPr>
          <w:fldChar w:fldCharType="separate"/>
        </w:r>
        <w:r w:rsidR="009B0657">
          <w:rPr>
            <w:noProof/>
            <w:webHidden/>
          </w:rPr>
          <w:t>18</w:t>
        </w:r>
        <w:r w:rsidR="005757F7">
          <w:rPr>
            <w:noProof/>
            <w:webHidden/>
          </w:rPr>
          <w:fldChar w:fldCharType="end"/>
        </w:r>
      </w:hyperlink>
    </w:p>
    <w:p w14:paraId="0C836B10" w14:textId="1AD2112A" w:rsidR="005757F7" w:rsidRDefault="00E8222A">
      <w:pPr>
        <w:pStyle w:val="TOC1"/>
        <w:rPr>
          <w:rFonts w:eastAsiaTheme="minorEastAsia"/>
          <w:noProof/>
        </w:rPr>
      </w:pPr>
      <w:hyperlink w:anchor="_Toc94693642" w:history="1">
        <w:r w:rsidR="005757F7" w:rsidRPr="00F3753D">
          <w:rPr>
            <w:rStyle w:val="Hyperlink"/>
            <w:noProof/>
          </w:rPr>
          <w:t>Appendix 3 – EKHUFT Structured Case Note Review Screening Tool taken from the ME1b form</w:t>
        </w:r>
        <w:r w:rsidR="005757F7">
          <w:rPr>
            <w:noProof/>
            <w:webHidden/>
          </w:rPr>
          <w:tab/>
        </w:r>
        <w:r w:rsidR="005757F7">
          <w:rPr>
            <w:noProof/>
            <w:webHidden/>
          </w:rPr>
          <w:fldChar w:fldCharType="begin"/>
        </w:r>
        <w:r w:rsidR="005757F7">
          <w:rPr>
            <w:noProof/>
            <w:webHidden/>
          </w:rPr>
          <w:instrText xml:space="preserve"> PAGEREF _Toc94693642 \h </w:instrText>
        </w:r>
        <w:r w:rsidR="005757F7">
          <w:rPr>
            <w:noProof/>
            <w:webHidden/>
          </w:rPr>
        </w:r>
        <w:r w:rsidR="005757F7">
          <w:rPr>
            <w:noProof/>
            <w:webHidden/>
          </w:rPr>
          <w:fldChar w:fldCharType="separate"/>
        </w:r>
        <w:r w:rsidR="009B0657">
          <w:rPr>
            <w:noProof/>
            <w:webHidden/>
          </w:rPr>
          <w:t>19</w:t>
        </w:r>
        <w:r w:rsidR="005757F7">
          <w:rPr>
            <w:noProof/>
            <w:webHidden/>
          </w:rPr>
          <w:fldChar w:fldCharType="end"/>
        </w:r>
      </w:hyperlink>
    </w:p>
    <w:p w14:paraId="28AEEB07" w14:textId="1AA695C9" w:rsidR="005757F7" w:rsidRDefault="00E8222A">
      <w:pPr>
        <w:pStyle w:val="TOC1"/>
        <w:rPr>
          <w:rFonts w:eastAsiaTheme="minorEastAsia"/>
          <w:noProof/>
        </w:rPr>
      </w:pPr>
      <w:hyperlink w:anchor="_Toc94693643" w:history="1">
        <w:r w:rsidR="005757F7" w:rsidRPr="00F3753D">
          <w:rPr>
            <w:rStyle w:val="Hyperlink"/>
            <w:noProof/>
          </w:rPr>
          <w:t>Appendix 4 – EKHUFT Structured Case Note Review Form</w:t>
        </w:r>
        <w:r w:rsidR="005757F7">
          <w:rPr>
            <w:noProof/>
            <w:webHidden/>
          </w:rPr>
          <w:tab/>
        </w:r>
        <w:r w:rsidR="005757F7">
          <w:rPr>
            <w:noProof/>
            <w:webHidden/>
          </w:rPr>
          <w:fldChar w:fldCharType="begin"/>
        </w:r>
        <w:r w:rsidR="005757F7">
          <w:rPr>
            <w:noProof/>
            <w:webHidden/>
          </w:rPr>
          <w:instrText xml:space="preserve"> PAGEREF _Toc94693643 \h </w:instrText>
        </w:r>
        <w:r w:rsidR="005757F7">
          <w:rPr>
            <w:noProof/>
            <w:webHidden/>
          </w:rPr>
        </w:r>
        <w:r w:rsidR="005757F7">
          <w:rPr>
            <w:noProof/>
            <w:webHidden/>
          </w:rPr>
          <w:fldChar w:fldCharType="separate"/>
        </w:r>
        <w:r w:rsidR="009B0657">
          <w:rPr>
            <w:noProof/>
            <w:webHidden/>
          </w:rPr>
          <w:t>20</w:t>
        </w:r>
        <w:r w:rsidR="005757F7">
          <w:rPr>
            <w:noProof/>
            <w:webHidden/>
          </w:rPr>
          <w:fldChar w:fldCharType="end"/>
        </w:r>
      </w:hyperlink>
    </w:p>
    <w:p w14:paraId="597B3772" w14:textId="6B2CE3B5" w:rsidR="005757F7" w:rsidRDefault="00E8222A">
      <w:pPr>
        <w:pStyle w:val="TOC1"/>
        <w:rPr>
          <w:rFonts w:eastAsiaTheme="minorEastAsia"/>
          <w:noProof/>
        </w:rPr>
      </w:pPr>
      <w:hyperlink w:anchor="_Toc94693644" w:history="1">
        <w:r w:rsidR="005757F7" w:rsidRPr="00F3753D">
          <w:rPr>
            <w:rStyle w:val="Hyperlink"/>
            <w:noProof/>
          </w:rPr>
          <w:t>Appendix 6 – Equality Analysis (EA)</w:t>
        </w:r>
        <w:r w:rsidR="005757F7">
          <w:rPr>
            <w:noProof/>
            <w:webHidden/>
          </w:rPr>
          <w:tab/>
        </w:r>
        <w:r w:rsidR="005757F7">
          <w:rPr>
            <w:noProof/>
            <w:webHidden/>
          </w:rPr>
          <w:fldChar w:fldCharType="begin"/>
        </w:r>
        <w:r w:rsidR="005757F7">
          <w:rPr>
            <w:noProof/>
            <w:webHidden/>
          </w:rPr>
          <w:instrText xml:space="preserve"> PAGEREF _Toc94693644 \h </w:instrText>
        </w:r>
        <w:r w:rsidR="005757F7">
          <w:rPr>
            <w:noProof/>
            <w:webHidden/>
          </w:rPr>
        </w:r>
        <w:r w:rsidR="005757F7">
          <w:rPr>
            <w:noProof/>
            <w:webHidden/>
          </w:rPr>
          <w:fldChar w:fldCharType="separate"/>
        </w:r>
        <w:r w:rsidR="009B0657">
          <w:rPr>
            <w:noProof/>
            <w:webHidden/>
          </w:rPr>
          <w:t>24</w:t>
        </w:r>
        <w:r w:rsidR="005757F7">
          <w:rPr>
            <w:noProof/>
            <w:webHidden/>
          </w:rPr>
          <w:fldChar w:fldCharType="end"/>
        </w:r>
      </w:hyperlink>
    </w:p>
    <w:p w14:paraId="670AEA53" w14:textId="1328B2DB" w:rsidR="005757F7" w:rsidRDefault="00E8222A">
      <w:pPr>
        <w:pStyle w:val="TOC1"/>
        <w:rPr>
          <w:rFonts w:eastAsiaTheme="minorEastAsia"/>
          <w:noProof/>
        </w:rPr>
      </w:pPr>
      <w:hyperlink w:anchor="_Toc94693645" w:history="1">
        <w:r w:rsidR="005757F7" w:rsidRPr="00F3753D">
          <w:rPr>
            <w:rStyle w:val="Hyperlink"/>
            <w:noProof/>
          </w:rPr>
          <w:t>Appendix 7 – Policy Implementation Plan</w:t>
        </w:r>
        <w:r w:rsidR="005757F7">
          <w:rPr>
            <w:noProof/>
            <w:webHidden/>
          </w:rPr>
          <w:tab/>
        </w:r>
        <w:r w:rsidR="005757F7">
          <w:rPr>
            <w:noProof/>
            <w:webHidden/>
          </w:rPr>
          <w:fldChar w:fldCharType="begin"/>
        </w:r>
        <w:r w:rsidR="005757F7">
          <w:rPr>
            <w:noProof/>
            <w:webHidden/>
          </w:rPr>
          <w:instrText xml:space="preserve"> PAGEREF _Toc94693645 \h </w:instrText>
        </w:r>
        <w:r w:rsidR="005757F7">
          <w:rPr>
            <w:noProof/>
            <w:webHidden/>
          </w:rPr>
        </w:r>
        <w:r w:rsidR="005757F7">
          <w:rPr>
            <w:noProof/>
            <w:webHidden/>
          </w:rPr>
          <w:fldChar w:fldCharType="separate"/>
        </w:r>
        <w:r w:rsidR="009B0657">
          <w:rPr>
            <w:noProof/>
            <w:webHidden/>
          </w:rPr>
          <w:t>26</w:t>
        </w:r>
        <w:r w:rsidR="005757F7">
          <w:rPr>
            <w:noProof/>
            <w:webHidden/>
          </w:rPr>
          <w:fldChar w:fldCharType="end"/>
        </w:r>
      </w:hyperlink>
    </w:p>
    <w:p w14:paraId="19B646C1" w14:textId="5FED3AE5" w:rsidR="009D6893" w:rsidRDefault="000A1E88" w:rsidP="00BC0A7E">
      <w:pPr>
        <w:spacing w:before="120" w:after="120" w:line="288" w:lineRule="auto"/>
        <w:rPr>
          <w:b/>
          <w:bCs/>
          <w:noProof/>
        </w:rPr>
      </w:pPr>
      <w:r>
        <w:rPr>
          <w:b/>
          <w:bCs/>
          <w:noProof/>
        </w:rPr>
        <w:fldChar w:fldCharType="end"/>
      </w:r>
    </w:p>
    <w:p w14:paraId="00C506B3" w14:textId="77777777" w:rsidR="008F1FDE" w:rsidRDefault="008F1FDE" w:rsidP="00BC0A7E">
      <w:pPr>
        <w:spacing w:before="120" w:after="120" w:line="288" w:lineRule="auto"/>
        <w:rPr>
          <w:b/>
          <w:bCs/>
          <w:noProof/>
        </w:rPr>
      </w:pPr>
    </w:p>
    <w:p w14:paraId="219EB76D" w14:textId="77777777" w:rsidR="008F1FDE" w:rsidRDefault="008F1FDE" w:rsidP="00BC0A7E">
      <w:pPr>
        <w:spacing w:before="120" w:after="120" w:line="288" w:lineRule="auto"/>
        <w:rPr>
          <w:b/>
          <w:bCs/>
          <w:noProof/>
        </w:rPr>
      </w:pPr>
    </w:p>
    <w:p w14:paraId="60EFA57E" w14:textId="77777777" w:rsidR="008F1FDE" w:rsidRDefault="008F1FDE" w:rsidP="00BC0A7E">
      <w:pPr>
        <w:spacing w:before="120" w:after="120" w:line="288" w:lineRule="auto"/>
        <w:rPr>
          <w:b/>
          <w:bCs/>
          <w:noProof/>
        </w:rPr>
        <w:sectPr w:rsidR="008F1FDE" w:rsidSect="004A1634">
          <w:headerReference w:type="default" r:id="rId13"/>
          <w:footerReference w:type="default" r:id="rId14"/>
          <w:headerReference w:type="first" r:id="rId15"/>
          <w:footerReference w:type="first" r:id="rId16"/>
          <w:pgSz w:w="11906" w:h="16838" w:code="9"/>
          <w:pgMar w:top="1383" w:right="1133" w:bottom="1440" w:left="1276" w:header="697" w:footer="142" w:gutter="0"/>
          <w:cols w:space="708"/>
          <w:titlePg/>
          <w:docGrid w:linePitch="360"/>
        </w:sectPr>
      </w:pPr>
    </w:p>
    <w:p w14:paraId="64ACB065" w14:textId="77777777" w:rsidR="005B39AA" w:rsidRDefault="00717CAE" w:rsidP="00BC0A7E">
      <w:pPr>
        <w:pStyle w:val="Policyheader"/>
        <w:spacing w:line="288" w:lineRule="auto"/>
      </w:pPr>
      <w:bookmarkStart w:id="1" w:name="_Toc523986721"/>
      <w:bookmarkStart w:id="2" w:name="_Toc94693623"/>
      <w:r w:rsidRPr="00D40ED0">
        <w:lastRenderedPageBreak/>
        <w:t>Policy</w:t>
      </w:r>
      <w:r w:rsidR="00486418" w:rsidRPr="005B39AA">
        <w:t xml:space="preserve"> </w:t>
      </w:r>
      <w:bookmarkEnd w:id="1"/>
      <w:r w:rsidR="002C1CDA">
        <w:t>Description</w:t>
      </w:r>
      <w:bookmarkEnd w:id="2"/>
    </w:p>
    <w:p w14:paraId="06690C69" w14:textId="137B78D8" w:rsidR="00FE2C91" w:rsidRDefault="00FE2C91" w:rsidP="00F956AE">
      <w:pPr>
        <w:pStyle w:val="Policybulletlevel2"/>
        <w:spacing w:line="288" w:lineRule="auto"/>
        <w:ind w:hanging="792"/>
      </w:pPr>
      <w:r>
        <w:t>This policy describes the East Kent Hospital University Foundation Trust (EKHUFT or the ‘Trust’) approach to learning from the death of people who either die while in our care or whose subsequent death may be attributed to our care.</w:t>
      </w:r>
      <w:r w:rsidR="002F1EF1">
        <w:t xml:space="preserve"> </w:t>
      </w:r>
    </w:p>
    <w:p w14:paraId="02D7B0D8" w14:textId="59ECB1F8" w:rsidR="00B0773C" w:rsidRDefault="00B0773C" w:rsidP="00F956AE">
      <w:pPr>
        <w:pStyle w:val="Policybulletlevel2"/>
        <w:spacing w:line="288" w:lineRule="auto"/>
        <w:ind w:hanging="792"/>
      </w:pPr>
      <w:r>
        <w:t>It should be followed in conjunction with the Incident Management Policy (including Duty of Candour) and any subsequent Duty of Candour Policy.</w:t>
      </w:r>
    </w:p>
    <w:p w14:paraId="548CD571" w14:textId="77777777" w:rsidR="00712F68" w:rsidRDefault="0022378C" w:rsidP="00BC0A7E">
      <w:pPr>
        <w:pStyle w:val="Policyheader"/>
        <w:spacing w:line="288" w:lineRule="auto"/>
      </w:pPr>
      <w:bookmarkStart w:id="3" w:name="_Toc523986722"/>
      <w:bookmarkStart w:id="4" w:name="_Toc523989235"/>
      <w:bookmarkStart w:id="5" w:name="_Toc94693624"/>
      <w:r w:rsidRPr="00D5698E">
        <w:t>Introduction</w:t>
      </w:r>
      <w:bookmarkEnd w:id="3"/>
      <w:bookmarkEnd w:id="4"/>
      <w:bookmarkEnd w:id="5"/>
      <w:r w:rsidR="00467DFF" w:rsidRPr="00196CDD">
        <w:t xml:space="preserve"> </w:t>
      </w:r>
    </w:p>
    <w:p w14:paraId="08003476" w14:textId="18DD1A6F" w:rsidR="00FE2C91" w:rsidRDefault="00FE2C91" w:rsidP="00F956AE">
      <w:pPr>
        <w:pStyle w:val="Policybulletlevel2"/>
      </w:pPr>
      <w:r>
        <w:t>EKHUFT is required to demonstrate how it responds to, and learns from, deaths of people who either die while in our care or whose subsequent death may be attributable to our care. Our aim is to support our staff to review and learn from deaths and then take effective action to embed improvements.</w:t>
      </w:r>
    </w:p>
    <w:p w14:paraId="39E53A13" w14:textId="7940939D" w:rsidR="005C4066" w:rsidRPr="00EB1928" w:rsidRDefault="005C4066" w:rsidP="00EB1928">
      <w:pPr>
        <w:pStyle w:val="Policybulletlevel2"/>
      </w:pPr>
      <w:r>
        <w:t xml:space="preserve">Learning </w:t>
      </w:r>
      <w:r w:rsidRPr="00EB1928">
        <w:t>from</w:t>
      </w:r>
      <w:r>
        <w:t xml:space="preserve"> deaths of people under our care can help us improve the quality of the </w:t>
      </w:r>
      <w:r w:rsidRPr="00EB1928">
        <w:t>care we provide to patients and their families, and identify where we could do more.</w:t>
      </w:r>
    </w:p>
    <w:p w14:paraId="3D6BECE4" w14:textId="179549BA" w:rsidR="00D81BB1" w:rsidRPr="00EB1928" w:rsidRDefault="00D81BB1" w:rsidP="00EB1928">
      <w:pPr>
        <w:pStyle w:val="Policybulletlevel2"/>
      </w:pPr>
      <w:r w:rsidRPr="00EB1928">
        <w:t xml:space="preserve">The review of mortality cases is undertaken using the Royal College of Physicians Structured Judgement Review (SJR) process to provide a holistic review of the care, identify problems that potentially or did cause harm and decide on the avoidability of death rating. </w:t>
      </w:r>
    </w:p>
    <w:p w14:paraId="0347C296" w14:textId="7F249336" w:rsidR="00FE2C91" w:rsidRPr="00EB1928" w:rsidRDefault="00FE2C91" w:rsidP="00EB1928">
      <w:pPr>
        <w:pStyle w:val="Policybulletlevel2"/>
      </w:pPr>
      <w:r w:rsidRPr="00EB1928">
        <w:t xml:space="preserve">The introduction of the Medical Examiner Service ensures each patient death is reviewed and discussed with families and carers. Our aim is to enable families and carers to raise and have answered any questions or concerns about the care of patients who have died. </w:t>
      </w:r>
    </w:p>
    <w:p w14:paraId="29F1C591" w14:textId="754BDF1A" w:rsidR="005C4066" w:rsidRDefault="005C4066" w:rsidP="00EB1928">
      <w:pPr>
        <w:pStyle w:val="Policybulletlevel2"/>
      </w:pPr>
      <w:r w:rsidRPr="00EB1928">
        <w:t>A Care Quality Commission (CQC) review in December 2016, 'Learning, candour and accountability</w:t>
      </w:r>
      <w:r>
        <w:t xml:space="preserve">: </w:t>
      </w:r>
      <w:r w:rsidR="00AA488F">
        <w:t>A</w:t>
      </w:r>
      <w:r>
        <w:t xml:space="preserve"> review of the way</w:t>
      </w:r>
      <w:r w:rsidR="00AA488F">
        <w:t xml:space="preserve"> NHS</w:t>
      </w:r>
      <w:r>
        <w:t xml:space="preserve"> trusts review and investigate the deaths of patients in England' found that some providers were not giving learning from deaths sufficient priority and so were missing valuable opportunities to identify and make improvements in quality of care. Following on from this in March 2017, the National Quality Board (NQB) introduced new guidance for NHS providers on how they should learn from the deaths of people in their care. That report required </w:t>
      </w:r>
      <w:r w:rsidR="00B0773C">
        <w:t xml:space="preserve">NHS trusts </w:t>
      </w:r>
      <w:r>
        <w:t>to undertake a number of actions to ensure a systematic approach to identifying those deaths requiring review and a systematic, standardised approach to the performance, reporting and learning from those reviews, working with commissioners to review and improve local approaches following the death of people receiving care.</w:t>
      </w:r>
    </w:p>
    <w:p w14:paraId="706A0619" w14:textId="5328E5BD" w:rsidR="00D00955" w:rsidRPr="00EB1928" w:rsidRDefault="00E21FC2" w:rsidP="00EB1928">
      <w:pPr>
        <w:pStyle w:val="Policybulletlevel2"/>
      </w:pPr>
      <w:r w:rsidRPr="00F956AE">
        <w:lastRenderedPageBreak/>
        <w:t xml:space="preserve">The NHS Patient Safety Strategy (2019) outlines the requirement to publish data </w:t>
      </w:r>
      <w:r w:rsidRPr="00EB1928">
        <w:t>annually within trust quality accounts and the independent scrutiny of deaths by the medical examiner system.</w:t>
      </w:r>
    </w:p>
    <w:p w14:paraId="7FB0D8D9" w14:textId="4384D5B6" w:rsidR="00D40ED0" w:rsidRDefault="005C4066" w:rsidP="00EB1928">
      <w:pPr>
        <w:pStyle w:val="Policybulletlevel2"/>
      </w:pPr>
      <w:r w:rsidRPr="00EB1928">
        <w:t>The research suggests that preventable deaths due to problems in care make up around 5% of</w:t>
      </w:r>
      <w:r w:rsidR="00EB1928" w:rsidRPr="00EB1928">
        <w:t xml:space="preserve"> </w:t>
      </w:r>
      <w:r w:rsidRPr="00EB1928">
        <w:t>deaths and that the variation seen in the ‘Summary Hospital-Level Mortality Indicator’ (SHMI) and other indicators is likely to be due to other factors. However</w:t>
      </w:r>
      <w:r>
        <w:t>, the burden of preventable deaths nationally is still substantial and further analysis locally is required to attempt to identify those areas where there may be systematic and correctible shortcomings in care that contribute to preventable deaths. Findings from the Francis report</w:t>
      </w:r>
      <w:r w:rsidR="00313886">
        <w:t xml:space="preserve"> 2013</w:t>
      </w:r>
      <w:r>
        <w:t xml:space="preserve"> show that ‘higher than expected’ mortality rates were at worse ignored or manipulated and at best the subject of poorly functioning non-systematic mortality review meetings in which failings in the quality of care were not confronted or corrected. </w:t>
      </w:r>
      <w:r w:rsidR="00602E58">
        <w:t>Essentially,</w:t>
      </w:r>
      <w:r>
        <w:t xml:space="preserve"> there are </w:t>
      </w:r>
      <w:r w:rsidR="00E21FC2" w:rsidRPr="00F956AE">
        <w:t>four</w:t>
      </w:r>
      <w:r w:rsidRPr="00F956AE">
        <w:t xml:space="preserve"> </w:t>
      </w:r>
      <w:r>
        <w:t>levels of scrutiny that a provider can apply to the care provided to someone who dies</w:t>
      </w:r>
      <w:r w:rsidRPr="00F956AE">
        <w:t xml:space="preserve">; </w:t>
      </w:r>
      <w:r w:rsidR="00E21FC2" w:rsidRPr="00F956AE">
        <w:t>medical examiner review</w:t>
      </w:r>
      <w:r w:rsidR="00E21FC2">
        <w:t xml:space="preserve">, </w:t>
      </w:r>
      <w:r>
        <w:t>death certification</w:t>
      </w:r>
      <w:r w:rsidR="00E21FC2">
        <w:t>,</w:t>
      </w:r>
      <w:r>
        <w:t xml:space="preserve"> case record review and investigation. They do not need to be initiated sequentially and an investigation may be initiated at any point, this already happens within the Trust through the incident reporting system (Datix) and identification of </w:t>
      </w:r>
      <w:r w:rsidR="00313886">
        <w:t>serious</w:t>
      </w:r>
      <w:r>
        <w:t xml:space="preserve"> incidents involving mortality.</w:t>
      </w:r>
    </w:p>
    <w:p w14:paraId="3E7BF58B" w14:textId="77777777" w:rsidR="00901EDC" w:rsidRDefault="00730768" w:rsidP="00EB1928">
      <w:pPr>
        <w:pStyle w:val="Policyheader"/>
      </w:pPr>
      <w:bookmarkStart w:id="6" w:name="_Toc523986723"/>
      <w:bookmarkStart w:id="7" w:name="_Toc523989237"/>
      <w:bookmarkStart w:id="8" w:name="_Toc94693625"/>
      <w:r w:rsidRPr="00EB1928">
        <w:t>Definitions</w:t>
      </w:r>
      <w:bookmarkEnd w:id="6"/>
      <w:bookmarkEnd w:id="7"/>
      <w:bookmarkEnd w:id="8"/>
    </w:p>
    <w:p w14:paraId="3487A0F3" w14:textId="77777777" w:rsidR="000343DE" w:rsidRPr="000343DE" w:rsidRDefault="000343DE" w:rsidP="00BC0A7E">
      <w:pPr>
        <w:pStyle w:val="ListParagraph"/>
        <w:keepNext/>
        <w:numPr>
          <w:ilvl w:val="0"/>
          <w:numId w:val="4"/>
        </w:numPr>
        <w:spacing w:before="120" w:after="120" w:line="288" w:lineRule="auto"/>
        <w:contextualSpacing w:val="0"/>
        <w:outlineLvl w:val="2"/>
        <w:rPr>
          <w:rFonts w:eastAsia="Times New Roman"/>
          <w:vanish/>
          <w:color w:val="000000"/>
          <w:szCs w:val="20"/>
        </w:rPr>
      </w:pPr>
      <w:bookmarkStart w:id="9" w:name="_Toc523988942"/>
      <w:bookmarkStart w:id="10" w:name="_Toc523988961"/>
      <w:bookmarkStart w:id="11" w:name="_Toc523989238"/>
      <w:bookmarkStart w:id="12" w:name="_Toc523989267"/>
      <w:bookmarkStart w:id="13" w:name="_Toc523989323"/>
      <w:bookmarkStart w:id="14" w:name="_Toc523989577"/>
      <w:bookmarkStart w:id="15" w:name="_Toc523989900"/>
      <w:bookmarkStart w:id="16" w:name="_Toc523990376"/>
      <w:bookmarkStart w:id="17" w:name="_Toc523990562"/>
      <w:bookmarkStart w:id="18" w:name="_Toc529260040"/>
      <w:bookmarkStart w:id="19" w:name="_Toc529260061"/>
      <w:bookmarkStart w:id="20" w:name="_Toc529266125"/>
      <w:bookmarkStart w:id="21" w:name="_Toc529266202"/>
      <w:bookmarkStart w:id="22" w:name="_Toc529266258"/>
      <w:bookmarkStart w:id="23" w:name="_Toc529266730"/>
      <w:bookmarkStart w:id="24" w:name="_Toc529266912"/>
      <w:bookmarkStart w:id="25" w:name="_Toc529266943"/>
      <w:bookmarkStart w:id="26" w:name="_Toc529267006"/>
      <w:bookmarkStart w:id="27" w:name="_Toc529267077"/>
      <w:bookmarkStart w:id="28" w:name="_Toc529267215"/>
      <w:bookmarkStart w:id="29" w:name="_Toc532387769"/>
      <w:bookmarkStart w:id="30" w:name="_Toc2692659"/>
      <w:bookmarkStart w:id="31" w:name="_Toc2692704"/>
      <w:bookmarkStart w:id="32" w:name="_Toc2692739"/>
      <w:bookmarkStart w:id="33" w:name="_Toc2692776"/>
      <w:bookmarkStart w:id="34" w:name="_Toc2692802"/>
      <w:bookmarkStart w:id="35" w:name="_Toc2692857"/>
      <w:bookmarkStart w:id="36" w:name="_Toc2692946"/>
      <w:bookmarkStart w:id="37" w:name="_Toc2693098"/>
      <w:bookmarkStart w:id="38" w:name="_Toc2693597"/>
      <w:bookmarkStart w:id="39" w:name="_Toc2693742"/>
      <w:bookmarkStart w:id="40" w:name="_Toc75340126"/>
      <w:bookmarkStart w:id="41" w:name="_Toc75340180"/>
      <w:bookmarkStart w:id="42" w:name="_Toc82781997"/>
      <w:bookmarkStart w:id="43" w:name="_Toc94622206"/>
      <w:bookmarkStart w:id="44" w:name="_Toc94622251"/>
      <w:bookmarkStart w:id="45" w:name="_Toc946936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23660BE" w14:textId="77777777" w:rsidR="000343DE" w:rsidRPr="000343DE" w:rsidRDefault="000343DE" w:rsidP="00BC0A7E">
      <w:pPr>
        <w:pStyle w:val="ListParagraph"/>
        <w:keepNext/>
        <w:numPr>
          <w:ilvl w:val="0"/>
          <w:numId w:val="4"/>
        </w:numPr>
        <w:spacing w:before="120" w:after="120" w:line="288" w:lineRule="auto"/>
        <w:contextualSpacing w:val="0"/>
        <w:outlineLvl w:val="2"/>
        <w:rPr>
          <w:rFonts w:eastAsia="Times New Roman"/>
          <w:vanish/>
          <w:color w:val="000000"/>
          <w:szCs w:val="20"/>
        </w:rPr>
      </w:pPr>
      <w:bookmarkStart w:id="46" w:name="_Toc523988943"/>
      <w:bookmarkStart w:id="47" w:name="_Toc523988962"/>
      <w:bookmarkStart w:id="48" w:name="_Toc523989239"/>
      <w:bookmarkStart w:id="49" w:name="_Toc523989268"/>
      <w:bookmarkStart w:id="50" w:name="_Toc523989324"/>
      <w:bookmarkStart w:id="51" w:name="_Toc523989578"/>
      <w:bookmarkStart w:id="52" w:name="_Toc523989901"/>
      <w:bookmarkStart w:id="53" w:name="_Toc523990377"/>
      <w:bookmarkStart w:id="54" w:name="_Toc523990563"/>
      <w:bookmarkStart w:id="55" w:name="_Toc529260041"/>
      <w:bookmarkStart w:id="56" w:name="_Toc529260062"/>
      <w:bookmarkStart w:id="57" w:name="_Toc529266126"/>
      <w:bookmarkStart w:id="58" w:name="_Toc529266203"/>
      <w:bookmarkStart w:id="59" w:name="_Toc529266259"/>
      <w:bookmarkStart w:id="60" w:name="_Toc529266731"/>
      <w:bookmarkStart w:id="61" w:name="_Toc529266913"/>
      <w:bookmarkStart w:id="62" w:name="_Toc529266944"/>
      <w:bookmarkStart w:id="63" w:name="_Toc529267007"/>
      <w:bookmarkStart w:id="64" w:name="_Toc529267078"/>
      <w:bookmarkStart w:id="65" w:name="_Toc529267216"/>
      <w:bookmarkStart w:id="66" w:name="_Toc532387770"/>
      <w:bookmarkStart w:id="67" w:name="_Toc2692660"/>
      <w:bookmarkStart w:id="68" w:name="_Toc2692705"/>
      <w:bookmarkStart w:id="69" w:name="_Toc2692740"/>
      <w:bookmarkStart w:id="70" w:name="_Toc2692777"/>
      <w:bookmarkStart w:id="71" w:name="_Toc2692803"/>
      <w:bookmarkStart w:id="72" w:name="_Toc2692858"/>
      <w:bookmarkStart w:id="73" w:name="_Toc2692947"/>
      <w:bookmarkStart w:id="74" w:name="_Toc2693099"/>
      <w:bookmarkStart w:id="75" w:name="_Toc2693598"/>
      <w:bookmarkStart w:id="76" w:name="_Toc2693743"/>
      <w:bookmarkStart w:id="77" w:name="_Toc75340127"/>
      <w:bookmarkStart w:id="78" w:name="_Toc75340181"/>
      <w:bookmarkStart w:id="79" w:name="_Toc82781998"/>
      <w:bookmarkStart w:id="80" w:name="_Toc94622207"/>
      <w:bookmarkStart w:id="81" w:name="_Toc94622252"/>
      <w:bookmarkStart w:id="82" w:name="_Toc9469362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B2A4A65" w14:textId="058F0FFC" w:rsidR="00421543" w:rsidRDefault="00421543" w:rsidP="00EB1928">
      <w:pPr>
        <w:pStyle w:val="Policybulletlevel2"/>
      </w:pPr>
      <w:bookmarkStart w:id="83" w:name="_Toc523989241"/>
      <w:bookmarkEnd w:id="83"/>
      <w:r w:rsidRPr="00F956AE">
        <w:rPr>
          <w:b/>
        </w:rPr>
        <w:t>C</w:t>
      </w:r>
      <w:r w:rsidRPr="007F7897">
        <w:rPr>
          <w:b/>
        </w:rPr>
        <w:t xml:space="preserve">ase record </w:t>
      </w:r>
      <w:r w:rsidRPr="00B0773C">
        <w:rPr>
          <w:b/>
        </w:rPr>
        <w:t>review</w:t>
      </w:r>
      <w:r>
        <w:t>: A structured desktop review of a case record/note, carried out by clinicians, to determine whether there were any problems in the care provided to a patient. Case record review is undertaken routinely to learn and improve in the absence of any particular concerns about care. This is because it can help find problems where there is no initial suggestion anything has gone wrong. It can also be done where concerns exist, such as when bereaved families or staff raise concerns about care.</w:t>
      </w:r>
    </w:p>
    <w:p w14:paraId="7074B159" w14:textId="039FF6BC" w:rsidR="006245C4" w:rsidRDefault="006245C4" w:rsidP="00EB1928">
      <w:pPr>
        <w:pStyle w:val="Policybulletlevel2"/>
      </w:pPr>
      <w:r w:rsidRPr="00EB1928">
        <w:rPr>
          <w:b/>
        </w:rPr>
        <w:t>Death</w:t>
      </w:r>
      <w:r w:rsidRPr="00F956AE">
        <w:rPr>
          <w:b/>
        </w:rPr>
        <w:t xml:space="preserve"> certification</w:t>
      </w:r>
      <w:r>
        <w:t>: The process of certifying, recording and registering death, the causes of death and any concerns about the care provided. This process includes identifying deaths for referral to the coroner.</w:t>
      </w:r>
    </w:p>
    <w:p w14:paraId="47C48710" w14:textId="6B5469E6" w:rsidR="00421543" w:rsidRDefault="00421543" w:rsidP="00EB1928">
      <w:pPr>
        <w:pStyle w:val="Policybulletlevel2"/>
      </w:pPr>
      <w:r w:rsidRPr="00EB1928">
        <w:rPr>
          <w:b/>
        </w:rPr>
        <w:t>Investigation</w:t>
      </w:r>
      <w:r>
        <w:t>: The act or process of investigating; a systematic analysis of what happened, how it happened and why. This draws on evidence, including physical evidence, witness accounts, policies, procedures, guidance, good practice and observation - in order to identify the problems in care or service delivery that preceded an incident to understand how and why it occurred (see Incident Management Policy</w:t>
      </w:r>
      <w:r w:rsidR="000B09A0">
        <w:t xml:space="preserve"> 2021</w:t>
      </w:r>
      <w:r>
        <w:t>).</w:t>
      </w:r>
    </w:p>
    <w:p w14:paraId="597E41A9" w14:textId="691E7122" w:rsidR="00421543" w:rsidRPr="00EB1928" w:rsidRDefault="00421543" w:rsidP="00EB1928">
      <w:pPr>
        <w:pStyle w:val="Policybulletlevel2"/>
      </w:pPr>
      <w:r w:rsidRPr="00F956AE">
        <w:rPr>
          <w:b/>
        </w:rPr>
        <w:lastRenderedPageBreak/>
        <w:t>Learning</w:t>
      </w:r>
      <w:r>
        <w:t>:</w:t>
      </w:r>
      <w:r w:rsidRPr="00D2113B">
        <w:t xml:space="preserve"> </w:t>
      </w:r>
      <w:r>
        <w:t xml:space="preserve">The process of identifying what goes well in order to improve, or what may need to change in order to reduce the risk, in service provision or of future occurrence of similar </w:t>
      </w:r>
      <w:r w:rsidRPr="00EB1928">
        <w:t>events. Learning also ensures that any identified information derived from these processes is shared through robust governance processes, and acted upon.</w:t>
      </w:r>
    </w:p>
    <w:p w14:paraId="5BA9C9DC" w14:textId="62A08FCE" w:rsidR="006245C4" w:rsidRPr="00EB1928" w:rsidRDefault="006245C4" w:rsidP="00EB1928">
      <w:pPr>
        <w:pStyle w:val="Policybulletlevel2"/>
      </w:pPr>
      <w:r w:rsidRPr="00EB1928">
        <w:rPr>
          <w:b/>
        </w:rPr>
        <w:t>Mortality review:</w:t>
      </w:r>
      <w:r w:rsidRPr="00EB1928">
        <w:t xml:space="preserve"> A systematic exercise to review a series of individual case records using a structured or semi-structured methodology to identify any problems in care and to draw learning or conclusions to inform any further action that is needed to improve care within a setting or for a particular group of patients.</w:t>
      </w:r>
    </w:p>
    <w:p w14:paraId="1BB1D21E" w14:textId="77A26D26" w:rsidR="00421543" w:rsidRPr="00EB1928" w:rsidRDefault="00421543" w:rsidP="00EB1928">
      <w:pPr>
        <w:pStyle w:val="Policybulletlevel2"/>
      </w:pPr>
      <w:r w:rsidRPr="00EB1928">
        <w:rPr>
          <w:b/>
        </w:rPr>
        <w:t>Preventable death</w:t>
      </w:r>
      <w:r w:rsidRPr="00EB1928">
        <w:t>: A death due to a problem in care is a death that has been clinically assessed using a recognised methodology of case record/note review and determined more likely than not to have resulted from problems in healthcare and therefore to have been potentially avoidable.</w:t>
      </w:r>
    </w:p>
    <w:p w14:paraId="0FD69088" w14:textId="26E01D25" w:rsidR="006245C4" w:rsidRDefault="006245C4" w:rsidP="00EB1928">
      <w:pPr>
        <w:pStyle w:val="Policybulletlevel2"/>
      </w:pPr>
      <w:r w:rsidRPr="00EB1928">
        <w:rPr>
          <w:b/>
        </w:rPr>
        <w:t>Serious Incident</w:t>
      </w:r>
      <w:r w:rsidRPr="00EB1928">
        <w:t>: Serious Incidents in healthcare are adverse events, where the consequences to patients, families and carers, staff or organisations are so significant, or the potential for</w:t>
      </w:r>
      <w:r>
        <w:t xml:space="preserve"> learning is so great, that a heightened level of response is justified. Serious Incidents include acts or omissions in care that result in unexpected or avoidable death, unexpected or avoidable injury resulting in serious harm – including those where the injury required treatment to prevent death or serious harm – abuse, Never Events, incidents that prevent (or threaten to prevent) an organisation’s ability to continue to deliver an acceptable quality of healthcare services, and incidents that cause widespread public concern resulting in a loss of confidence in healthcare services.</w:t>
      </w:r>
    </w:p>
    <w:p w14:paraId="35737DC2" w14:textId="03E28AD6" w:rsidR="00421543" w:rsidRPr="00EB1928" w:rsidRDefault="00421543" w:rsidP="00EB1928">
      <w:pPr>
        <w:pStyle w:val="Policybulletlevel2"/>
      </w:pPr>
      <w:r w:rsidRPr="00F956AE">
        <w:rPr>
          <w:b/>
        </w:rPr>
        <w:t>Service review</w:t>
      </w:r>
      <w:r>
        <w:t>:</w:t>
      </w:r>
      <w:r w:rsidRPr="008B5D69">
        <w:t xml:space="preserve"> </w:t>
      </w:r>
      <w:r>
        <w:t>consists of a Structured Judgement Review of 3</w:t>
      </w:r>
      <w:r w:rsidRPr="008B5D69">
        <w:t>0–</w:t>
      </w:r>
      <w:r>
        <w:t>4</w:t>
      </w:r>
      <w:r w:rsidRPr="008B5D69">
        <w:t xml:space="preserve">0 cases </w:t>
      </w:r>
      <w:r>
        <w:t xml:space="preserve">(or the maximum number available at the time of review if less than 30 cases) to enable the </w:t>
      </w:r>
      <w:r w:rsidRPr="008B5D69">
        <w:t>produc</w:t>
      </w:r>
      <w:r>
        <w:t>tion of</w:t>
      </w:r>
      <w:r w:rsidRPr="008B5D69">
        <w:t xml:space="preserve"> breadth and depth of information</w:t>
      </w:r>
      <w:r>
        <w:t xml:space="preserve"> regarding a service, area of care or management of a medical condition. After an initial review it will be decided by the clinician leading the review if a repeat review is required the following year </w:t>
      </w:r>
      <w:r w:rsidRPr="00EB1928">
        <w:t>other than high risk groups which will be reviewed yearly.</w:t>
      </w:r>
    </w:p>
    <w:p w14:paraId="2AAC58D7" w14:textId="206F999D" w:rsidR="00042C20" w:rsidRDefault="008B5D69" w:rsidP="00EB1928">
      <w:pPr>
        <w:pStyle w:val="Policybulletlevel2"/>
      </w:pPr>
      <w:r w:rsidRPr="00227F4E">
        <w:rPr>
          <w:b/>
        </w:rPr>
        <w:t>S</w:t>
      </w:r>
      <w:r w:rsidR="006B2BE7" w:rsidRPr="00227F4E">
        <w:rPr>
          <w:b/>
        </w:rPr>
        <w:t xml:space="preserve">tructured </w:t>
      </w:r>
      <w:r w:rsidRPr="00227F4E">
        <w:rPr>
          <w:b/>
        </w:rPr>
        <w:t>J</w:t>
      </w:r>
      <w:r w:rsidR="006B2BE7" w:rsidRPr="00227F4E">
        <w:rPr>
          <w:b/>
        </w:rPr>
        <w:t xml:space="preserve">udgement </w:t>
      </w:r>
      <w:r w:rsidRPr="00227F4E">
        <w:rPr>
          <w:b/>
        </w:rPr>
        <w:t>R</w:t>
      </w:r>
      <w:r w:rsidR="006B2BE7" w:rsidRPr="00227F4E">
        <w:rPr>
          <w:b/>
        </w:rPr>
        <w:t>eview</w:t>
      </w:r>
      <w:r w:rsidR="00F25662" w:rsidRPr="00227F4E">
        <w:rPr>
          <w:b/>
        </w:rPr>
        <w:t xml:space="preserve"> (SJR):</w:t>
      </w:r>
      <w:r w:rsidR="00F25662" w:rsidRPr="00EB1928">
        <w:t xml:space="preserve"> </w:t>
      </w:r>
      <w:r w:rsidR="00AF7A09" w:rsidRPr="00EB1928">
        <w:t xml:space="preserve">The SJR is a tool used by trained reviewers to review the </w:t>
      </w:r>
      <w:r w:rsidR="00D75025" w:rsidRPr="00EB1928">
        <w:t>patient</w:t>
      </w:r>
      <w:r w:rsidR="00D00955" w:rsidRPr="00EB1928">
        <w:t xml:space="preserve"> </w:t>
      </w:r>
      <w:r w:rsidR="00AF7A09" w:rsidRPr="00EB1928">
        <w:t>record in a critical manner commenting on specific phases of clinical ca</w:t>
      </w:r>
      <w:r w:rsidR="00AF7A09" w:rsidRPr="00AF7A09">
        <w:t>re</w:t>
      </w:r>
      <w:r w:rsidR="00F25662">
        <w:t>. The process</w:t>
      </w:r>
      <w:r w:rsidR="00AF7A09" w:rsidRPr="00AF7A09">
        <w:t xml:space="preserve"> </w:t>
      </w:r>
      <w:r w:rsidRPr="008B5D69">
        <w:t xml:space="preserve">provides </w:t>
      </w:r>
      <w:r w:rsidR="00D75025">
        <w:t xml:space="preserve">end data on </w:t>
      </w:r>
      <w:r w:rsidRPr="008B5D69">
        <w:t>both quantitative and qualitative information on care that goes well, or not so well</w:t>
      </w:r>
      <w:r>
        <w:t xml:space="preserve"> and</w:t>
      </w:r>
      <w:r w:rsidRPr="008B5D69">
        <w:t xml:space="preserve"> examines both interventions and holistic care – which means that the whole record </w:t>
      </w:r>
      <w:r>
        <w:t>is</w:t>
      </w:r>
      <w:r w:rsidRPr="008B5D69">
        <w:t xml:space="preserve"> reviewed, including nursing notes</w:t>
      </w:r>
      <w:r>
        <w:t xml:space="preserve">. </w:t>
      </w:r>
      <w:r w:rsidR="00D75025">
        <w:t xml:space="preserve">The reviewer will also consider the </w:t>
      </w:r>
      <w:r w:rsidR="002A2588">
        <w:t>avoidability</w:t>
      </w:r>
      <w:r w:rsidR="00D75025">
        <w:t xml:space="preserve"> of death. </w:t>
      </w:r>
      <w:r w:rsidRPr="008B5D69">
        <w:t>SJR is usually based on one reviewer’s judgement, with a second-stage review where there is cause for concern at first review</w:t>
      </w:r>
      <w:r w:rsidR="00B14465">
        <w:t>.</w:t>
      </w:r>
    </w:p>
    <w:p w14:paraId="30D8F005" w14:textId="5A07915D" w:rsidR="00793606" w:rsidRDefault="00C57260" w:rsidP="00EB1928">
      <w:pPr>
        <w:pStyle w:val="Policybulletlevel2"/>
      </w:pPr>
      <w:r w:rsidRPr="00F956AE">
        <w:rPr>
          <w:b/>
        </w:rPr>
        <w:lastRenderedPageBreak/>
        <w:t>Timely</w:t>
      </w:r>
      <w:r>
        <w:t xml:space="preserve">: </w:t>
      </w:r>
      <w:r w:rsidR="000B170D">
        <w:t>C</w:t>
      </w:r>
      <w:r w:rsidRPr="00C57260">
        <w:t xml:space="preserve">ases </w:t>
      </w:r>
      <w:r w:rsidR="000B170D">
        <w:t xml:space="preserve">reviewed </w:t>
      </w:r>
      <w:r w:rsidR="008377EC">
        <w:t>as close to death as possible</w:t>
      </w:r>
      <w:r w:rsidRPr="00C57260">
        <w:t>, in view of potential duty of candour needs</w:t>
      </w:r>
      <w:r w:rsidR="00166B16">
        <w:t xml:space="preserve">. </w:t>
      </w:r>
      <w:r w:rsidR="00166B16" w:rsidRPr="00EB1928">
        <w:t>Ideally</w:t>
      </w:r>
      <w:r w:rsidR="005D149B">
        <w:t>,</w:t>
      </w:r>
      <w:r w:rsidR="00166B16">
        <w:t xml:space="preserve"> within six</w:t>
      </w:r>
      <w:r w:rsidR="00AF7A09">
        <w:t xml:space="preserve"> weeks of death or in cases </w:t>
      </w:r>
      <w:r w:rsidR="00166B16">
        <w:t xml:space="preserve">selected as a result </w:t>
      </w:r>
      <w:r w:rsidR="00AF7A09">
        <w:t>of cl</w:t>
      </w:r>
      <w:r w:rsidR="00166B16">
        <w:t xml:space="preserve">uster </w:t>
      </w:r>
      <w:r w:rsidR="00421543" w:rsidRPr="00F956AE">
        <w:t xml:space="preserve">or service </w:t>
      </w:r>
      <w:r w:rsidR="00166B16">
        <w:t>review selection within six weeks of selection.</w:t>
      </w:r>
    </w:p>
    <w:p w14:paraId="0D7CC756" w14:textId="77777777" w:rsidR="00901EDC" w:rsidRDefault="00730768" w:rsidP="00EB1928">
      <w:pPr>
        <w:pStyle w:val="Policyheader"/>
      </w:pPr>
      <w:bookmarkStart w:id="84" w:name="_Toc523986724"/>
      <w:bookmarkStart w:id="85" w:name="_Toc523989242"/>
      <w:bookmarkStart w:id="86" w:name="_Toc94693628"/>
      <w:r w:rsidRPr="00D5698E">
        <w:t>Purpos</w:t>
      </w:r>
      <w:r w:rsidRPr="007A6A04">
        <w:t>e</w:t>
      </w:r>
      <w:r w:rsidRPr="00196CDD">
        <w:t xml:space="preserve"> and Scope</w:t>
      </w:r>
      <w:bookmarkEnd w:id="84"/>
      <w:bookmarkEnd w:id="85"/>
      <w:bookmarkEnd w:id="86"/>
    </w:p>
    <w:p w14:paraId="06F7E7B7" w14:textId="4B665852" w:rsidR="005C4066" w:rsidRDefault="00F94DDB" w:rsidP="00EB1928">
      <w:pPr>
        <w:pStyle w:val="Policybulletlevel2"/>
      </w:pPr>
      <w:r>
        <w:t xml:space="preserve">The Trust is required to demonstrate how it responds to, and learns from, deaths of people who either die while in our care or whose subsequent death may be attributable to our care.  This policy outlines the </w:t>
      </w:r>
      <w:r w:rsidR="005C4066">
        <w:t>minimum</w:t>
      </w:r>
      <w:r>
        <w:t xml:space="preserve"> number and</w:t>
      </w:r>
      <w:r w:rsidR="005C4066">
        <w:t xml:space="preserve"> the categories of deaths</w:t>
      </w:r>
      <w:r>
        <w:t xml:space="preserve"> that</w:t>
      </w:r>
      <w:r w:rsidR="005C4066">
        <w:t xml:space="preserve"> should be reviewed:</w:t>
      </w:r>
    </w:p>
    <w:p w14:paraId="6F81172B" w14:textId="14DD528A" w:rsidR="005C4066" w:rsidRPr="00EB1928" w:rsidRDefault="005C4066" w:rsidP="00EB1928">
      <w:pPr>
        <w:pStyle w:val="PolicybulletLevel3"/>
        <w:ind w:left="1701"/>
      </w:pPr>
      <w:r w:rsidRPr="00D00955">
        <w:t>All deaths where bereaved families and carers, or s</w:t>
      </w:r>
      <w:r w:rsidR="00F94DDB" w:rsidRPr="00D00955">
        <w:t xml:space="preserve">taff, have raised a </w:t>
      </w:r>
      <w:r w:rsidR="00F94DDB" w:rsidRPr="00EB1928">
        <w:t xml:space="preserve">significant </w:t>
      </w:r>
      <w:r w:rsidRPr="00EB1928">
        <w:t>concern about the quality of care provision;</w:t>
      </w:r>
    </w:p>
    <w:p w14:paraId="4662B598" w14:textId="09B4374D" w:rsidR="005C4066" w:rsidRPr="00EB1928" w:rsidRDefault="005C4066" w:rsidP="00EB1928">
      <w:pPr>
        <w:pStyle w:val="PolicybulletLevel3"/>
        <w:ind w:left="1701"/>
      </w:pPr>
      <w:r w:rsidRPr="00EB1928">
        <w:t>All deaths of those with learning disabilities and with severe mental illness;</w:t>
      </w:r>
    </w:p>
    <w:p w14:paraId="53DD747D" w14:textId="61BA3D2B" w:rsidR="00602E58" w:rsidRPr="00EB1928" w:rsidRDefault="00602E58" w:rsidP="00EB1928">
      <w:pPr>
        <w:pStyle w:val="PolicybulletLevel3"/>
        <w:ind w:left="1701"/>
      </w:pPr>
      <w:r w:rsidRPr="00EB1928">
        <w:t xml:space="preserve">All deaths which are subject to a </w:t>
      </w:r>
      <w:r w:rsidR="00421543" w:rsidRPr="00EB1928">
        <w:t>Her Majesty’s C</w:t>
      </w:r>
      <w:r w:rsidRPr="00EB1928">
        <w:t>oroner</w:t>
      </w:r>
      <w:r w:rsidR="00421543" w:rsidRPr="00EB1928">
        <w:t>’</w:t>
      </w:r>
      <w:r w:rsidRPr="00EB1928">
        <w:t>s review;</w:t>
      </w:r>
    </w:p>
    <w:p w14:paraId="71CACB4E" w14:textId="40C97D4D" w:rsidR="005C4066" w:rsidRPr="00EB1928" w:rsidRDefault="005C4066" w:rsidP="00EB1928">
      <w:pPr>
        <w:pStyle w:val="PolicybulletLevel3"/>
        <w:ind w:left="1701"/>
      </w:pPr>
      <w:r w:rsidRPr="00EB1928">
        <w:t xml:space="preserve">All deaths in areas where people are not expected </w:t>
      </w:r>
      <w:r w:rsidR="00F94DDB" w:rsidRPr="00EB1928">
        <w:t xml:space="preserve">to die, for example in relevant </w:t>
      </w:r>
      <w:r w:rsidRPr="00EB1928">
        <w:t>elective procedures;</w:t>
      </w:r>
    </w:p>
    <w:p w14:paraId="0BE65EC2" w14:textId="7464D5A7" w:rsidR="00F234F1" w:rsidRPr="00EB1928" w:rsidRDefault="00F234F1" w:rsidP="00EB1928">
      <w:pPr>
        <w:pStyle w:val="PolicybulletLevel3"/>
        <w:ind w:left="1701"/>
      </w:pPr>
      <w:r w:rsidRPr="00EB1928">
        <w:t xml:space="preserve">All cardiac arrests </w:t>
      </w:r>
      <w:r w:rsidR="007002F6">
        <w:t xml:space="preserve">more than </w:t>
      </w:r>
      <w:r w:rsidRPr="00EB1928">
        <w:t>24hrs after admission to hospital</w:t>
      </w:r>
      <w:r w:rsidR="002F760B" w:rsidRPr="00EB1928">
        <w:t xml:space="preserve"> (Emergency Department </w:t>
      </w:r>
      <w:r w:rsidR="00A6183F" w:rsidRPr="00EB1928">
        <w:t xml:space="preserve">cardiac arrests </w:t>
      </w:r>
      <w:r w:rsidR="002F760B" w:rsidRPr="00EB1928">
        <w:t>will be included)</w:t>
      </w:r>
      <w:r w:rsidR="00F94DDB" w:rsidRPr="00EB1928">
        <w:t>;</w:t>
      </w:r>
      <w:r w:rsidR="002F760B" w:rsidRPr="00EB1928">
        <w:t xml:space="preserve"> </w:t>
      </w:r>
    </w:p>
    <w:p w14:paraId="1FCDEFDA" w14:textId="757AEA9E" w:rsidR="008E5F8E" w:rsidRPr="00EB1928" w:rsidRDefault="008E5F8E" w:rsidP="00EB1928">
      <w:pPr>
        <w:pStyle w:val="PolicybulletLevel3"/>
        <w:ind w:left="1701"/>
      </w:pPr>
      <w:r w:rsidRPr="00EB1928">
        <w:t xml:space="preserve">Through the Mortality </w:t>
      </w:r>
      <w:r w:rsidR="002F760B" w:rsidRPr="00EB1928">
        <w:t>Surveillance and Steering Group (MSSG)</w:t>
      </w:r>
      <w:r w:rsidRPr="00EB1928">
        <w:t xml:space="preserve">, all deaths where the senior coders have concerns during their process of coding the cause of death; </w:t>
      </w:r>
    </w:p>
    <w:p w14:paraId="3A773A97" w14:textId="0787A9D6" w:rsidR="00B14465" w:rsidRPr="00EB1928" w:rsidRDefault="00B14465" w:rsidP="00EB1928">
      <w:pPr>
        <w:pStyle w:val="PolicybulletLevel3"/>
        <w:ind w:left="1701"/>
      </w:pPr>
      <w:r w:rsidRPr="00EB1928">
        <w:t xml:space="preserve">A service </w:t>
      </w:r>
      <w:r w:rsidR="00421543" w:rsidRPr="00EB1928">
        <w:t xml:space="preserve">or cluster </w:t>
      </w:r>
      <w:r w:rsidRPr="00EB1928">
        <w:t>review of deaths in a service specialty, particular diagnosis or treatment group where an ‘al</w:t>
      </w:r>
      <w:r w:rsidR="002F760B" w:rsidRPr="00EB1928">
        <w:t>ert</w:t>
      </w:r>
      <w:r w:rsidRPr="00EB1928">
        <w:t>’ has been raised through whatever means (for example via a Summary Hospital-level Mortality Indicator or other elevated mortality alert, concerns raised by audit work, concerns raised by the CQC or another regulator, or where death has occurred linked to a Regulation 28 from the coroner (Report to Prevent Future Deaths);</w:t>
      </w:r>
    </w:p>
    <w:p w14:paraId="0B0F75C5" w14:textId="7A8B22B9" w:rsidR="000E1D9F" w:rsidRPr="00EB1928" w:rsidRDefault="006B2BE7" w:rsidP="00EB1928">
      <w:pPr>
        <w:pStyle w:val="PolicybulletLevel3"/>
        <w:ind w:left="1701"/>
      </w:pPr>
      <w:r w:rsidRPr="00EB1928">
        <w:t>A service review of d</w:t>
      </w:r>
      <w:r w:rsidR="000E1D9F" w:rsidRPr="00EB1928">
        <w:t>eaths classified as High</w:t>
      </w:r>
      <w:r w:rsidR="00D00955" w:rsidRPr="00EB1928">
        <w:t>-</w:t>
      </w:r>
      <w:r w:rsidR="000E1D9F" w:rsidRPr="00EB1928">
        <w:t xml:space="preserve">Risk Groups (HRGs), for example stroke, acute </w:t>
      </w:r>
      <w:r w:rsidR="00AE30E7" w:rsidRPr="00EB1928">
        <w:t>kidney injury</w:t>
      </w:r>
      <w:r w:rsidR="000E1D9F" w:rsidRPr="00EB1928">
        <w:t>, pneumonia, COPD, MI, fractured neck of femur, emergency laparotomy pathway;</w:t>
      </w:r>
    </w:p>
    <w:p w14:paraId="6B25C1E8" w14:textId="46C004F3" w:rsidR="005C4066" w:rsidRPr="00D00955" w:rsidRDefault="00176F9D" w:rsidP="00EB1928">
      <w:pPr>
        <w:pStyle w:val="PolicybulletLevel3"/>
        <w:ind w:left="1701"/>
      </w:pPr>
      <w:r w:rsidRPr="00EB1928">
        <w:t>A service</w:t>
      </w:r>
      <w:r w:rsidRPr="00D00955">
        <w:t xml:space="preserve"> review of d</w:t>
      </w:r>
      <w:r w:rsidR="005C4066" w:rsidRPr="00D00955">
        <w:t>eaths</w:t>
      </w:r>
      <w:r w:rsidRPr="00D00955">
        <w:t>,</w:t>
      </w:r>
      <w:r w:rsidR="005C4066" w:rsidRPr="00D00955">
        <w:t xml:space="preserve"> where learning will inform our existing or planned improvement work, for example improving sepsis care. In order to maximise learning, such deaths will be reviewed thematically;</w:t>
      </w:r>
    </w:p>
    <w:p w14:paraId="61340A51" w14:textId="7916CDA8" w:rsidR="002F760B" w:rsidRPr="00D00955" w:rsidRDefault="002F760B" w:rsidP="00EB1928">
      <w:pPr>
        <w:pStyle w:val="PolicybulletLevel3"/>
        <w:ind w:left="1701"/>
      </w:pPr>
      <w:r w:rsidRPr="00D00955">
        <w:t xml:space="preserve">A further random sample of other deaths that do not fit the identified categories so that the Trust can take an overview of where learning and </w:t>
      </w:r>
      <w:r w:rsidRPr="00D00955">
        <w:lastRenderedPageBreak/>
        <w:t>improvement is needed most. The aim is that this will be every 1 in 15 eligible deaths per speciality. The random sample size maybe adjusted and this would be approved by the MSSG</w:t>
      </w:r>
      <w:r w:rsidR="007002F6">
        <w:t>.</w:t>
      </w:r>
    </w:p>
    <w:p w14:paraId="10E42D1C" w14:textId="7ADC8FC0" w:rsidR="00D23ECA" w:rsidRDefault="00421543" w:rsidP="00EB1928">
      <w:pPr>
        <w:pStyle w:val="Policybulletlevel2"/>
      </w:pPr>
      <w:r w:rsidRPr="00F956AE">
        <w:t>Following the</w:t>
      </w:r>
      <w:r w:rsidR="005C4066" w:rsidRPr="00F956AE">
        <w:t xml:space="preserve"> introduction of the Medical Examiner role</w:t>
      </w:r>
      <w:r w:rsidRPr="00F956AE">
        <w:t xml:space="preserve">, all deaths are </w:t>
      </w:r>
      <w:r w:rsidR="002F760B" w:rsidRPr="00F956AE">
        <w:t>scrutin</w:t>
      </w:r>
      <w:r w:rsidR="002F6BE9">
        <w:t>i</w:t>
      </w:r>
      <w:r w:rsidR="002F760B" w:rsidRPr="00F956AE">
        <w:t>sed</w:t>
      </w:r>
      <w:r w:rsidRPr="00F956AE">
        <w:t xml:space="preserve"> by an independent Medical Examiner</w:t>
      </w:r>
      <w:r w:rsidR="00FF4C3A" w:rsidRPr="00F956AE">
        <w:t xml:space="preserve"> following discussions with the clinical teams and families</w:t>
      </w:r>
      <w:r w:rsidRPr="00F956AE">
        <w:t xml:space="preserve">. </w:t>
      </w:r>
      <w:r w:rsidR="00FF4C3A">
        <w:t>Refer to the Medical Examiners Policy for further detail</w:t>
      </w:r>
      <w:r w:rsidR="007002F6">
        <w:t>.</w:t>
      </w:r>
    </w:p>
    <w:p w14:paraId="1CA33AFB" w14:textId="77777777" w:rsidR="00D23ECA" w:rsidRDefault="00D23ECA" w:rsidP="00EB1928">
      <w:pPr>
        <w:pStyle w:val="Policybulletlevel2"/>
      </w:pPr>
      <w:r>
        <w:t>Th</w:t>
      </w:r>
      <w:r w:rsidR="00602E58">
        <w:t xml:space="preserve">is policy </w:t>
      </w:r>
      <w:r w:rsidR="00602E58" w:rsidRPr="00EB1928">
        <w:t>will</w:t>
      </w:r>
      <w:r w:rsidR="00602E58">
        <w:t xml:space="preserve"> ensure that:</w:t>
      </w:r>
    </w:p>
    <w:p w14:paraId="3D1A5E50" w14:textId="3CCFA123" w:rsidR="00D23ECA" w:rsidRPr="00EB1928" w:rsidRDefault="00D23ECA" w:rsidP="00EB1928">
      <w:pPr>
        <w:pStyle w:val="PolicybulletLevel3"/>
        <w:ind w:left="1701"/>
      </w:pPr>
      <w:r>
        <w:t xml:space="preserve">There will be consistency in the quality of patient mortality reviews within the </w:t>
      </w:r>
      <w:r w:rsidRPr="00EB1928">
        <w:t>Trust;</w:t>
      </w:r>
    </w:p>
    <w:p w14:paraId="37A10691" w14:textId="0465A179" w:rsidR="00D23ECA" w:rsidRPr="00EB1928" w:rsidRDefault="00D23ECA" w:rsidP="00EB1928">
      <w:pPr>
        <w:pStyle w:val="PolicybulletLevel3"/>
        <w:ind w:left="1701"/>
      </w:pPr>
      <w:r w:rsidRPr="00EB1928">
        <w:t>The outcome of such reviews will be clearly documented and archived;</w:t>
      </w:r>
    </w:p>
    <w:p w14:paraId="3785CAE8" w14:textId="49F045B2" w:rsidR="00D23ECA" w:rsidRPr="00EB1928" w:rsidRDefault="00D23ECA" w:rsidP="00EB1928">
      <w:pPr>
        <w:pStyle w:val="PolicybulletLevel3"/>
        <w:ind w:left="1701"/>
      </w:pPr>
      <w:r w:rsidRPr="00EB1928">
        <w:t>Clear reporting mechanisms will be in place, to escalate any areas of concern identified by mortality reviews, so that the organisation is aware and can ensure appropriate action is taken;</w:t>
      </w:r>
    </w:p>
    <w:p w14:paraId="22C60524" w14:textId="332B8AB3" w:rsidR="00D23ECA" w:rsidRPr="00EB1928" w:rsidRDefault="00D23ECA" w:rsidP="00EB1928">
      <w:pPr>
        <w:pStyle w:val="PolicybulletLevel3"/>
        <w:ind w:left="1701"/>
      </w:pPr>
      <w:r w:rsidRPr="00EB1928">
        <w:t>Mortality monitoring data is analysed and acted upon as appropriate;</w:t>
      </w:r>
    </w:p>
    <w:p w14:paraId="58C3394F" w14:textId="77777777" w:rsidR="00B0773C" w:rsidRDefault="00D23ECA" w:rsidP="00EB1928">
      <w:pPr>
        <w:pStyle w:val="PolicybulletLevel3"/>
        <w:ind w:left="1701"/>
      </w:pPr>
      <w:r w:rsidRPr="00EB1928">
        <w:t>Learning is</w:t>
      </w:r>
      <w:r>
        <w:t xml:space="preserve"> shared through the </w:t>
      </w:r>
      <w:r w:rsidR="00FF4C3A">
        <w:t>Trust</w:t>
      </w:r>
      <w:r>
        <w:t xml:space="preserve"> </w:t>
      </w:r>
      <w:r w:rsidR="00952AD7">
        <w:t>and any other relevant route</w:t>
      </w:r>
      <w:r w:rsidR="00FF4C3A">
        <w:t xml:space="preserve"> or external Health Care provisions</w:t>
      </w:r>
      <w:r w:rsidR="00227F4E">
        <w:t>.</w:t>
      </w:r>
    </w:p>
    <w:p w14:paraId="21C00E45" w14:textId="5B655BA8" w:rsidR="00D23ECA" w:rsidRPr="00901EDC" w:rsidRDefault="00B0773C" w:rsidP="00833013">
      <w:pPr>
        <w:pStyle w:val="Policybulletlevel2"/>
      </w:pPr>
      <w:r w:rsidRPr="00B0773C">
        <w:t>The policy applies to all staff whether they are employed by the Trust permanently, temporarily, through an agency or bank arrangement, are students on placement, are party to joint working arrangements or are contractors delivering services on the Trust’s behalf.</w:t>
      </w:r>
      <w:hyperlink w:history="1"/>
    </w:p>
    <w:p w14:paraId="5FF03EE3" w14:textId="77777777" w:rsidR="00901EDC" w:rsidRDefault="00301B89" w:rsidP="00EB1928">
      <w:pPr>
        <w:pStyle w:val="Policyheader"/>
      </w:pPr>
      <w:bookmarkStart w:id="87" w:name="_Toc523986725"/>
      <w:bookmarkStart w:id="88" w:name="_Toc523989243"/>
      <w:bookmarkStart w:id="89" w:name="_Toc94693629"/>
      <w:r w:rsidRPr="00EB1928">
        <w:t>Duties</w:t>
      </w:r>
      <w:bookmarkEnd w:id="87"/>
      <w:bookmarkEnd w:id="88"/>
      <w:bookmarkEnd w:id="89"/>
    </w:p>
    <w:p w14:paraId="1EA971CB" w14:textId="7FD4693B" w:rsidR="003F16C2" w:rsidRPr="00EB1928" w:rsidRDefault="007002F6" w:rsidP="00EB1928">
      <w:pPr>
        <w:pStyle w:val="Policybulletlevel2"/>
      </w:pPr>
      <w:r>
        <w:rPr>
          <w:b/>
        </w:rPr>
        <w:t xml:space="preserve">The Trust </w:t>
      </w:r>
      <w:r w:rsidR="003F16C2" w:rsidRPr="00833013">
        <w:rPr>
          <w:b/>
        </w:rPr>
        <w:t>Board of Directors</w:t>
      </w:r>
      <w:r w:rsidR="003F16C2">
        <w:t xml:space="preserve"> </w:t>
      </w:r>
      <w:r>
        <w:t xml:space="preserve">has </w:t>
      </w:r>
      <w:r w:rsidR="003F16C2">
        <w:t xml:space="preserve">overall responsibility for monitoring and learning from deaths </w:t>
      </w:r>
      <w:r w:rsidR="003F16C2" w:rsidRPr="00EB1928">
        <w:t>across the Trust.</w:t>
      </w:r>
    </w:p>
    <w:p w14:paraId="657F3EBA" w14:textId="77777777" w:rsidR="003F16C2" w:rsidRPr="00EB1928" w:rsidRDefault="003F16C2" w:rsidP="00EB1928">
      <w:pPr>
        <w:pStyle w:val="Policybulletlevel2"/>
      </w:pPr>
      <w:r w:rsidRPr="00833013">
        <w:rPr>
          <w:b/>
        </w:rPr>
        <w:t>A non-executive director</w:t>
      </w:r>
      <w:r w:rsidRPr="00EB1928">
        <w:t xml:space="preserve"> will be responsible for the oversight of the programme and to ensure that progress is made against the national recommendations.</w:t>
      </w:r>
    </w:p>
    <w:p w14:paraId="5D96586F" w14:textId="77777777" w:rsidR="001E7A62" w:rsidRPr="00EB1928" w:rsidRDefault="003F16C2" w:rsidP="00EB1928">
      <w:pPr>
        <w:pStyle w:val="Policybulletlevel2"/>
      </w:pPr>
      <w:r w:rsidRPr="00833013">
        <w:rPr>
          <w:b/>
        </w:rPr>
        <w:t xml:space="preserve">The </w:t>
      </w:r>
      <w:r w:rsidR="00421543" w:rsidRPr="00833013">
        <w:rPr>
          <w:b/>
        </w:rPr>
        <w:t xml:space="preserve">Chief </w:t>
      </w:r>
      <w:r w:rsidRPr="00833013">
        <w:rPr>
          <w:b/>
        </w:rPr>
        <w:t xml:space="preserve">Medical </w:t>
      </w:r>
      <w:r w:rsidR="00421543" w:rsidRPr="00833013">
        <w:rPr>
          <w:b/>
        </w:rPr>
        <w:t>Officer</w:t>
      </w:r>
      <w:r w:rsidRPr="00EB1928">
        <w:t xml:space="preserve"> is responsible for ensuring the Trust complies fully with all national requirements for the programme.</w:t>
      </w:r>
    </w:p>
    <w:p w14:paraId="6BCB859F" w14:textId="431D1D17" w:rsidR="001E7A62" w:rsidRPr="00EB1928" w:rsidRDefault="00EC3B23" w:rsidP="00EB1928">
      <w:pPr>
        <w:pStyle w:val="Policybulletlevel2"/>
      </w:pPr>
      <w:r w:rsidRPr="00833013">
        <w:rPr>
          <w:b/>
        </w:rPr>
        <w:t>The Mortality Surveillance and Steering Group</w:t>
      </w:r>
      <w:r w:rsidRPr="00EB1928">
        <w:t xml:space="preserve">, under the chairmanship of </w:t>
      </w:r>
      <w:r w:rsidR="00B328F1" w:rsidRPr="00EB1928">
        <w:t>the Chief Medical Officer representative</w:t>
      </w:r>
      <w:r w:rsidRPr="00EB1928">
        <w:t>, will be responsible for the review and monitoring of Trust learning from avoidable deaths. This group has the required multi-disciplinary and multi-professional membership and will continue to meet monthly to oversee the process.</w:t>
      </w:r>
    </w:p>
    <w:p w14:paraId="79D202CB" w14:textId="5C978D82" w:rsidR="00EC3B23" w:rsidRPr="00EB1928" w:rsidRDefault="00421543" w:rsidP="00EB1928">
      <w:pPr>
        <w:pStyle w:val="Policybulletlevel2"/>
      </w:pPr>
      <w:r w:rsidRPr="00833013">
        <w:rPr>
          <w:b/>
        </w:rPr>
        <w:lastRenderedPageBreak/>
        <w:t xml:space="preserve">Consultants appointed to the Learning from Deaths </w:t>
      </w:r>
      <w:r w:rsidR="00FF4C3A" w:rsidRPr="00833013">
        <w:rPr>
          <w:b/>
        </w:rPr>
        <w:t>P</w:t>
      </w:r>
      <w:r w:rsidRPr="00833013">
        <w:rPr>
          <w:b/>
        </w:rPr>
        <w:t>anel</w:t>
      </w:r>
      <w:r w:rsidRPr="00EB1928">
        <w:t xml:space="preserve"> are responsible for </w:t>
      </w:r>
      <w:r w:rsidR="00EC3B23" w:rsidRPr="00EB1928">
        <w:t xml:space="preserve">the completion of a second multidisciplinary review of patient deaths considered, on first review, to </w:t>
      </w:r>
      <w:r w:rsidR="00FF4C3A" w:rsidRPr="00EB1928">
        <w:t xml:space="preserve">have poor or very poor overall care or </w:t>
      </w:r>
      <w:r w:rsidR="00EC3B23" w:rsidRPr="00EB1928">
        <w:t xml:space="preserve">be potentially avoidable.  The Learning from Deaths </w:t>
      </w:r>
      <w:r w:rsidR="00FF4C3A" w:rsidRPr="00EB1928">
        <w:t>P</w:t>
      </w:r>
      <w:r w:rsidR="00EC3B23" w:rsidRPr="00EB1928">
        <w:t>anel will consider whether the patient death meets the criteria for reporting as a Serious Incident and escalate to the Serious Incident Panel; or whether learning should be taken forward via the speciality Mortality and Morbidity (M&amp;M) meeting</w:t>
      </w:r>
      <w:r w:rsidR="00A35332" w:rsidRPr="00EB1928">
        <w:t xml:space="preserve"> or any other relevant forum</w:t>
      </w:r>
      <w:r w:rsidR="00EC3B23" w:rsidRPr="00EB1928">
        <w:t>.</w:t>
      </w:r>
    </w:p>
    <w:p w14:paraId="08C22474" w14:textId="66F37318" w:rsidR="003F16C2" w:rsidRPr="00EB1928" w:rsidRDefault="00EC3B23" w:rsidP="00EB1928">
      <w:pPr>
        <w:pStyle w:val="Policybulletlevel2"/>
      </w:pPr>
      <w:r w:rsidRPr="00833013">
        <w:rPr>
          <w:b/>
        </w:rPr>
        <w:t>Co</w:t>
      </w:r>
      <w:r w:rsidR="003F16C2" w:rsidRPr="00833013">
        <w:rPr>
          <w:b/>
        </w:rPr>
        <w:t xml:space="preserve">nsultants and clinicians nominated as </w:t>
      </w:r>
      <w:r w:rsidR="00107533" w:rsidRPr="00833013">
        <w:rPr>
          <w:b/>
        </w:rPr>
        <w:t>SJR</w:t>
      </w:r>
      <w:r w:rsidR="003F16C2" w:rsidRPr="00833013">
        <w:rPr>
          <w:b/>
        </w:rPr>
        <w:t xml:space="preserve"> leads</w:t>
      </w:r>
      <w:r w:rsidR="003F16C2" w:rsidRPr="00EB1928">
        <w:t xml:space="preserve"> for the learning from deaths programme are responsible for </w:t>
      </w:r>
      <w:r w:rsidR="00107533" w:rsidRPr="00EB1928">
        <w:t xml:space="preserve">co-ordinating the </w:t>
      </w:r>
      <w:r w:rsidR="003F16C2" w:rsidRPr="00EB1928">
        <w:t xml:space="preserve">training </w:t>
      </w:r>
      <w:r w:rsidR="00107533" w:rsidRPr="00EB1928">
        <w:t xml:space="preserve">of </w:t>
      </w:r>
      <w:r w:rsidR="003F16C2" w:rsidRPr="00EB1928">
        <w:t>their colleagues in the process and ensuring the programme is delivered and functioning in line with national recommendations.</w:t>
      </w:r>
    </w:p>
    <w:p w14:paraId="1AFD2F9D" w14:textId="4137A201" w:rsidR="003F16C2" w:rsidRPr="00EB1928" w:rsidRDefault="00B6001C" w:rsidP="00EB1928">
      <w:pPr>
        <w:pStyle w:val="Policybulletlevel2"/>
      </w:pPr>
      <w:r w:rsidRPr="00833013">
        <w:rPr>
          <w:b/>
        </w:rPr>
        <w:t>S</w:t>
      </w:r>
      <w:r w:rsidR="003F16C2" w:rsidRPr="00833013">
        <w:rPr>
          <w:b/>
        </w:rPr>
        <w:t xml:space="preserve">enior medical staff </w:t>
      </w:r>
      <w:r w:rsidR="00012449" w:rsidRPr="00833013">
        <w:rPr>
          <w:b/>
        </w:rPr>
        <w:t xml:space="preserve">(ST4 and above) </w:t>
      </w:r>
      <w:r w:rsidRPr="00833013">
        <w:rPr>
          <w:b/>
        </w:rPr>
        <w:t>and senior members of other professional groups</w:t>
      </w:r>
      <w:r w:rsidR="00107533" w:rsidRPr="00EB1928">
        <w:t>, including band 7 and above nurses</w:t>
      </w:r>
      <w:r w:rsidR="00F956AE" w:rsidRPr="00EB1928">
        <w:t xml:space="preserve"> </w:t>
      </w:r>
      <w:r w:rsidR="003F16C2" w:rsidRPr="00EB1928">
        <w:t xml:space="preserve">will </w:t>
      </w:r>
      <w:r w:rsidR="00012449" w:rsidRPr="00EB1928">
        <w:t>be trained</w:t>
      </w:r>
      <w:r w:rsidR="00D8405D">
        <w:t xml:space="preserve"> by either the tier 1 SJR trainers or the LFD Facilitators</w:t>
      </w:r>
      <w:r w:rsidR="00012449" w:rsidRPr="00EB1928">
        <w:t xml:space="preserve"> and </w:t>
      </w:r>
      <w:r w:rsidR="003F16C2" w:rsidRPr="00EB1928">
        <w:t xml:space="preserve">participate in the process of </w:t>
      </w:r>
      <w:r w:rsidR="00107533" w:rsidRPr="00EB1928">
        <w:t>undertaking SJR’s</w:t>
      </w:r>
      <w:r w:rsidR="00F956AE" w:rsidRPr="00EB1928">
        <w:t xml:space="preserve"> </w:t>
      </w:r>
      <w:r w:rsidR="00257501" w:rsidRPr="00EB1928">
        <w:t xml:space="preserve">to support a thorough </w:t>
      </w:r>
      <w:r w:rsidR="00107533" w:rsidRPr="00EB1928">
        <w:t xml:space="preserve">and holistic </w:t>
      </w:r>
      <w:r w:rsidR="00257501" w:rsidRPr="00EB1928">
        <w:t>review process.</w:t>
      </w:r>
    </w:p>
    <w:p w14:paraId="0736F72F" w14:textId="5EAB3617" w:rsidR="00F70BA6" w:rsidRDefault="003F16C2" w:rsidP="00EB1928">
      <w:pPr>
        <w:pStyle w:val="Policybulletlevel2"/>
      </w:pPr>
      <w:r w:rsidRPr="00833013">
        <w:rPr>
          <w:b/>
        </w:rPr>
        <w:t>The role of Medical Examiners</w:t>
      </w:r>
      <w:r w:rsidR="00107533" w:rsidRPr="00EB1928">
        <w:t xml:space="preserve"> provides further clarity about which deaths should be reviewed by actively identifying and allocating appropriate cases through the </w:t>
      </w:r>
      <w:r w:rsidR="00D8405D">
        <w:t xml:space="preserve">completion of the ME1B form on the </w:t>
      </w:r>
      <w:r w:rsidR="00107533" w:rsidRPr="00EB1928">
        <w:t>EKHUFT Patient Tracking List</w:t>
      </w:r>
      <w:r w:rsidR="00580E46" w:rsidRPr="00EB1928">
        <w:t xml:space="preserve"> (PTL)</w:t>
      </w:r>
      <w:r w:rsidR="00107533" w:rsidRPr="00EB1928">
        <w:t xml:space="preserve"> </w:t>
      </w:r>
      <w:r w:rsidR="004368CA" w:rsidRPr="00EB1928">
        <w:t>(see screening criteria – Appendix 3)</w:t>
      </w:r>
      <w:r w:rsidR="000B451D">
        <w:t>.</w:t>
      </w:r>
      <w:r w:rsidR="004368CA" w:rsidRPr="00EB1928">
        <w:t xml:space="preserve"> </w:t>
      </w:r>
    </w:p>
    <w:p w14:paraId="7353E0D1" w14:textId="77777777" w:rsidR="00D8405D" w:rsidRDefault="00D8405D" w:rsidP="00D8405D">
      <w:pPr>
        <w:pStyle w:val="Policybulletlevel2"/>
      </w:pPr>
      <w:r>
        <w:rPr>
          <w:b/>
        </w:rPr>
        <w:t>Learning from Death (LFD) Facilitators</w:t>
      </w:r>
      <w:r w:rsidRPr="00313886">
        <w:t>:</w:t>
      </w:r>
      <w:r>
        <w:t xml:space="preserve"> Staff employed by the trust to work in close collaboration with the clinical staff within each speciality team to develop a systematic and collaborative review of mortality and morbidity cases using the nationally recognised Structured Judgement review methodology and to ensure that a learning platform is created for these cases through the Mortality and Morbidity meetings.</w:t>
      </w:r>
    </w:p>
    <w:p w14:paraId="01BB5388" w14:textId="7B0A29CA" w:rsidR="00D23ECA" w:rsidRDefault="00491B9B" w:rsidP="00EB1928">
      <w:pPr>
        <w:pStyle w:val="Policyheader"/>
      </w:pPr>
      <w:bookmarkStart w:id="90" w:name="_Toc94693630"/>
      <w:r>
        <w:t xml:space="preserve">Learning </w:t>
      </w:r>
      <w:r w:rsidRPr="00EB1928">
        <w:t>from</w:t>
      </w:r>
      <w:r>
        <w:t xml:space="preserve"> Deaths</w:t>
      </w:r>
      <w:r w:rsidR="00D23ECA">
        <w:t xml:space="preserve"> </w:t>
      </w:r>
      <w:r>
        <w:t>Process</w:t>
      </w:r>
      <w:bookmarkEnd w:id="90"/>
    </w:p>
    <w:p w14:paraId="0A80287B" w14:textId="34304312" w:rsidR="008B2B6B" w:rsidRPr="00EB1928" w:rsidRDefault="008B2B6B" w:rsidP="00EB1928">
      <w:pPr>
        <w:pStyle w:val="Policybulletlevel2"/>
      </w:pPr>
      <w:r w:rsidRPr="00F956AE">
        <w:t xml:space="preserve">An initial screening is completed </w:t>
      </w:r>
      <w:r w:rsidR="00107533" w:rsidRPr="00F956AE">
        <w:t xml:space="preserve">by the Medical </w:t>
      </w:r>
      <w:r w:rsidR="007002F6" w:rsidRPr="00F956AE">
        <w:t>Examin</w:t>
      </w:r>
      <w:r w:rsidR="007002F6">
        <w:t>er</w:t>
      </w:r>
      <w:r w:rsidR="007002F6" w:rsidRPr="00F956AE">
        <w:t xml:space="preserve"> </w:t>
      </w:r>
      <w:r w:rsidR="00107533" w:rsidRPr="00F956AE">
        <w:t xml:space="preserve">team </w:t>
      </w:r>
      <w:r w:rsidRPr="00F956AE">
        <w:t xml:space="preserve">via an electronic form </w:t>
      </w:r>
      <w:r w:rsidR="007B135B" w:rsidRPr="00F956AE">
        <w:t>on</w:t>
      </w:r>
      <w:r w:rsidR="00107533" w:rsidRPr="00F956AE">
        <w:t xml:space="preserve"> the PTL</w:t>
      </w:r>
      <w:r w:rsidR="007B135B" w:rsidRPr="00F956AE">
        <w:t xml:space="preserve"> </w:t>
      </w:r>
      <w:r w:rsidRPr="00F956AE">
        <w:t xml:space="preserve">to assess whether there is an indication that further review of the </w:t>
      </w:r>
      <w:r w:rsidRPr="00EB1928">
        <w:t>patient’s death may identify learning</w:t>
      </w:r>
      <w:r w:rsidR="007A64B4" w:rsidRPr="00EB1928">
        <w:t>. The criteria align to the national recommendations (see Appendix 3).</w:t>
      </w:r>
      <w:r w:rsidR="00107533" w:rsidRPr="00EB1928">
        <w:t xml:space="preserve"> Subsequent cases can be screened by the </w:t>
      </w:r>
      <w:r w:rsidR="00927D95">
        <w:t>L</w:t>
      </w:r>
      <w:r w:rsidR="000B451D">
        <w:t xml:space="preserve">earning </w:t>
      </w:r>
      <w:r w:rsidR="00927D95">
        <w:t>f</w:t>
      </w:r>
      <w:r w:rsidR="000B451D">
        <w:t xml:space="preserve">rom </w:t>
      </w:r>
      <w:r w:rsidR="00927D95">
        <w:t>D</w:t>
      </w:r>
      <w:r w:rsidR="000B451D">
        <w:t>eath</w:t>
      </w:r>
      <w:r w:rsidR="00927D95" w:rsidRPr="00EB1928">
        <w:t xml:space="preserve"> </w:t>
      </w:r>
      <w:r w:rsidR="00107533" w:rsidRPr="00EB1928">
        <w:t>Facilitators should a cause for concern arise or the case forms part of a cluster review.</w:t>
      </w:r>
    </w:p>
    <w:p w14:paraId="719DA045" w14:textId="5754ECDE" w:rsidR="005771DC" w:rsidRPr="00EB1928" w:rsidRDefault="005771DC" w:rsidP="00EB1928">
      <w:pPr>
        <w:pStyle w:val="Policybulletlevel2"/>
      </w:pPr>
      <w:r w:rsidRPr="00EB1928">
        <w:t xml:space="preserve">The Trust </w:t>
      </w:r>
      <w:r w:rsidR="008B2B6B" w:rsidRPr="00EB1928">
        <w:t xml:space="preserve">has adopted </w:t>
      </w:r>
      <w:r w:rsidRPr="00EB1928">
        <w:t xml:space="preserve">a modified version of the </w:t>
      </w:r>
      <w:r w:rsidR="007002F6">
        <w:t>SJR</w:t>
      </w:r>
      <w:r w:rsidR="008B2B6B" w:rsidRPr="00EB1928">
        <w:t xml:space="preserve"> tool.  The SJR tool is completed via an electronic form online accessible from </w:t>
      </w:r>
      <w:r w:rsidR="00107533" w:rsidRPr="00EB1928">
        <w:t xml:space="preserve">the </w:t>
      </w:r>
      <w:r w:rsidR="00580E46" w:rsidRPr="00EB1928">
        <w:t>Mortality</w:t>
      </w:r>
      <w:r w:rsidR="00107533" w:rsidRPr="00EB1928">
        <w:t xml:space="preserve"> PTL</w:t>
      </w:r>
      <w:r w:rsidR="00580E46" w:rsidRPr="00EB1928">
        <w:t xml:space="preserve"> (SJR Live tab)</w:t>
      </w:r>
      <w:r w:rsidR="00107533" w:rsidRPr="00EB1928">
        <w:t>.</w:t>
      </w:r>
      <w:r w:rsidR="008B2B6B" w:rsidRPr="00EB1928">
        <w:t xml:space="preserve">  The SJR tool prompts the reviewer to consider </w:t>
      </w:r>
      <w:r w:rsidR="00580E46" w:rsidRPr="00EB1928">
        <w:t xml:space="preserve">various elements of care, </w:t>
      </w:r>
      <w:r w:rsidR="00923FDD" w:rsidRPr="00EB1928">
        <w:t xml:space="preserve">identify </w:t>
      </w:r>
      <w:r w:rsidR="00580E46" w:rsidRPr="00EB1928">
        <w:t>any problems of care</w:t>
      </w:r>
      <w:r w:rsidR="00923FDD" w:rsidRPr="00EB1928">
        <w:t>,</w:t>
      </w:r>
      <w:r w:rsidR="00580E46" w:rsidRPr="00EB1928">
        <w:t xml:space="preserve"> and provide an overall avoidability of death judgement score </w:t>
      </w:r>
      <w:r w:rsidR="00EF7108" w:rsidRPr="00EB1928">
        <w:t xml:space="preserve">(see Appendix </w:t>
      </w:r>
      <w:r w:rsidR="00EB0FA7" w:rsidRPr="00EB1928">
        <w:t>4</w:t>
      </w:r>
      <w:r w:rsidRPr="00EB1928">
        <w:t>).</w:t>
      </w:r>
    </w:p>
    <w:p w14:paraId="471A60A2" w14:textId="700FD2C4" w:rsidR="009F17DD" w:rsidRPr="00F956AE" w:rsidRDefault="005771DC" w:rsidP="00EB1928">
      <w:pPr>
        <w:pStyle w:val="Policybulletlevel2"/>
      </w:pPr>
      <w:r w:rsidRPr="00EB1928">
        <w:lastRenderedPageBreak/>
        <w:t xml:space="preserve">This </w:t>
      </w:r>
      <w:r w:rsidR="00491B9B" w:rsidRPr="00EB1928">
        <w:t xml:space="preserve">SJR </w:t>
      </w:r>
      <w:r w:rsidRPr="00EB1928">
        <w:t xml:space="preserve">methodology is robust and evidence-based </w:t>
      </w:r>
      <w:r w:rsidR="00491B9B" w:rsidRPr="00EB1928">
        <w:t>by the Royal College of Physicians in</w:t>
      </w:r>
      <w:r w:rsidR="00491B9B" w:rsidRPr="00F956AE">
        <w:t xml:space="preserve"> 2016 as a nationally recognised tool for both mortality and morbidity case reviews.  The reviews will</w:t>
      </w:r>
      <w:r w:rsidRPr="00F956AE">
        <w:t xml:space="preserve"> generate the information the Trust is required to publish</w:t>
      </w:r>
      <w:r w:rsidR="00E014E4" w:rsidRPr="00F956AE">
        <w:t>.  The annual Quality Account includes the number of deaths, reviews and deaths considered avoidable.  This report also includes the learning from the deaths considered to be avoidable.</w:t>
      </w:r>
    </w:p>
    <w:p w14:paraId="59F9EEDB" w14:textId="1C83C75C" w:rsidR="005771DC" w:rsidRPr="00EB1928" w:rsidRDefault="00491B9B" w:rsidP="00EB1928">
      <w:pPr>
        <w:pStyle w:val="Policybulletlevel2"/>
      </w:pPr>
      <w:r>
        <w:t xml:space="preserve">Senior </w:t>
      </w:r>
      <w:r w:rsidR="007002F6">
        <w:t>T</w:t>
      </w:r>
      <w:r w:rsidR="005771DC">
        <w:t>rust health professional staff will be trained to undertake case record reviews and act on what they learn</w:t>
      </w:r>
      <w:r>
        <w:t xml:space="preserve"> by interfacing their reviews with the Mortality and </w:t>
      </w:r>
      <w:r w:rsidRPr="00EB1928">
        <w:t xml:space="preserve">Morbidity (M&amp;M) </w:t>
      </w:r>
      <w:r w:rsidR="007002F6">
        <w:t>m</w:t>
      </w:r>
      <w:r w:rsidR="007002F6" w:rsidRPr="00EB1928">
        <w:t xml:space="preserve">eetings </w:t>
      </w:r>
      <w:r w:rsidRPr="00EB1928">
        <w:t>to identify the learning and ensure any changes in practice are embedded</w:t>
      </w:r>
      <w:r w:rsidR="005771DC" w:rsidRPr="00EB1928">
        <w:t>.</w:t>
      </w:r>
      <w:r w:rsidR="00B328F1" w:rsidRPr="00EB1928">
        <w:t xml:space="preserve"> </w:t>
      </w:r>
    </w:p>
    <w:p w14:paraId="644D36C0" w14:textId="77777777" w:rsidR="005771DC" w:rsidRPr="00EB1928" w:rsidRDefault="005771DC" w:rsidP="00EB1928">
      <w:pPr>
        <w:pStyle w:val="Policybulletlevel2"/>
      </w:pPr>
      <w:r w:rsidRPr="00EB1928">
        <w:t>To ensure objectivity case record reviews will be conducted by clinicians other than those directly involved in the care of the deceased.</w:t>
      </w:r>
    </w:p>
    <w:p w14:paraId="013A52DF" w14:textId="77777777" w:rsidR="005771DC" w:rsidRPr="00EB1928" w:rsidRDefault="005771DC" w:rsidP="00EB1928">
      <w:pPr>
        <w:pStyle w:val="Policybulletlevel2"/>
      </w:pPr>
      <w:r w:rsidRPr="00EB1928">
        <w:t>The judgement of whether a problem may have contributed to a death requires careful review of the care that was provided against the care that would have been expected at the time of death. Research has shown that when case record review identifies a death that may have been caused by problems in care, that death tends to be due to a series of problems none of which would be likely to have caused the death in isolation but which in combination can contribut</w:t>
      </w:r>
      <w:r w:rsidR="00EE68B7" w:rsidRPr="00EB1928">
        <w:t>e to the death of a patient</w:t>
      </w:r>
      <w:r w:rsidR="007B135B" w:rsidRPr="00EB1928">
        <w:t>.</w:t>
      </w:r>
    </w:p>
    <w:p w14:paraId="3589F6CD" w14:textId="0683C308" w:rsidR="007B135B" w:rsidRPr="00EB1928" w:rsidRDefault="007B135B" w:rsidP="00EB1928">
      <w:pPr>
        <w:pStyle w:val="Policybulletlevel2"/>
      </w:pPr>
      <w:r w:rsidRPr="00EB1928">
        <w:t xml:space="preserve">When a problem in care potentially contributing to the patient’s death is identified, </w:t>
      </w:r>
      <w:r w:rsidR="00E014E4" w:rsidRPr="00EB1928">
        <w:t xml:space="preserve">a second review will be </w:t>
      </w:r>
      <w:r w:rsidR="00491B9B" w:rsidRPr="00EB1928">
        <w:t>triggered</w:t>
      </w:r>
      <w:r w:rsidR="00E014E4" w:rsidRPr="00EB1928">
        <w:t xml:space="preserve"> and </w:t>
      </w:r>
      <w:r w:rsidR="00491B9B" w:rsidRPr="00EB1928">
        <w:t xml:space="preserve">the case </w:t>
      </w:r>
      <w:r w:rsidR="00E014E4" w:rsidRPr="00EB1928">
        <w:t>reviewed at the multidisciplinary Learning from Deaths panel</w:t>
      </w:r>
      <w:r w:rsidR="00491B9B" w:rsidRPr="00EB1928">
        <w:t>. This review may lead to a serious incident investigation or a relevant M&amp;M discussion</w:t>
      </w:r>
      <w:r w:rsidR="002F6BE9" w:rsidRPr="00EB1928">
        <w:t xml:space="preserve">. If a first review case identifies more than 50:50 avoidability the case will immediately be escalated as a possible SI </w:t>
      </w:r>
      <w:r w:rsidR="00E014E4" w:rsidRPr="00EB1928">
        <w:t>(see 5.5).</w:t>
      </w:r>
    </w:p>
    <w:p w14:paraId="08CDDC63" w14:textId="454C162E" w:rsidR="005771DC" w:rsidRPr="00EB1928" w:rsidRDefault="005771DC" w:rsidP="00EB1928">
      <w:pPr>
        <w:pStyle w:val="Policybulletlevel2"/>
      </w:pPr>
      <w:bookmarkStart w:id="91" w:name="_Hlk79592453"/>
      <w:r w:rsidRPr="00EB1928">
        <w:t xml:space="preserve">All deaths of </w:t>
      </w:r>
      <w:r w:rsidR="007002F6">
        <w:t>patients</w:t>
      </w:r>
      <w:r w:rsidR="007002F6" w:rsidRPr="00EB1928">
        <w:t xml:space="preserve"> </w:t>
      </w:r>
      <w:r w:rsidRPr="00EB1928">
        <w:t>with learning disabilities</w:t>
      </w:r>
      <w:r w:rsidR="005A6127" w:rsidRPr="00EB1928">
        <w:t xml:space="preserve"> (LD)</w:t>
      </w:r>
      <w:r w:rsidRPr="00EB1928">
        <w:t xml:space="preserve"> </w:t>
      </w:r>
      <w:r w:rsidR="005A6127" w:rsidRPr="00EB1928">
        <w:t>will be reviewed by the LD lead for the Trust using the SJR process and learning will be fed back into the relevant M&amp;M meetings</w:t>
      </w:r>
      <w:r w:rsidR="00D8405D">
        <w:t xml:space="preserve"> as well as reported to the national Learning Disability and Autistic People NHS programme (</w:t>
      </w:r>
      <w:proofErr w:type="spellStart"/>
      <w:r w:rsidR="00D8405D">
        <w:t>LeDeR</w:t>
      </w:r>
      <w:proofErr w:type="spellEnd"/>
      <w:r w:rsidR="00D8405D">
        <w:t xml:space="preserve">). </w:t>
      </w:r>
      <w:proofErr w:type="spellStart"/>
      <w:r w:rsidR="005A6127" w:rsidRPr="00EB1928">
        <w:t>LeDeR</w:t>
      </w:r>
      <w:proofErr w:type="spellEnd"/>
      <w:r w:rsidR="005A6127" w:rsidRPr="00EB1928">
        <w:t xml:space="preserve"> process see the flowchart (appendix </w:t>
      </w:r>
      <w:bookmarkEnd w:id="91"/>
      <w:r w:rsidR="00895E92">
        <w:t>5</w:t>
      </w:r>
      <w:r w:rsidR="005A6127" w:rsidRPr="00EB1928">
        <w:t>).</w:t>
      </w:r>
    </w:p>
    <w:p w14:paraId="4C927529" w14:textId="2DBB6689" w:rsidR="00CF0BA4" w:rsidRPr="00EB1928" w:rsidRDefault="005771DC" w:rsidP="00EB1928">
      <w:pPr>
        <w:pStyle w:val="Policybulletlevel2"/>
      </w:pPr>
      <w:r w:rsidRPr="00EB1928">
        <w:t xml:space="preserve">All </w:t>
      </w:r>
      <w:r w:rsidR="00491B9B" w:rsidRPr="00EB1928">
        <w:t xml:space="preserve">maternity and </w:t>
      </w:r>
      <w:r w:rsidRPr="00EB1928">
        <w:t xml:space="preserve">child deaths will be reviewed using the Trust </w:t>
      </w:r>
      <w:r w:rsidR="00EF7108" w:rsidRPr="00EB1928">
        <w:t xml:space="preserve">Death Review Process </w:t>
      </w:r>
      <w:r w:rsidR="00491B9B" w:rsidRPr="00EB1928">
        <w:t xml:space="preserve">in </w:t>
      </w:r>
      <w:r w:rsidR="00874334" w:rsidRPr="00EB1928">
        <w:t>th</w:t>
      </w:r>
      <w:r w:rsidR="00874334">
        <w:t>ose</w:t>
      </w:r>
      <w:r w:rsidR="00874334" w:rsidRPr="00EB1928">
        <w:t xml:space="preserve"> </w:t>
      </w:r>
      <w:r w:rsidR="00D8405D">
        <w:t xml:space="preserve">individual </w:t>
      </w:r>
      <w:proofErr w:type="gramStart"/>
      <w:r w:rsidR="00874334" w:rsidRPr="00EB1928">
        <w:t>specialit</w:t>
      </w:r>
      <w:r w:rsidR="00874334">
        <w:t>ies</w:t>
      </w:r>
      <w:proofErr w:type="gramEnd"/>
      <w:r w:rsidR="00D8405D">
        <w:t xml:space="preserve"> areas.</w:t>
      </w:r>
    </w:p>
    <w:p w14:paraId="5C8C6C99" w14:textId="4A82AB3A" w:rsidR="00F70BA6" w:rsidRPr="00EB1928" w:rsidRDefault="00CF0BA4" w:rsidP="00EB1928">
      <w:pPr>
        <w:pStyle w:val="Policybulletlevel2"/>
      </w:pPr>
      <w:bookmarkStart w:id="92" w:name="_Hlk78468830"/>
      <w:r w:rsidRPr="00EB1928">
        <w:t xml:space="preserve">Any Mortality cases under the Hospital at Home (H@H) team at the time of death or within </w:t>
      </w:r>
      <w:r w:rsidR="00A432BA" w:rsidRPr="00EB1928">
        <w:t>one</w:t>
      </w:r>
      <w:r w:rsidRPr="00EB1928">
        <w:t xml:space="preserve"> month of discharge from the H@H team will be referred to the Learning from Death Facilitators for consideration for SJR. If SJR is required the case will be presented at a relevant M&amp;M meeting with one of the H@H team present to identify any learning. </w:t>
      </w:r>
    </w:p>
    <w:p w14:paraId="11EFB155" w14:textId="098883F9" w:rsidR="00E56F74" w:rsidRPr="00EB1928" w:rsidRDefault="00E56F74" w:rsidP="00EB1928">
      <w:pPr>
        <w:pStyle w:val="Policybulletlevel2"/>
      </w:pPr>
      <w:r w:rsidRPr="00EB1928">
        <w:t xml:space="preserve">Specialities that have on average </w:t>
      </w:r>
      <w:r w:rsidR="00874334">
        <w:t>one</w:t>
      </w:r>
      <w:r w:rsidR="00874334" w:rsidRPr="00EB1928">
        <w:t xml:space="preserve"> </w:t>
      </w:r>
      <w:r w:rsidRPr="00EB1928">
        <w:t>eligible death</w:t>
      </w:r>
      <w:r w:rsidR="00874334">
        <w:t>,</w:t>
      </w:r>
      <w:r w:rsidRPr="00EB1928">
        <w:t xml:space="preserve"> or less</w:t>
      </w:r>
      <w:r w:rsidR="00874334">
        <w:t>,</w:t>
      </w:r>
      <w:r w:rsidRPr="00EB1928">
        <w:t xml:space="preserve"> a month will have all their cases screened for an SJR.</w:t>
      </w:r>
    </w:p>
    <w:p w14:paraId="7ED926C8" w14:textId="612B48A6" w:rsidR="002F6BE9" w:rsidRDefault="002F6BE9" w:rsidP="00EB1928">
      <w:pPr>
        <w:pStyle w:val="Policybulletlevel2"/>
      </w:pPr>
      <w:r w:rsidRPr="00EB1928">
        <w:lastRenderedPageBreak/>
        <w:t xml:space="preserve">Any </w:t>
      </w:r>
      <w:r w:rsidR="00CB15BB">
        <w:t>deaths</w:t>
      </w:r>
      <w:r w:rsidR="005E1D24" w:rsidRPr="00EB1928">
        <w:t xml:space="preserve"> out of hospital e</w:t>
      </w:r>
      <w:r w:rsidR="00874334">
        <w:t>.</w:t>
      </w:r>
      <w:r w:rsidR="005E1D24" w:rsidRPr="00EB1928">
        <w:t xml:space="preserve">g. in the community or hospice, where there is a concern </w:t>
      </w:r>
      <w:r w:rsidR="00CB15BB">
        <w:t xml:space="preserve">raised </w:t>
      </w:r>
      <w:r w:rsidR="005E1D24" w:rsidRPr="00EB1928">
        <w:t>around a recent in-hospital episode of care will be screened</w:t>
      </w:r>
      <w:r w:rsidR="00CB15BB">
        <w:t xml:space="preserve"> by the LFD facilitators</w:t>
      </w:r>
      <w:r w:rsidR="005E1D24" w:rsidRPr="00EB1928">
        <w:t xml:space="preserve"> for an SJR to be undertaken by the most relevant in-hospital clinician. The outcome </w:t>
      </w:r>
      <w:r w:rsidR="00CB15BB">
        <w:t xml:space="preserve">of this review </w:t>
      </w:r>
      <w:r w:rsidR="005E1D24" w:rsidRPr="00EB1928">
        <w:t xml:space="preserve">will be fed back </w:t>
      </w:r>
      <w:r w:rsidR="00CB15BB">
        <w:t xml:space="preserve">by the LFD Facilitators </w:t>
      </w:r>
      <w:r w:rsidR="005E1D24" w:rsidRPr="00EB1928">
        <w:t xml:space="preserve">to the </w:t>
      </w:r>
      <w:r w:rsidR="00CB15BB">
        <w:t xml:space="preserve">external </w:t>
      </w:r>
      <w:r w:rsidR="005E1D24" w:rsidRPr="00EB1928">
        <w:t>member</w:t>
      </w:r>
      <w:r w:rsidR="005E1D24">
        <w:t xml:space="preserve"> of staff </w:t>
      </w:r>
      <w:r w:rsidR="00CB15BB">
        <w:t xml:space="preserve">or team </w:t>
      </w:r>
      <w:r w:rsidR="005E1D24">
        <w:t xml:space="preserve">raising the concern and the case discussed at </w:t>
      </w:r>
      <w:r w:rsidR="00CB15BB">
        <w:t xml:space="preserve">the most relevant internal </w:t>
      </w:r>
      <w:r w:rsidR="005E1D24">
        <w:t>M&amp;M meeting.</w:t>
      </w:r>
    </w:p>
    <w:p w14:paraId="122F10FC" w14:textId="77777777" w:rsidR="005771DC" w:rsidRDefault="005771DC" w:rsidP="00EB1928">
      <w:pPr>
        <w:pStyle w:val="Policyheader"/>
      </w:pPr>
      <w:bookmarkStart w:id="93" w:name="_Toc94693631"/>
      <w:bookmarkStart w:id="94" w:name="_Toc523986727"/>
      <w:bookmarkStart w:id="95" w:name="_Toc523989245"/>
      <w:bookmarkEnd w:id="92"/>
      <w:r w:rsidRPr="00EB1928">
        <w:t>Interactions</w:t>
      </w:r>
      <w:r w:rsidRPr="005771DC">
        <w:t xml:space="preserve"> with </w:t>
      </w:r>
      <w:r>
        <w:t>B</w:t>
      </w:r>
      <w:r w:rsidRPr="005771DC">
        <w:t xml:space="preserve">ereaved </w:t>
      </w:r>
      <w:r>
        <w:t>F</w:t>
      </w:r>
      <w:r w:rsidRPr="005771DC">
        <w:t xml:space="preserve">amilies and </w:t>
      </w:r>
      <w:r>
        <w:t>C</w:t>
      </w:r>
      <w:r w:rsidRPr="005771DC">
        <w:t>arers</w:t>
      </w:r>
      <w:bookmarkEnd w:id="93"/>
    </w:p>
    <w:p w14:paraId="32AB6080" w14:textId="77777777" w:rsidR="005771DC" w:rsidRDefault="005771DC" w:rsidP="00EB1928">
      <w:pPr>
        <w:pStyle w:val="Policybulletlevel2"/>
      </w:pPr>
      <w:r>
        <w:t xml:space="preserve">The Trust will engage meaningfully and compassionately with bereaved families and </w:t>
      </w:r>
      <w:r w:rsidRPr="00EB1928">
        <w:t>carers</w:t>
      </w:r>
      <w:r>
        <w:t xml:space="preserve"> in relation to all stages of responding to a death.</w:t>
      </w:r>
    </w:p>
    <w:p w14:paraId="73A1D6E1" w14:textId="77777777" w:rsidR="005771DC" w:rsidRDefault="005771DC" w:rsidP="00EB1928">
      <w:pPr>
        <w:pStyle w:val="Policybulletlevel2"/>
      </w:pPr>
      <w:r>
        <w:t xml:space="preserve">Bereaved </w:t>
      </w:r>
      <w:r w:rsidRPr="00EB1928">
        <w:t>families</w:t>
      </w:r>
      <w:r>
        <w:t xml:space="preserve"> and carers will:</w:t>
      </w:r>
    </w:p>
    <w:p w14:paraId="22BD616A" w14:textId="131F6499" w:rsidR="005771DC" w:rsidRPr="00EB1928" w:rsidRDefault="00B50B91" w:rsidP="00EB1928">
      <w:pPr>
        <w:pStyle w:val="PolicybulletLevel3"/>
        <w:ind w:left="1701"/>
      </w:pPr>
      <w:r>
        <w:t>B</w:t>
      </w:r>
      <w:r w:rsidR="005771DC">
        <w:t xml:space="preserve">e </w:t>
      </w:r>
      <w:r w:rsidR="005771DC" w:rsidRPr="00EB1928">
        <w:t>treated as equal partners following bereavement;</w:t>
      </w:r>
    </w:p>
    <w:p w14:paraId="564ED3BB" w14:textId="366302D8" w:rsidR="005771DC" w:rsidRPr="00EB1928" w:rsidRDefault="00B50B91" w:rsidP="00EB1928">
      <w:pPr>
        <w:pStyle w:val="PolicybulletLevel3"/>
        <w:ind w:left="1701"/>
      </w:pPr>
      <w:r w:rsidRPr="00EB1928">
        <w:t>R</w:t>
      </w:r>
      <w:r w:rsidR="005771DC" w:rsidRPr="00EB1928">
        <w:t>eceive a clear, honest, compassionate and sensitive response in a sympathetic environment;</w:t>
      </w:r>
    </w:p>
    <w:p w14:paraId="291D9DED" w14:textId="0F70FA54" w:rsidR="005771DC" w:rsidRPr="00EB1928" w:rsidRDefault="00B50B91" w:rsidP="00EB1928">
      <w:pPr>
        <w:pStyle w:val="PolicybulletLevel3"/>
        <w:ind w:left="1701"/>
      </w:pPr>
      <w:r w:rsidRPr="00EB1928">
        <w:t>R</w:t>
      </w:r>
      <w:r w:rsidR="005771DC" w:rsidRPr="00EB1928">
        <w:t>eceive a high standard of bereavement care which respects confidentiality, values, culture and beliefs, including being offered appropriate support. This includes providing, offering or directing people to specialist suicide bereavement support</w:t>
      </w:r>
      <w:r w:rsidR="00E014E4" w:rsidRPr="00EB1928">
        <w:t>;</w:t>
      </w:r>
    </w:p>
    <w:p w14:paraId="704063A3" w14:textId="7C402488" w:rsidR="005771DC" w:rsidRPr="00EB1928" w:rsidRDefault="00B50B91" w:rsidP="00EB1928">
      <w:pPr>
        <w:pStyle w:val="PolicybulletLevel3"/>
        <w:ind w:left="1701"/>
      </w:pPr>
      <w:r w:rsidRPr="00EB1928">
        <w:t>B</w:t>
      </w:r>
      <w:r w:rsidR="005771DC" w:rsidRPr="00EB1928">
        <w:t>e informed of their right to raise concerns about the quality of care provided;</w:t>
      </w:r>
    </w:p>
    <w:p w14:paraId="713B5C8C" w14:textId="553BAB57" w:rsidR="005771DC" w:rsidRDefault="00B50B91" w:rsidP="00EB1928">
      <w:pPr>
        <w:pStyle w:val="PolicybulletLevel3"/>
        <w:ind w:left="1701"/>
      </w:pPr>
      <w:r w:rsidRPr="00EB1928">
        <w:t>R</w:t>
      </w:r>
      <w:r w:rsidR="005771DC" w:rsidRPr="00EB1928">
        <w:t>eceive timely,</w:t>
      </w:r>
      <w:r w:rsidR="005771DC">
        <w:t xml:space="preserve"> responsive contact and support in all aspects of an investigation process, with a single point of contact and liaison</w:t>
      </w:r>
      <w:r w:rsidR="00874334">
        <w:t>.</w:t>
      </w:r>
    </w:p>
    <w:p w14:paraId="0D5A5C47" w14:textId="4AA796AC" w:rsidR="005771DC" w:rsidRPr="00EB1928" w:rsidRDefault="005771DC" w:rsidP="00EB1928">
      <w:pPr>
        <w:pStyle w:val="Policybulletlevel2"/>
      </w:pPr>
      <w:r>
        <w:t>Bereaved families’ and carers’ views should help to inform decisions about whether a review or investigation is needed</w:t>
      </w:r>
      <w:r w:rsidR="005F108C">
        <w:t xml:space="preserve"> through discussions with the M</w:t>
      </w:r>
      <w:r w:rsidR="004C2816">
        <w:t xml:space="preserve">edical </w:t>
      </w:r>
      <w:r w:rsidR="005F108C">
        <w:t>E</w:t>
      </w:r>
      <w:r w:rsidR="004C2816">
        <w:t xml:space="preserve">xaminer </w:t>
      </w:r>
      <w:r w:rsidR="005F108C">
        <w:t>team</w:t>
      </w:r>
      <w:r w:rsidR="000374B2">
        <w:t>.</w:t>
      </w:r>
    </w:p>
    <w:p w14:paraId="5E92B52E" w14:textId="1A4C32A2" w:rsidR="005771DC" w:rsidRPr="00EB1928" w:rsidRDefault="005771DC" w:rsidP="00EB1928">
      <w:pPr>
        <w:pStyle w:val="Policybulletlevel2"/>
      </w:pPr>
      <w:r w:rsidRPr="00EB1928">
        <w:t>Bereaved families and carers should be partners in an investigation to the extent, and at whichever stages, that they wish to be involved, as they offer a unique and equally valid source of information and evidence that can better inform investigations</w:t>
      </w:r>
      <w:r w:rsidR="000374B2">
        <w:t>.</w:t>
      </w:r>
    </w:p>
    <w:p w14:paraId="3D3D980D" w14:textId="674C07CF" w:rsidR="005771DC" w:rsidRPr="00EB1928" w:rsidRDefault="005771DC" w:rsidP="00EB1928">
      <w:pPr>
        <w:pStyle w:val="Policybulletlevel2"/>
      </w:pPr>
      <w:r w:rsidRPr="00EB1928">
        <w:t>Bereaved families and carers who have experienced the investigation process will be supported to work in partnership with the Trust in delivering training for staff in supporting family and carer involvement where they want to.</w:t>
      </w:r>
    </w:p>
    <w:p w14:paraId="73DC91F0" w14:textId="783F24C6" w:rsidR="001C5713" w:rsidRPr="00EB1928" w:rsidRDefault="005F108C" w:rsidP="00EB1928">
      <w:pPr>
        <w:pStyle w:val="Policybulletlevel2"/>
      </w:pPr>
      <w:bookmarkStart w:id="96" w:name="_Hlk78467063"/>
      <w:r w:rsidRPr="00EB1928">
        <w:t xml:space="preserve">The SJR </w:t>
      </w:r>
      <w:r w:rsidR="0071188A" w:rsidRPr="00EB1928">
        <w:t xml:space="preserve">information can be considered as </w:t>
      </w:r>
      <w:r w:rsidRPr="00EB1928">
        <w:t xml:space="preserve">part of the investigation of an incident or </w:t>
      </w:r>
      <w:r w:rsidR="003E55A2" w:rsidRPr="00EB1928">
        <w:t xml:space="preserve">formal </w:t>
      </w:r>
      <w:r w:rsidRPr="00EB1928">
        <w:t>complaint</w:t>
      </w:r>
      <w:r w:rsidR="0071188A" w:rsidRPr="00EB1928">
        <w:t>. The SJR can be translated in the context of other information within the complaint response</w:t>
      </w:r>
      <w:r w:rsidR="008F25C7" w:rsidRPr="00EB1928">
        <w:t xml:space="preserve"> by the Patient </w:t>
      </w:r>
      <w:r w:rsidR="000374B2" w:rsidRPr="00EB1928">
        <w:t>Advi</w:t>
      </w:r>
      <w:r w:rsidR="000374B2">
        <w:t>c</w:t>
      </w:r>
      <w:r w:rsidR="000374B2" w:rsidRPr="00EB1928">
        <w:t xml:space="preserve">e </w:t>
      </w:r>
      <w:r w:rsidR="008F25C7" w:rsidRPr="00EB1928">
        <w:t xml:space="preserve">and Liaison Service Team. </w:t>
      </w:r>
      <w:r w:rsidR="0071188A" w:rsidRPr="00EB1928">
        <w:t xml:space="preserve"> </w:t>
      </w:r>
      <w:r w:rsidR="003E55A2" w:rsidRPr="00EB1928">
        <w:t>Refer to the Complaints Management Policy for more detail</w:t>
      </w:r>
      <w:r w:rsidR="0071188A" w:rsidRPr="00EB1928">
        <w:t xml:space="preserve"> of the complaints procedure</w:t>
      </w:r>
      <w:r w:rsidR="003E55A2" w:rsidRPr="00EB1928">
        <w:t>.</w:t>
      </w:r>
    </w:p>
    <w:p w14:paraId="4DC02970" w14:textId="6041CBB1" w:rsidR="0071188A" w:rsidRDefault="0071188A" w:rsidP="00EB1928">
      <w:pPr>
        <w:pStyle w:val="Policybulletlevel2"/>
      </w:pPr>
      <w:r w:rsidRPr="00EB1928">
        <w:lastRenderedPageBreak/>
        <w:t>Any bereaved family concerns that have not been signposted to the Complaints Management</w:t>
      </w:r>
      <w:r>
        <w:t xml:space="preserve"> team should be handled by the Care Group Governance teams and if SJR has been undertaken this can be translated in the context of other information to form part of the complaint response.</w:t>
      </w:r>
    </w:p>
    <w:p w14:paraId="7EFF0B9A" w14:textId="318C922C" w:rsidR="005771DC" w:rsidRDefault="005771DC" w:rsidP="00EB1928">
      <w:pPr>
        <w:pStyle w:val="Policyheader"/>
      </w:pPr>
      <w:bookmarkStart w:id="97" w:name="_Toc94693632"/>
      <w:bookmarkEnd w:id="96"/>
      <w:r w:rsidRPr="00EB1928">
        <w:t>Reporting</w:t>
      </w:r>
      <w:r>
        <w:t xml:space="preserve"> and </w:t>
      </w:r>
      <w:r w:rsidR="000374B2">
        <w:t>Governance A</w:t>
      </w:r>
      <w:r>
        <w:t>rrangements</w:t>
      </w:r>
      <w:bookmarkEnd w:id="97"/>
    </w:p>
    <w:p w14:paraId="5CE3C5C6" w14:textId="529423CF" w:rsidR="00CB15BB" w:rsidRDefault="00E014E4" w:rsidP="00EB1928">
      <w:pPr>
        <w:pStyle w:val="Policybulletlevel2"/>
      </w:pPr>
      <w:r>
        <w:t xml:space="preserve">The Mortality </w:t>
      </w:r>
      <w:r w:rsidR="008D3AA2">
        <w:t>Surveillance</w:t>
      </w:r>
      <w:r>
        <w:t xml:space="preserve"> and Steering Group</w:t>
      </w:r>
      <w:r w:rsidR="000374B2">
        <w:t xml:space="preserve"> (MSSG)</w:t>
      </w:r>
      <w:r w:rsidR="00CB15BB" w:rsidRPr="00CB15BB">
        <w:t xml:space="preserve"> </w:t>
      </w:r>
      <w:r w:rsidR="00CB15BB">
        <w:t>monitors the compliance with completion of SJRs and learning from SJRs by</w:t>
      </w:r>
      <w:r>
        <w:t xml:space="preserve"> receiv</w:t>
      </w:r>
      <w:r w:rsidR="00CB15BB">
        <w:t>ing</w:t>
      </w:r>
      <w:r>
        <w:t xml:space="preserve"> a monthly report </w:t>
      </w:r>
      <w:r w:rsidR="00CB15BB">
        <w:t>from the LFD Facilitators</w:t>
      </w:r>
      <w:r w:rsidR="008D3AA2">
        <w:t>.</w:t>
      </w:r>
      <w:bookmarkStart w:id="98" w:name="_Hlk79759513"/>
      <w:r w:rsidR="003C4DF0">
        <w:t xml:space="preserve"> </w:t>
      </w:r>
      <w:r w:rsidR="00CB15BB">
        <w:t xml:space="preserve">The standards being monitored include rates of Trust SJR completion rates, individual speciality SJR completion rates, progress on cases requiring a second review, speciality compliance with M&amp;M meetings, </w:t>
      </w:r>
      <w:r w:rsidR="00D24A7A">
        <w:t xml:space="preserve">identified </w:t>
      </w:r>
      <w:r w:rsidR="00CB15BB">
        <w:t xml:space="preserve">problems in care that </w:t>
      </w:r>
      <w:r w:rsidR="00D24A7A">
        <w:t>have caused harm.</w:t>
      </w:r>
    </w:p>
    <w:p w14:paraId="5D89FF40" w14:textId="77777777" w:rsidR="00CB15BB" w:rsidRDefault="008D3AA2" w:rsidP="00EB1928">
      <w:pPr>
        <w:pStyle w:val="Policybulletlevel2"/>
      </w:pPr>
      <w:r>
        <w:t xml:space="preserve">The Quality </w:t>
      </w:r>
      <w:r w:rsidR="00654F82" w:rsidRPr="00EB1928">
        <w:t xml:space="preserve">and Safety </w:t>
      </w:r>
      <w:r w:rsidRPr="00EB1928">
        <w:t xml:space="preserve">Committee </w:t>
      </w:r>
      <w:r w:rsidR="00654F82" w:rsidRPr="00EB1928">
        <w:t>and Trust Board</w:t>
      </w:r>
      <w:r w:rsidR="000374B2">
        <w:t xml:space="preserve"> of Directors</w:t>
      </w:r>
      <w:r w:rsidR="00654F82" w:rsidRPr="00EB1928">
        <w:t xml:space="preserve"> </w:t>
      </w:r>
      <w:r w:rsidRPr="00EB1928">
        <w:t xml:space="preserve">receive a </w:t>
      </w:r>
      <w:r w:rsidR="00654F82" w:rsidRPr="00EB1928">
        <w:t>quarterly</w:t>
      </w:r>
      <w:r w:rsidRPr="00EB1928">
        <w:t xml:space="preserve"> report from the Mortality Surveillance and Steering Group detailing </w:t>
      </w:r>
      <w:bookmarkEnd w:id="98"/>
      <w:r w:rsidR="00654F82" w:rsidRPr="00EB1928">
        <w:t xml:space="preserve">the </w:t>
      </w:r>
      <w:r w:rsidRPr="00EB1928">
        <w:t xml:space="preserve">mortality data measured using the Hospital Standardised Mortality Ratio (HMSR) via the Integrated Performance Report.  </w:t>
      </w:r>
    </w:p>
    <w:p w14:paraId="79DFCE1A" w14:textId="29272382" w:rsidR="00493C29" w:rsidRPr="00EB1928" w:rsidRDefault="008D3AA2" w:rsidP="00EB1928">
      <w:pPr>
        <w:pStyle w:val="Policybulletlevel2"/>
      </w:pPr>
      <w:r w:rsidRPr="00EB1928">
        <w:t>The Board</w:t>
      </w:r>
      <w:r w:rsidR="000374B2">
        <w:t xml:space="preserve"> of Directors</w:t>
      </w:r>
      <w:r w:rsidRPr="00EB1928">
        <w:t xml:space="preserve"> receives assurance regarding learning from deaths as part of the annual Quality Account review. </w:t>
      </w:r>
    </w:p>
    <w:p w14:paraId="1F25A843" w14:textId="78D07274" w:rsidR="00493C29" w:rsidRPr="00EB1928" w:rsidRDefault="00493C29" w:rsidP="00EB1928">
      <w:pPr>
        <w:pStyle w:val="Policybulletlevel2"/>
      </w:pPr>
      <w:r w:rsidRPr="00EB1928">
        <w:t xml:space="preserve">The Patient Safety Committee will receive </w:t>
      </w:r>
      <w:r w:rsidR="000374B2">
        <w:t>six-</w:t>
      </w:r>
      <w:r w:rsidRPr="00EB1928">
        <w:t>monthly reports from the MSSG on Learning from Deaths.</w:t>
      </w:r>
    </w:p>
    <w:p w14:paraId="21FA06DB" w14:textId="05BFBD6B" w:rsidR="0067092E" w:rsidRDefault="00313B64" w:rsidP="00EB1928">
      <w:pPr>
        <w:pStyle w:val="Policybulletlevel2"/>
      </w:pPr>
      <w:r w:rsidRPr="00EB1928">
        <w:t>The Chief</w:t>
      </w:r>
      <w:r>
        <w:t xml:space="preserve"> Executive Management Group will receive a </w:t>
      </w:r>
      <w:r w:rsidR="000D2135">
        <w:t xml:space="preserve">verbal </w:t>
      </w:r>
      <w:r>
        <w:t>update on Learning from Deaths and M&amp;M progress at each meeting</w:t>
      </w:r>
      <w:r w:rsidR="000D2135">
        <w:t>.</w:t>
      </w:r>
    </w:p>
    <w:p w14:paraId="226FD29A" w14:textId="77777777" w:rsidR="007F7897" w:rsidRPr="009B13EE" w:rsidRDefault="007F7897" w:rsidP="00EB1928">
      <w:pPr>
        <w:pStyle w:val="Policyheader"/>
        <w:rPr>
          <w:sz w:val="24"/>
        </w:rPr>
      </w:pPr>
      <w:bookmarkStart w:id="99" w:name="_Toc4687550"/>
      <w:bookmarkStart w:id="100" w:name="_Toc72850783"/>
      <w:bookmarkStart w:id="101" w:name="_Toc94693633"/>
      <w:r w:rsidRPr="009B13EE">
        <w:t xml:space="preserve">Policy </w:t>
      </w:r>
      <w:r w:rsidRPr="00EB1928">
        <w:t>Development</w:t>
      </w:r>
      <w:r w:rsidRPr="009B13EE">
        <w:t xml:space="preserve">, Approval and </w:t>
      </w:r>
      <w:bookmarkEnd w:id="99"/>
      <w:r>
        <w:t>Authorisation</w:t>
      </w:r>
      <w:bookmarkEnd w:id="100"/>
      <w:bookmarkEnd w:id="101"/>
      <w:r w:rsidRPr="009B13EE">
        <w:t xml:space="preserve"> </w:t>
      </w:r>
    </w:p>
    <w:bookmarkEnd w:id="94"/>
    <w:bookmarkEnd w:id="95"/>
    <w:p w14:paraId="1237D8C2" w14:textId="77777777" w:rsidR="00EE68B7" w:rsidRPr="003C4DF0" w:rsidRDefault="00DE2CA3" w:rsidP="000374B2">
      <w:pPr>
        <w:pStyle w:val="Policybulletlevel2"/>
      </w:pPr>
      <w:r w:rsidRPr="003C4DF0">
        <w:t xml:space="preserve">This policy will be approved by the </w:t>
      </w:r>
      <w:r w:rsidR="003A418F" w:rsidRPr="003C4DF0">
        <w:t xml:space="preserve">Patient Safety </w:t>
      </w:r>
      <w:r w:rsidR="00F94DDB" w:rsidRPr="003C4DF0">
        <w:t>Committee</w:t>
      </w:r>
      <w:r w:rsidR="003A418F" w:rsidRPr="003C4DF0">
        <w:t xml:space="preserve"> after appropriate consultation with the </w:t>
      </w:r>
      <w:r w:rsidRPr="003C4DF0">
        <w:t xml:space="preserve">Mortality </w:t>
      </w:r>
      <w:r w:rsidR="00E04F3D" w:rsidRPr="003C4DF0">
        <w:t xml:space="preserve">Surveillance and Steering </w:t>
      </w:r>
      <w:r w:rsidRPr="003C4DF0">
        <w:t xml:space="preserve">Group. </w:t>
      </w:r>
    </w:p>
    <w:p w14:paraId="03833F3B" w14:textId="10B20E9E" w:rsidR="00A51641" w:rsidRDefault="00A51641" w:rsidP="000374B2">
      <w:pPr>
        <w:pStyle w:val="Policybulletlevel2"/>
      </w:pPr>
      <w:r>
        <w:t xml:space="preserve">This policy will be ratified by the Policy </w:t>
      </w:r>
      <w:r w:rsidR="00EB1928">
        <w:t xml:space="preserve">Authorisation </w:t>
      </w:r>
      <w:r>
        <w:t>Group.</w:t>
      </w:r>
    </w:p>
    <w:p w14:paraId="5D1D691D" w14:textId="77777777" w:rsidR="00901EDC" w:rsidRDefault="00901EDC" w:rsidP="00EB1928">
      <w:pPr>
        <w:pStyle w:val="Policyheader"/>
      </w:pPr>
      <w:bookmarkStart w:id="102" w:name="_Toc523986728"/>
      <w:bookmarkStart w:id="103" w:name="_Toc523989246"/>
      <w:bookmarkStart w:id="104" w:name="_Toc94693634"/>
      <w:r w:rsidRPr="00D5698E">
        <w:t>Review</w:t>
      </w:r>
      <w:r w:rsidRPr="00AE6AAE">
        <w:t xml:space="preserve"> and </w:t>
      </w:r>
      <w:r w:rsidRPr="00EB1928">
        <w:t>Revision</w:t>
      </w:r>
      <w:r w:rsidRPr="00AE6AAE">
        <w:t xml:space="preserve"> Arrangements</w:t>
      </w:r>
      <w:bookmarkEnd w:id="102"/>
      <w:bookmarkEnd w:id="103"/>
      <w:bookmarkEnd w:id="104"/>
    </w:p>
    <w:p w14:paraId="4C565D98" w14:textId="65D15E76" w:rsidR="00EE68B7" w:rsidRPr="00EB1928" w:rsidRDefault="00EE68B7" w:rsidP="00EB1928">
      <w:pPr>
        <w:pStyle w:val="Policybulletlevel2"/>
      </w:pPr>
      <w:r w:rsidRPr="00EE68B7">
        <w:t xml:space="preserve">This policy will be </w:t>
      </w:r>
      <w:r w:rsidRPr="00EB1928">
        <w:t xml:space="preserve">reviewed after a </w:t>
      </w:r>
      <w:proofErr w:type="gramStart"/>
      <w:r w:rsidRPr="00EB1928">
        <w:t>three year</w:t>
      </w:r>
      <w:proofErr w:type="gramEnd"/>
      <w:r w:rsidRPr="00EB1928">
        <w:t xml:space="preserve"> period, or earlier where necessary due to changes in national guidance or organisational updates.</w:t>
      </w:r>
    </w:p>
    <w:p w14:paraId="2C21D466" w14:textId="0BFD221A" w:rsidR="007F7897" w:rsidRDefault="007F7897" w:rsidP="00EB1928">
      <w:pPr>
        <w:pStyle w:val="Policybulletlevel2"/>
      </w:pPr>
      <w:r w:rsidRPr="00EB1928">
        <w:t>It will be ratified by the P</w:t>
      </w:r>
      <w:r w:rsidRPr="007F7897">
        <w:t xml:space="preserve">olicy Authorisation Group every three years, or when there are significant changes and/or changes to underpinning legislation in accordance with the </w:t>
      </w:r>
      <w:r w:rsidRPr="007F7897">
        <w:lastRenderedPageBreak/>
        <w:t>policy for the Development and Management of Trust Policies (and other Procedural Documents).</w:t>
      </w:r>
    </w:p>
    <w:p w14:paraId="262DB248" w14:textId="77777777" w:rsidR="007F7897" w:rsidRDefault="007F7897" w:rsidP="00EB1928">
      <w:pPr>
        <w:pStyle w:val="Policyheader"/>
      </w:pPr>
      <w:bookmarkStart w:id="105" w:name="_Toc72850785"/>
      <w:bookmarkStart w:id="106" w:name="_Toc94693635"/>
      <w:bookmarkStart w:id="107" w:name="_Toc523986729"/>
      <w:bookmarkStart w:id="108" w:name="_Toc523989247"/>
      <w:r>
        <w:t xml:space="preserve">Policy </w:t>
      </w:r>
      <w:r w:rsidRPr="00EB1928">
        <w:t>Implementation</w:t>
      </w:r>
      <w:bookmarkEnd w:id="105"/>
      <w:bookmarkEnd w:id="106"/>
    </w:p>
    <w:bookmarkEnd w:id="107"/>
    <w:bookmarkEnd w:id="108"/>
    <w:p w14:paraId="682632D5" w14:textId="65EC894F" w:rsidR="007F7897" w:rsidRDefault="007F7897" w:rsidP="00EB1928">
      <w:pPr>
        <w:pStyle w:val="Policybulletlevel2"/>
      </w:pPr>
      <w:r w:rsidRPr="007F7897">
        <w:t xml:space="preserve">Refer to </w:t>
      </w:r>
      <w:r w:rsidRPr="00EB1928">
        <w:t>Appendix</w:t>
      </w:r>
      <w:r w:rsidRPr="007F7897">
        <w:t xml:space="preserve"> </w:t>
      </w:r>
      <w:r w:rsidR="00895E92">
        <w:t>6</w:t>
      </w:r>
    </w:p>
    <w:p w14:paraId="5DFDF14E" w14:textId="77777777" w:rsidR="00901EDC" w:rsidRDefault="00901EDC" w:rsidP="00EB1928">
      <w:pPr>
        <w:pStyle w:val="Policyheader"/>
      </w:pPr>
      <w:bookmarkStart w:id="109" w:name="_Toc523986730"/>
      <w:bookmarkStart w:id="110" w:name="_Toc523989248"/>
      <w:bookmarkStart w:id="111" w:name="_Toc94693636"/>
      <w:r w:rsidRPr="007F7897">
        <w:t>Docume</w:t>
      </w:r>
      <w:r w:rsidRPr="00A37AEE">
        <w:t xml:space="preserve">nt </w:t>
      </w:r>
      <w:r w:rsidRPr="00EB1928">
        <w:t>Control</w:t>
      </w:r>
      <w:r w:rsidRPr="00A37AEE">
        <w:t xml:space="preserve"> including Archiving Arrangements</w:t>
      </w:r>
      <w:bookmarkEnd w:id="109"/>
      <w:bookmarkEnd w:id="110"/>
      <w:bookmarkEnd w:id="111"/>
    </w:p>
    <w:p w14:paraId="721F17B2" w14:textId="77777777" w:rsidR="00D40ED0" w:rsidRPr="00EB1928" w:rsidRDefault="00D40ED0" w:rsidP="00EB1928">
      <w:pPr>
        <w:pStyle w:val="Policybulletlevel2"/>
      </w:pPr>
      <w:r w:rsidRPr="00CF5FEE">
        <w:t>This policy conform</w:t>
      </w:r>
      <w:r>
        <w:t>s</w:t>
      </w:r>
      <w:r w:rsidRPr="00CF5FEE">
        <w:t xml:space="preserve"> to the policy for the Development and Management of </w:t>
      </w:r>
      <w:r w:rsidRPr="00EB1928">
        <w:t xml:space="preserve">Procedural Documents. </w:t>
      </w:r>
    </w:p>
    <w:p w14:paraId="2DDD0A1E" w14:textId="77777777" w:rsidR="00D40ED0" w:rsidRPr="00EB1928" w:rsidRDefault="00D40ED0" w:rsidP="00EB1928">
      <w:pPr>
        <w:pStyle w:val="Policybulletlevel2"/>
      </w:pPr>
      <w:r w:rsidRPr="00EB1928">
        <w:t xml:space="preserve">Archiving of this policy will conform to the EKHUFT Information Lifecycle </w:t>
      </w:r>
      <w:r w:rsidR="002D69EB" w:rsidRPr="00EB1928">
        <w:t>policy, which</w:t>
      </w:r>
      <w:r w:rsidRPr="00EB1928">
        <w:t xml:space="preserve"> sets out EKHUFT’s policy on the management of its information.</w:t>
      </w:r>
    </w:p>
    <w:p w14:paraId="13D9DD85" w14:textId="77777777" w:rsidR="00EE68B7" w:rsidRPr="00EB1928" w:rsidRDefault="00EE68B7" w:rsidP="00EB1928">
      <w:pPr>
        <w:pStyle w:val="Policybulletlevel2"/>
      </w:pPr>
      <w:r w:rsidRPr="00EB1928">
        <w:t xml:space="preserve">The policy, in its previous form and future version formats, will be maintained in </w:t>
      </w:r>
      <w:r w:rsidR="001D561C" w:rsidRPr="00EB1928">
        <w:t>Trust’s policy management system.</w:t>
      </w:r>
      <w:r w:rsidRPr="00EB1928">
        <w:t xml:space="preserve"> </w:t>
      </w:r>
    </w:p>
    <w:p w14:paraId="2813E8C5" w14:textId="77777777" w:rsidR="00A51641" w:rsidRPr="00A37AEE" w:rsidRDefault="00A51641" w:rsidP="00EB1928">
      <w:pPr>
        <w:pStyle w:val="Policybulletlevel2"/>
      </w:pPr>
      <w:r w:rsidRPr="00EB1928">
        <w:t>This policy</w:t>
      </w:r>
      <w:r>
        <w:t xml:space="preserve"> will be uploaded to the Trust’s policy management system.</w:t>
      </w:r>
    </w:p>
    <w:p w14:paraId="1ED5A2E9" w14:textId="77777777" w:rsidR="00901EDC" w:rsidRDefault="00901EDC" w:rsidP="00EB1928">
      <w:pPr>
        <w:pStyle w:val="Policyheader"/>
      </w:pPr>
      <w:bookmarkStart w:id="112" w:name="_Toc523986731"/>
      <w:bookmarkStart w:id="113" w:name="_Toc523989249"/>
      <w:bookmarkStart w:id="114" w:name="_Toc94693637"/>
      <w:r w:rsidRPr="00901EDC">
        <w:t xml:space="preserve">Monitoring </w:t>
      </w:r>
      <w:r w:rsidRPr="00EB1928">
        <w:t>Compliance</w:t>
      </w:r>
      <w:bookmarkEnd w:id="112"/>
      <w:bookmarkEnd w:id="113"/>
      <w:bookmarkEnd w:id="114"/>
      <w:r w:rsidRPr="00901EDC">
        <w:t xml:space="preserve"> </w:t>
      </w:r>
    </w:p>
    <w:p w14:paraId="511A0DEB" w14:textId="4B6AC999" w:rsidR="00D24A7A" w:rsidRDefault="00D24A7A" w:rsidP="00EB1928">
      <w:pPr>
        <w:pStyle w:val="Policybulletlevel2"/>
      </w:pPr>
      <w:bookmarkStart w:id="115" w:name="_Hlk78468025"/>
      <w:r>
        <w:t>30% of EKUFT adult deaths (excluding maternity and child deaths) will be reviewed using the SJR process</w:t>
      </w:r>
      <w:r w:rsidR="0060680B">
        <w:t xml:space="preserve">, </w:t>
      </w:r>
      <w:r>
        <w:t xml:space="preserve">monitored </w:t>
      </w:r>
      <w:bookmarkStart w:id="116" w:name="_Hlk95989631"/>
      <w:r w:rsidR="0060680B">
        <w:t>by the</w:t>
      </w:r>
      <w:r w:rsidR="0060680B" w:rsidRPr="0060680B">
        <w:t xml:space="preserve"> </w:t>
      </w:r>
      <w:r w:rsidR="0060680B">
        <w:t xml:space="preserve">Mortality Surveillance and Steering Group as part of the monthly </w:t>
      </w:r>
      <w:r>
        <w:t>SJR report</w:t>
      </w:r>
      <w:bookmarkEnd w:id="116"/>
      <w:r>
        <w:t>.</w:t>
      </w:r>
    </w:p>
    <w:p w14:paraId="6EB922B8" w14:textId="5B49D293" w:rsidR="00D24A7A" w:rsidRDefault="00E02371" w:rsidP="00EB1928">
      <w:pPr>
        <w:pStyle w:val="Policybulletlevel2"/>
      </w:pPr>
      <w:r>
        <w:t>100% of</w:t>
      </w:r>
      <w:r w:rsidR="0060680B">
        <w:t xml:space="preserve"> SJR’s to be undertaken within six weeks of death, monitored through the SJR patient tracking list dashboard.</w:t>
      </w:r>
    </w:p>
    <w:p w14:paraId="027DC9CF" w14:textId="4C028FF9" w:rsidR="0060680B" w:rsidRDefault="0060680B" w:rsidP="00EB1928">
      <w:pPr>
        <w:pStyle w:val="Policybulletlevel2"/>
      </w:pPr>
      <w:r>
        <w:t>All speciality teams are compliant with the M&amp;M Terms of Reference, monitored by the</w:t>
      </w:r>
      <w:r w:rsidRPr="0060680B">
        <w:t xml:space="preserve"> </w:t>
      </w:r>
      <w:r>
        <w:t>Mortality Surveillance and Steering Group as part of the monthly SJR report.</w:t>
      </w:r>
    </w:p>
    <w:p w14:paraId="6FF7F476" w14:textId="77777777" w:rsidR="00901EDC" w:rsidRDefault="00901EDC" w:rsidP="00EB1928">
      <w:pPr>
        <w:pStyle w:val="Policyheader"/>
      </w:pPr>
      <w:bookmarkStart w:id="117" w:name="_Toc523986732"/>
      <w:bookmarkStart w:id="118" w:name="_Toc523989250"/>
      <w:bookmarkStart w:id="119" w:name="_Toc94693638"/>
      <w:bookmarkEnd w:id="115"/>
      <w:r w:rsidRPr="00EB1928">
        <w:t>References</w:t>
      </w:r>
      <w:bookmarkEnd w:id="117"/>
      <w:bookmarkEnd w:id="118"/>
      <w:bookmarkEnd w:id="119"/>
    </w:p>
    <w:p w14:paraId="166A5878" w14:textId="77777777" w:rsidR="00E21FC2" w:rsidRDefault="00E21FC2" w:rsidP="00BC0A7E">
      <w:pPr>
        <w:spacing w:line="288" w:lineRule="auto"/>
        <w:ind w:left="851"/>
      </w:pPr>
      <w:r>
        <w:t xml:space="preserve">Care Quality Commission (2016) </w:t>
      </w:r>
      <w:r w:rsidR="00EE68B7">
        <w:t xml:space="preserve">Learning, candour and accountability: A review of the way NHS trusts review and investigate the deaths of patients in England. </w:t>
      </w:r>
    </w:p>
    <w:p w14:paraId="08D0A1FA" w14:textId="77777777" w:rsidR="0057465C" w:rsidRDefault="00E21FC2" w:rsidP="00BC0A7E">
      <w:pPr>
        <w:spacing w:line="288" w:lineRule="auto"/>
        <w:ind w:left="851"/>
      </w:pPr>
      <w:r>
        <w:t xml:space="preserve">Available at: </w:t>
      </w:r>
      <w:hyperlink r:id="rId17" w:history="1">
        <w:r w:rsidR="00EE68B7" w:rsidRPr="007A4C86">
          <w:rPr>
            <w:rStyle w:val="Hyperlink"/>
          </w:rPr>
          <w:t>https://www.cqc.org.uk/sites/default/files/20161213-learning-candour-accountability-full-report.pdf</w:t>
        </w:r>
      </w:hyperlink>
    </w:p>
    <w:p w14:paraId="46E2B801" w14:textId="77777777" w:rsidR="00A8591F" w:rsidRDefault="00A8591F" w:rsidP="00BC0A7E">
      <w:pPr>
        <w:spacing w:line="288" w:lineRule="auto"/>
        <w:ind w:left="851"/>
      </w:pPr>
    </w:p>
    <w:p w14:paraId="02B9E372" w14:textId="1828ACA4" w:rsidR="00BC0A7E" w:rsidRDefault="00BC0A7E" w:rsidP="00BC0A7E">
      <w:pPr>
        <w:pStyle w:val="ListParagraph"/>
        <w:spacing w:line="288" w:lineRule="auto"/>
        <w:ind w:left="851"/>
        <w:rPr>
          <w:rStyle w:val="Hyperlink"/>
          <w:rFonts w:cs="Arial"/>
        </w:rPr>
      </w:pPr>
      <w:r w:rsidRPr="00631F74">
        <w:rPr>
          <w:rFonts w:cs="Arial"/>
        </w:rPr>
        <w:t>Healthcare Commission</w:t>
      </w:r>
      <w:r>
        <w:rPr>
          <w:rFonts w:cs="Arial"/>
        </w:rPr>
        <w:t xml:space="preserve"> (2009)</w:t>
      </w:r>
      <w:r w:rsidRPr="00631F74">
        <w:rPr>
          <w:rFonts w:cs="Arial"/>
        </w:rPr>
        <w:t xml:space="preserve"> Investigation </w:t>
      </w:r>
      <w:proofErr w:type="gramStart"/>
      <w:r w:rsidRPr="00631F74">
        <w:rPr>
          <w:rFonts w:cs="Arial"/>
        </w:rPr>
        <w:t>Into</w:t>
      </w:r>
      <w:proofErr w:type="gramEnd"/>
      <w:r w:rsidRPr="00631F74">
        <w:rPr>
          <w:rFonts w:cs="Arial"/>
        </w:rPr>
        <w:t xml:space="preserve"> Mid Staffordshire N</w:t>
      </w:r>
      <w:r>
        <w:rPr>
          <w:rFonts w:cs="Arial"/>
        </w:rPr>
        <w:t xml:space="preserve">HS Foundation Trust.  Available at: </w:t>
      </w:r>
      <w:hyperlink r:id="rId18" w:history="1">
        <w:r w:rsidRPr="008B4AB7">
          <w:rPr>
            <w:rStyle w:val="Hyperlink"/>
            <w:rFonts w:cs="Arial"/>
          </w:rPr>
          <w:t>https://cdn.ps.emap.com/wp-</w:t>
        </w:r>
        <w:r w:rsidRPr="008B4AB7">
          <w:rPr>
            <w:rStyle w:val="Hyperlink"/>
            <w:rFonts w:cs="Arial"/>
          </w:rPr>
          <w:lastRenderedPageBreak/>
          <w:t>content/uploads/sites/3/2009/06/Investigation_into_Mid_Staffordshire_NHS_Foundation_Trust.pdf</w:t>
        </w:r>
      </w:hyperlink>
    </w:p>
    <w:p w14:paraId="6B73D602" w14:textId="77777777" w:rsidR="00B0773C" w:rsidRDefault="00B0773C" w:rsidP="00BC0A7E">
      <w:pPr>
        <w:pStyle w:val="ListParagraph"/>
        <w:spacing w:line="288" w:lineRule="auto"/>
        <w:ind w:left="851"/>
        <w:rPr>
          <w:rFonts w:cs="Arial"/>
        </w:rPr>
      </w:pPr>
    </w:p>
    <w:p w14:paraId="3057412A" w14:textId="77777777" w:rsidR="00EE68B7" w:rsidRDefault="00EE68B7" w:rsidP="00BC0A7E">
      <w:pPr>
        <w:spacing w:line="288" w:lineRule="auto"/>
        <w:ind w:left="851"/>
      </w:pPr>
      <w:r>
        <w:t xml:space="preserve">Hogan H, Healey F, Neale G, </w:t>
      </w:r>
      <w:r w:rsidR="00BC0A7E">
        <w:t>Thomson R, Vincent C, Black N</w:t>
      </w:r>
      <w:r>
        <w:t xml:space="preserve">. </w:t>
      </w:r>
      <w:r w:rsidR="00E21FC2">
        <w:t xml:space="preserve">(2012) </w:t>
      </w:r>
      <w:r>
        <w:t>Preventable deaths due to problems in care in English acute hospitals: a retrospective case record review study. B</w:t>
      </w:r>
      <w:r w:rsidR="00E21FC2">
        <w:t xml:space="preserve">ritish Medical Journal </w:t>
      </w:r>
      <w:r>
        <w:t xml:space="preserve">Quality and Safety. </w:t>
      </w:r>
      <w:r w:rsidR="00BC0A7E" w:rsidRPr="00BC0A7E">
        <w:t xml:space="preserve">Sep;21(9):737-45. </w:t>
      </w:r>
      <w:proofErr w:type="spellStart"/>
      <w:r w:rsidR="00BC0A7E" w:rsidRPr="00BC0A7E">
        <w:t>doi</w:t>
      </w:r>
      <w:proofErr w:type="spellEnd"/>
      <w:r w:rsidR="00BC0A7E" w:rsidRPr="00BC0A7E">
        <w:t>: 10.1136/bmjqs-2011-001159</w:t>
      </w:r>
      <w:r w:rsidR="00E21FC2">
        <w:t xml:space="preserve">. Available at: </w:t>
      </w:r>
      <w:hyperlink r:id="rId19" w:history="1">
        <w:r w:rsidR="00E21FC2" w:rsidRPr="008B4AB7">
          <w:rPr>
            <w:rStyle w:val="Hyperlink"/>
          </w:rPr>
          <w:t>https://pubmed.ncbi.nlm.nih.gov/22927487/</w:t>
        </w:r>
      </w:hyperlink>
    </w:p>
    <w:p w14:paraId="1E6BBD4E" w14:textId="77777777" w:rsidR="00A8591F" w:rsidRDefault="00A8591F" w:rsidP="00BC0A7E">
      <w:pPr>
        <w:spacing w:line="288" w:lineRule="auto"/>
        <w:ind w:left="851"/>
      </w:pPr>
    </w:p>
    <w:p w14:paraId="264A2A09" w14:textId="77777777" w:rsidR="00C93F12" w:rsidRDefault="00C93F12" w:rsidP="00BC0A7E">
      <w:pPr>
        <w:spacing w:line="288" w:lineRule="auto"/>
        <w:ind w:left="851"/>
        <w:rPr>
          <w:rFonts w:cs="Arial"/>
        </w:rPr>
      </w:pPr>
      <w:r w:rsidRPr="00631F74">
        <w:rPr>
          <w:rFonts w:cs="Arial"/>
        </w:rPr>
        <w:t>Hogan</w:t>
      </w:r>
      <w:r w:rsidR="00BC0A7E">
        <w:rPr>
          <w:rFonts w:cs="Arial"/>
        </w:rPr>
        <w:t xml:space="preserve"> H, Zipfel R, </w:t>
      </w:r>
      <w:proofErr w:type="spellStart"/>
      <w:r w:rsidR="00BC0A7E">
        <w:rPr>
          <w:rFonts w:cs="Arial"/>
        </w:rPr>
        <w:t>Neuburger</w:t>
      </w:r>
      <w:proofErr w:type="spellEnd"/>
      <w:r w:rsidR="00BC0A7E">
        <w:rPr>
          <w:rFonts w:cs="Arial"/>
        </w:rPr>
        <w:t xml:space="preserve"> J, Hutchings A, Darzi A, Black N et al</w:t>
      </w:r>
      <w:r w:rsidRPr="00631F74">
        <w:rPr>
          <w:rFonts w:cs="Arial"/>
        </w:rPr>
        <w:t xml:space="preserve">. </w:t>
      </w:r>
      <w:r w:rsidR="00E21FC2">
        <w:rPr>
          <w:rFonts w:cs="Arial"/>
        </w:rPr>
        <w:t xml:space="preserve">(2015) </w:t>
      </w:r>
      <w:r w:rsidRPr="00631F74">
        <w:rPr>
          <w:rFonts w:cs="Arial"/>
        </w:rPr>
        <w:t>Avoidability of hospital deaths and association with hospital-wide mortality ratios: a retrospective case record</w:t>
      </w:r>
      <w:r w:rsidR="00BC0A7E">
        <w:rPr>
          <w:rFonts w:cs="Arial"/>
        </w:rPr>
        <w:t xml:space="preserve"> review and regression analysis. </w:t>
      </w:r>
      <w:r w:rsidRPr="00631F74">
        <w:rPr>
          <w:rFonts w:cs="Arial"/>
        </w:rPr>
        <w:t xml:space="preserve"> </w:t>
      </w:r>
      <w:r w:rsidR="00BC0A7E">
        <w:rPr>
          <w:rFonts w:cs="Arial"/>
        </w:rPr>
        <w:t xml:space="preserve">British Medical Journal, </w:t>
      </w:r>
      <w:r w:rsidR="00BC0A7E" w:rsidRPr="00BC0A7E">
        <w:rPr>
          <w:rFonts w:cs="Arial"/>
        </w:rPr>
        <w:t xml:space="preserve">Jul 14;351:h3239. </w:t>
      </w:r>
      <w:proofErr w:type="spellStart"/>
      <w:r w:rsidR="00BC0A7E" w:rsidRPr="00BC0A7E">
        <w:rPr>
          <w:rFonts w:cs="Arial"/>
        </w:rPr>
        <w:t>doi</w:t>
      </w:r>
      <w:proofErr w:type="spellEnd"/>
      <w:r w:rsidR="00BC0A7E" w:rsidRPr="00BC0A7E">
        <w:rPr>
          <w:rFonts w:cs="Arial"/>
        </w:rPr>
        <w:t>: 10.1136/bmj.h3239.</w:t>
      </w:r>
      <w:r w:rsidR="00BC0A7E">
        <w:rPr>
          <w:rFonts w:cs="Arial"/>
        </w:rPr>
        <w:t xml:space="preserve">  Available at: </w:t>
      </w:r>
      <w:hyperlink r:id="rId20" w:history="1">
        <w:r w:rsidR="00BC0A7E" w:rsidRPr="008B4AB7">
          <w:rPr>
            <w:rStyle w:val="Hyperlink"/>
            <w:rFonts w:cs="Arial"/>
          </w:rPr>
          <w:t>https://www.bmj.com/content/351/bmj.h3239/</w:t>
        </w:r>
      </w:hyperlink>
    </w:p>
    <w:p w14:paraId="063B66CD" w14:textId="77777777" w:rsidR="00BC0A7E" w:rsidRDefault="00BC0A7E" w:rsidP="00BC0A7E">
      <w:pPr>
        <w:spacing w:line="288" w:lineRule="auto"/>
        <w:ind w:left="851"/>
        <w:rPr>
          <w:rFonts w:cs="Arial"/>
        </w:rPr>
      </w:pPr>
    </w:p>
    <w:p w14:paraId="2FE37D8C" w14:textId="77777777" w:rsidR="00BC0A7E" w:rsidRDefault="00BC0A7E" w:rsidP="00BC0A7E">
      <w:pPr>
        <w:spacing w:line="288" w:lineRule="auto"/>
        <w:ind w:left="851"/>
      </w:pPr>
      <w:r>
        <w:t xml:space="preserve">National Quality Board (2017) National Guidance on Learning from Deaths: A Framework for NHS Trusts and NHS Foundation Trusts on Identifying, Reporting, Investigating and Learning from Deaths in Care. Available at: </w:t>
      </w:r>
      <w:hyperlink r:id="rId21" w:history="1">
        <w:r w:rsidRPr="007A4C86">
          <w:rPr>
            <w:rStyle w:val="Hyperlink"/>
          </w:rPr>
          <w:t>https://www.england.nhs.uk/wp-content/uploads/2017/03/nqb-national-guidance-learning-from-deaths.pdf</w:t>
        </w:r>
      </w:hyperlink>
    </w:p>
    <w:p w14:paraId="45542ABE" w14:textId="77777777" w:rsidR="00BC0A7E" w:rsidRDefault="00BC0A7E" w:rsidP="00BC0A7E">
      <w:pPr>
        <w:spacing w:line="288" w:lineRule="auto"/>
        <w:ind w:left="851"/>
      </w:pPr>
    </w:p>
    <w:p w14:paraId="0C7D9B25" w14:textId="0C7C6A80" w:rsidR="00C04889" w:rsidRPr="00C04889" w:rsidRDefault="00BC0A7E" w:rsidP="00C04889">
      <w:pPr>
        <w:spacing w:line="288" w:lineRule="auto"/>
        <w:ind w:left="851"/>
        <w:rPr>
          <w:u w:val="single"/>
        </w:rPr>
      </w:pPr>
      <w:r w:rsidRPr="003C4DF0">
        <w:t xml:space="preserve">NHS England and NHS Improvement (2019) The NHS Patient Safety Strategy: Safer culture, safer systems, safer patients. Available at: </w:t>
      </w:r>
      <w:hyperlink r:id="rId22" w:history="1">
        <w:r w:rsidRPr="00BF4AA1">
          <w:rPr>
            <w:rStyle w:val="Hyperlink"/>
          </w:rPr>
          <w:t>https://www.england.nhs.uk/wp-content/uploads/2020/08/190708_Patient_Safety_Strategy_for_website_v4.pdf</w:t>
        </w:r>
      </w:hyperlink>
      <w:r w:rsidR="00B0773C">
        <w:t xml:space="preserve"> </w:t>
      </w:r>
    </w:p>
    <w:p w14:paraId="74E1D7CD" w14:textId="5ABD41DE" w:rsidR="00A0471F" w:rsidRDefault="00A0471F" w:rsidP="00BC0A7E">
      <w:pPr>
        <w:spacing w:line="288" w:lineRule="auto"/>
        <w:rPr>
          <w:rFonts w:cs="Arial"/>
        </w:rPr>
      </w:pPr>
    </w:p>
    <w:p w14:paraId="7D2404CB" w14:textId="77777777" w:rsidR="00901EDC" w:rsidRPr="00F54910" w:rsidRDefault="00901EDC" w:rsidP="00EB1928">
      <w:pPr>
        <w:pStyle w:val="Policyheader"/>
      </w:pPr>
      <w:bookmarkStart w:id="120" w:name="_Toc523986733"/>
      <w:bookmarkStart w:id="121" w:name="_Toc523989251"/>
      <w:bookmarkStart w:id="122" w:name="_Toc94693639"/>
      <w:r>
        <w:t>Appendices</w:t>
      </w:r>
      <w:bookmarkEnd w:id="120"/>
      <w:bookmarkEnd w:id="121"/>
      <w:bookmarkEnd w:id="122"/>
    </w:p>
    <w:p w14:paraId="69D8DA7B" w14:textId="77777777" w:rsidR="00D9184E" w:rsidRDefault="00D9184E" w:rsidP="00BC0A7E">
      <w:pPr>
        <w:pStyle w:val="Policyheader"/>
        <w:numPr>
          <w:ilvl w:val="0"/>
          <w:numId w:val="0"/>
        </w:numPr>
        <w:spacing w:line="288" w:lineRule="auto"/>
        <w:sectPr w:rsidR="00D9184E" w:rsidSect="009D6893">
          <w:pgSz w:w="11906" w:h="16838" w:code="9"/>
          <w:pgMar w:top="1383" w:right="1133" w:bottom="1440" w:left="1276" w:header="697" w:footer="142" w:gutter="0"/>
          <w:cols w:space="708"/>
          <w:titlePg/>
          <w:docGrid w:linePitch="360"/>
        </w:sectPr>
      </w:pPr>
    </w:p>
    <w:p w14:paraId="3F427F78" w14:textId="7847E6DA" w:rsidR="001E7A62" w:rsidRDefault="008A1D18" w:rsidP="00BC0A7E">
      <w:pPr>
        <w:pStyle w:val="Policyheader"/>
        <w:numPr>
          <w:ilvl w:val="0"/>
          <w:numId w:val="0"/>
        </w:numPr>
        <w:spacing w:line="288" w:lineRule="auto"/>
        <w:rPr>
          <w:color w:val="FF0000"/>
        </w:rPr>
      </w:pPr>
      <w:bookmarkStart w:id="123" w:name="_Toc82782011"/>
      <w:bookmarkStart w:id="124" w:name="_Toc94693640"/>
      <w:r w:rsidRPr="00273CE5">
        <w:lastRenderedPageBreak/>
        <w:t xml:space="preserve">Appendix 1 </w:t>
      </w:r>
      <w:r w:rsidR="001E7A62">
        <w:t>–</w:t>
      </w:r>
      <w:r w:rsidR="0058394F">
        <w:t xml:space="preserve"> </w:t>
      </w:r>
      <w:r w:rsidR="00EB0FA7">
        <w:t xml:space="preserve">Summary of </w:t>
      </w:r>
      <w:r w:rsidR="001E7A62">
        <w:t>Adult Structured Judgement Review process</w:t>
      </w:r>
      <w:r w:rsidR="007B135B">
        <w:t xml:space="preserve"> </w:t>
      </w:r>
      <w:r w:rsidR="007B135B" w:rsidRPr="003C4DF0">
        <w:t>for staff</w:t>
      </w:r>
      <w:bookmarkEnd w:id="123"/>
      <w:bookmarkEnd w:id="124"/>
    </w:p>
    <w:p w14:paraId="7970204B" w14:textId="44E52A82" w:rsidR="00F42174" w:rsidRDefault="00F42174" w:rsidP="00EB1928">
      <w:bookmarkStart w:id="125" w:name="_Toc82782012"/>
      <w:r>
        <w:rPr>
          <w:noProof/>
        </w:rPr>
        <w:lastRenderedPageBreak/>
        <w:drawing>
          <wp:inline distT="0" distB="0" distL="0" distR="0" wp14:anchorId="46E2E6D5" wp14:editId="3114901E">
            <wp:extent cx="7822194" cy="5442430"/>
            <wp:effectExtent l="0" t="0" r="7620" b="6350"/>
            <wp:docPr id="8" name="Picture 8" descr="This is an appendix table describing the ten things clinicians should know about the Adult Structured Judgement Review process at EKHU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861876" cy="5470039"/>
                    </a:xfrm>
                    <a:prstGeom prst="rect">
                      <a:avLst/>
                    </a:prstGeom>
                  </pic:spPr>
                </pic:pic>
              </a:graphicData>
            </a:graphic>
          </wp:inline>
        </w:drawing>
      </w:r>
      <w:bookmarkEnd w:id="125"/>
    </w:p>
    <w:p w14:paraId="269C8B27" w14:textId="0BADB6E9" w:rsidR="00F42174" w:rsidRDefault="00F42174" w:rsidP="00EB1928"/>
    <w:p w14:paraId="0B9CFADF" w14:textId="6088240D" w:rsidR="00EB6A7B" w:rsidRDefault="00F42174" w:rsidP="00EB1928">
      <w:pPr>
        <w:sectPr w:rsidR="00EB6A7B" w:rsidSect="00D9184E">
          <w:pgSz w:w="16838" w:h="11906" w:orient="landscape" w:code="9"/>
          <w:pgMar w:top="1134" w:right="1440" w:bottom="1276" w:left="1383" w:header="697" w:footer="142" w:gutter="0"/>
          <w:cols w:space="708"/>
          <w:titlePg/>
          <w:docGrid w:linePitch="360"/>
        </w:sectPr>
      </w:pPr>
      <w:bookmarkStart w:id="126" w:name="_Toc82782013"/>
      <w:r>
        <w:rPr>
          <w:noProof/>
        </w:rPr>
        <w:lastRenderedPageBreak/>
        <w:drawing>
          <wp:inline distT="0" distB="0" distL="0" distR="0" wp14:anchorId="16EAD4D4" wp14:editId="4EA74049">
            <wp:extent cx="8503693" cy="5124262"/>
            <wp:effectExtent l="0" t="0" r="0" b="635"/>
            <wp:docPr id="9" name="Picture 9" descr="This is an appendix table which describes the top ten things someone should know about the Adult Structured Judgement Review process at EKHU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551423" cy="5153024"/>
                    </a:xfrm>
                    <a:prstGeom prst="rect">
                      <a:avLst/>
                    </a:prstGeom>
                  </pic:spPr>
                </pic:pic>
              </a:graphicData>
            </a:graphic>
          </wp:inline>
        </w:drawing>
      </w:r>
      <w:bookmarkEnd w:id="126"/>
      <w:r w:rsidR="001E7A62">
        <w:br w:type="page"/>
      </w:r>
    </w:p>
    <w:p w14:paraId="2050FDAD" w14:textId="77777777" w:rsidR="008A1D18" w:rsidRPr="00EB6A7B" w:rsidRDefault="0058394F" w:rsidP="00955B3D">
      <w:pPr>
        <w:pStyle w:val="Policyheader"/>
        <w:numPr>
          <w:ilvl w:val="0"/>
          <w:numId w:val="0"/>
        </w:numPr>
        <w:spacing w:before="0" w:after="0" w:line="288" w:lineRule="auto"/>
      </w:pPr>
      <w:bookmarkStart w:id="127" w:name="_Toc82782014"/>
      <w:bookmarkStart w:id="128" w:name="_Toc94693641"/>
      <w:r w:rsidRPr="00EB6A7B">
        <w:lastRenderedPageBreak/>
        <w:t>A</w:t>
      </w:r>
      <w:r w:rsidR="001E7A62" w:rsidRPr="00EB6A7B">
        <w:t xml:space="preserve">ppendix 2 </w:t>
      </w:r>
      <w:r w:rsidR="00227A86">
        <w:t>–</w:t>
      </w:r>
      <w:r w:rsidR="001E7A62" w:rsidRPr="00EB6A7B">
        <w:t xml:space="preserve"> </w:t>
      </w:r>
      <w:r w:rsidR="00227A86">
        <w:t>Learning from deaths process</w:t>
      </w:r>
      <w:bookmarkEnd w:id="127"/>
      <w:bookmarkEnd w:id="128"/>
      <w:r w:rsidR="00CF0644">
        <w:t xml:space="preserve"> </w:t>
      </w:r>
    </w:p>
    <w:p w14:paraId="00FD94E2" w14:textId="0D2BF23C" w:rsidR="00F64FF4" w:rsidRDefault="00F64FF4" w:rsidP="00F956AE">
      <w:pPr>
        <w:jc w:val="center"/>
        <w:rPr>
          <w:noProof/>
        </w:rPr>
      </w:pPr>
    </w:p>
    <w:p w14:paraId="5E20A652" w14:textId="79361CB1" w:rsidR="00326842" w:rsidRDefault="005E1D24" w:rsidP="00F956AE">
      <w:pPr>
        <w:jc w:val="center"/>
        <w:sectPr w:rsidR="00326842" w:rsidSect="00EB6A7B">
          <w:type w:val="continuous"/>
          <w:pgSz w:w="16838" w:h="11906" w:orient="landscape" w:code="9"/>
          <w:pgMar w:top="1134" w:right="1440" w:bottom="1276" w:left="1383" w:header="697" w:footer="142" w:gutter="0"/>
          <w:cols w:space="708"/>
          <w:titlePg/>
          <w:docGrid w:linePitch="360"/>
        </w:sectPr>
      </w:pPr>
      <w:r>
        <w:rPr>
          <w:noProof/>
        </w:rPr>
        <w:lastRenderedPageBreak/>
        <w:drawing>
          <wp:inline distT="0" distB="0" distL="0" distR="0" wp14:anchorId="2BF7A086" wp14:editId="3B3367AB">
            <wp:extent cx="7114269" cy="5273040"/>
            <wp:effectExtent l="0" t="0" r="0" b="3810"/>
            <wp:docPr id="1" name="Picture 1" descr="This is appendix 2 showing a flow diagram of the Learning from Death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119529" cy="5276939"/>
                    </a:xfrm>
                    <a:prstGeom prst="rect">
                      <a:avLst/>
                    </a:prstGeom>
                  </pic:spPr>
                </pic:pic>
              </a:graphicData>
            </a:graphic>
          </wp:inline>
        </w:drawing>
      </w:r>
    </w:p>
    <w:p w14:paraId="259974C7" w14:textId="4761A652" w:rsidR="0022378C" w:rsidRDefault="00EF7108" w:rsidP="00BC0A7E">
      <w:pPr>
        <w:pStyle w:val="Policyheader"/>
        <w:numPr>
          <w:ilvl w:val="0"/>
          <w:numId w:val="0"/>
        </w:numPr>
        <w:spacing w:line="288" w:lineRule="auto"/>
      </w:pPr>
      <w:bookmarkStart w:id="129" w:name="_Toc82782015"/>
      <w:bookmarkStart w:id="130" w:name="_Toc94693642"/>
      <w:r>
        <w:lastRenderedPageBreak/>
        <w:t xml:space="preserve">Appendix </w:t>
      </w:r>
      <w:r w:rsidR="001E7A62">
        <w:t>3</w:t>
      </w:r>
      <w:r w:rsidR="00273CE5" w:rsidRPr="00273CE5">
        <w:t xml:space="preserve"> </w:t>
      </w:r>
      <w:r w:rsidR="002C1CDA">
        <w:t>–</w:t>
      </w:r>
      <w:r w:rsidR="00273CE5" w:rsidRPr="00273CE5">
        <w:t xml:space="preserve"> EKHUFT</w:t>
      </w:r>
      <w:r w:rsidR="002C1CDA">
        <w:t xml:space="preserve"> </w:t>
      </w:r>
      <w:r w:rsidR="00273CE5" w:rsidRPr="00273CE5">
        <w:t>Structured Case Note Review Screening Tool</w:t>
      </w:r>
      <w:r w:rsidR="00177C42">
        <w:t xml:space="preserve"> taken from the ME1b form</w:t>
      </w:r>
      <w:bookmarkEnd w:id="129"/>
      <w:bookmarkEnd w:id="130"/>
    </w:p>
    <w:p w14:paraId="08366904" w14:textId="09B354D2" w:rsidR="00177C42" w:rsidRDefault="00177C42" w:rsidP="00EB1928">
      <w:bookmarkStart w:id="131" w:name="_Toc82782016"/>
      <w:r>
        <w:rPr>
          <w:noProof/>
        </w:rPr>
        <w:drawing>
          <wp:inline distT="0" distB="0" distL="0" distR="0" wp14:anchorId="3FC99F35" wp14:editId="66FB0C73">
            <wp:extent cx="6443258" cy="3552825"/>
            <wp:effectExtent l="0" t="0" r="0" b="0"/>
            <wp:docPr id="5" name="Picture 5" descr="This is appendix 3 which is a table showing the EKHUFT Structured Case Note Review Screening Tool taken from the ME1b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449015" cy="3556000"/>
                    </a:xfrm>
                    <a:prstGeom prst="rect">
                      <a:avLst/>
                    </a:prstGeom>
                  </pic:spPr>
                </pic:pic>
              </a:graphicData>
            </a:graphic>
          </wp:inline>
        </w:drawing>
      </w:r>
      <w:bookmarkEnd w:id="131"/>
    </w:p>
    <w:p w14:paraId="0B21B9BB" w14:textId="5830DF0C" w:rsidR="007A64B4" w:rsidRDefault="007A64B4" w:rsidP="002C1CDA">
      <w:pPr>
        <w:rPr>
          <w:noProof/>
        </w:rPr>
      </w:pPr>
    </w:p>
    <w:p w14:paraId="27DF00B2" w14:textId="7A068360" w:rsidR="007A64B4" w:rsidRPr="00273CE5" w:rsidRDefault="007A64B4" w:rsidP="002C1CDA"/>
    <w:p w14:paraId="621FA25D" w14:textId="77777777" w:rsidR="00B6452C" w:rsidRDefault="00CA5CE9" w:rsidP="00B6452C">
      <w:pPr>
        <w:pStyle w:val="Policyheader"/>
        <w:numPr>
          <w:ilvl w:val="0"/>
          <w:numId w:val="0"/>
        </w:numPr>
      </w:pPr>
      <w:r w:rsidRPr="00CA5CE9">
        <w:rPr>
          <w:rFonts w:cs="Arial"/>
          <w:color w:val="1F497D"/>
          <w:sz w:val="36"/>
          <w:szCs w:val="36"/>
        </w:rPr>
        <w:br w:type="page"/>
      </w:r>
      <w:bookmarkStart w:id="132" w:name="_Toc82782017"/>
      <w:bookmarkStart w:id="133" w:name="_Toc94693643"/>
      <w:bookmarkStart w:id="134" w:name="_Toc523986735"/>
      <w:bookmarkStart w:id="135" w:name="_Toc523989253"/>
      <w:r w:rsidR="00EF7108" w:rsidRPr="006749D5">
        <w:lastRenderedPageBreak/>
        <w:t xml:space="preserve">Appendix </w:t>
      </w:r>
      <w:r w:rsidR="001E7A62" w:rsidRPr="006749D5">
        <w:t>4</w:t>
      </w:r>
      <w:r w:rsidRPr="006749D5">
        <w:t xml:space="preserve"> </w:t>
      </w:r>
      <w:r w:rsidR="002C1CDA">
        <w:t>–</w:t>
      </w:r>
      <w:r w:rsidRPr="006749D5">
        <w:t xml:space="preserve"> EKHUFT</w:t>
      </w:r>
      <w:r w:rsidR="002C1CDA">
        <w:t xml:space="preserve"> </w:t>
      </w:r>
      <w:r w:rsidRPr="006749D5">
        <w:t>Structured Case Note Review Form</w:t>
      </w:r>
      <w:bookmarkEnd w:id="132"/>
      <w:bookmarkEnd w:id="133"/>
    </w:p>
    <w:p w14:paraId="312A6443" w14:textId="69950009" w:rsidR="006749D5" w:rsidRDefault="00CA5CE9" w:rsidP="00B6452C">
      <w:r>
        <w:rPr>
          <w:bCs/>
          <w:color w:val="000000"/>
          <w:lang w:val="en"/>
        </w:rPr>
        <w:t xml:space="preserve"> </w:t>
      </w:r>
      <w:r w:rsidR="00FB2F49">
        <w:rPr>
          <w:noProof/>
          <w:lang w:val="en"/>
        </w:rPr>
        <w:drawing>
          <wp:inline distT="0" distB="0" distL="0" distR="0" wp14:anchorId="003D99CB" wp14:editId="7047E47A">
            <wp:extent cx="6480175" cy="3409315"/>
            <wp:effectExtent l="19050" t="19050" r="0" b="635"/>
            <wp:docPr id="130" name="Picture 130" descr="This is appendix 4 showing the first page of the blank EKHUFT Structured Case Note Review Form. This first page is general information about the patient who is being reviewed and the re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175" cy="3409315"/>
                    </a:xfrm>
                    <a:prstGeom prst="rect">
                      <a:avLst/>
                    </a:prstGeom>
                    <a:noFill/>
                    <a:ln w="9525">
                      <a:solidFill>
                        <a:srgbClr val="BFBFBF"/>
                      </a:solidFill>
                      <a:miter lim="800000"/>
                      <a:headEnd/>
                      <a:tailEnd/>
                    </a:ln>
                  </pic:spPr>
                </pic:pic>
              </a:graphicData>
            </a:graphic>
          </wp:inline>
        </w:drawing>
      </w:r>
      <w:r w:rsidR="00FB2F49">
        <w:rPr>
          <w:noProof/>
        </w:rPr>
        <w:lastRenderedPageBreak/>
        <w:drawing>
          <wp:inline distT="0" distB="0" distL="0" distR="0" wp14:anchorId="32F371A3" wp14:editId="26030DBB">
            <wp:extent cx="6480175" cy="3098800"/>
            <wp:effectExtent l="19050" t="19050" r="0" b="6350"/>
            <wp:docPr id="139" name="Picture 139" descr="This is a continuation of appendix 4, showing the second page of the blank EKHUFT Structured Case Note Review Form. This second page is the “Phases of Care” section of the review where judgement statements are made and phases of care sc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175" cy="3098800"/>
                    </a:xfrm>
                    <a:prstGeom prst="rect">
                      <a:avLst/>
                    </a:prstGeom>
                    <a:noFill/>
                    <a:ln w="9525">
                      <a:solidFill>
                        <a:srgbClr val="BFBFBF"/>
                      </a:solidFill>
                      <a:miter lim="800000"/>
                      <a:headEnd/>
                      <a:tailEnd/>
                    </a:ln>
                  </pic:spPr>
                </pic:pic>
              </a:graphicData>
            </a:graphic>
          </wp:inline>
        </w:drawing>
      </w:r>
      <w:r w:rsidR="00FB2F49">
        <w:rPr>
          <w:noProof/>
        </w:rPr>
        <w:drawing>
          <wp:inline distT="0" distB="0" distL="0" distR="0" wp14:anchorId="0B60E700" wp14:editId="53B77126">
            <wp:extent cx="6480175" cy="1876425"/>
            <wp:effectExtent l="19050" t="19050" r="0" b="9525"/>
            <wp:docPr id="138" name="Picture 138" descr="This is a continuation of appendix 4, showing the second page of the blank EKHUFT Structured Case Note Review Form. This second page is the “Phases of Care” section of the review where judgement statements are made and phases of care sc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0175" cy="1876425"/>
                    </a:xfrm>
                    <a:prstGeom prst="rect">
                      <a:avLst/>
                    </a:prstGeom>
                    <a:noFill/>
                    <a:ln w="9525">
                      <a:solidFill>
                        <a:srgbClr val="BFBFBF"/>
                      </a:solidFill>
                      <a:miter lim="800000"/>
                      <a:headEnd/>
                      <a:tailEnd/>
                    </a:ln>
                  </pic:spPr>
                </pic:pic>
              </a:graphicData>
            </a:graphic>
          </wp:inline>
        </w:drawing>
      </w:r>
    </w:p>
    <w:p w14:paraId="42552FA3" w14:textId="0300C4C8" w:rsidR="006749D5" w:rsidRDefault="00FB2F49" w:rsidP="006749D5">
      <w:pPr>
        <w:tabs>
          <w:tab w:val="left" w:pos="6208"/>
        </w:tabs>
        <w:spacing w:line="288" w:lineRule="auto"/>
      </w:pPr>
      <w:r>
        <w:rPr>
          <w:noProof/>
        </w:rPr>
        <w:lastRenderedPageBreak/>
        <w:drawing>
          <wp:inline distT="0" distB="0" distL="0" distR="0" wp14:anchorId="270D9C0B" wp14:editId="397EF2C2">
            <wp:extent cx="6480175" cy="3547745"/>
            <wp:effectExtent l="19050" t="19050" r="0" b="0"/>
            <wp:docPr id="142" name="Picture 142" descr="This is a continuation of appendix 4, showing the third page of the blank EKHUFT Structured Case Note Review Form. This third page is the “Assessment of Problems in Healthcare” section of the review where problems in care are identified, recorded if a harm has occurred and an overall avoidability of death judgement is reco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3547745"/>
                    </a:xfrm>
                    <a:prstGeom prst="rect">
                      <a:avLst/>
                    </a:prstGeom>
                    <a:noFill/>
                    <a:ln w="9525">
                      <a:solidFill>
                        <a:srgbClr val="BFBFBF"/>
                      </a:solidFill>
                      <a:miter lim="800000"/>
                      <a:headEnd/>
                      <a:tailEnd/>
                    </a:ln>
                  </pic:spPr>
                </pic:pic>
              </a:graphicData>
            </a:graphic>
          </wp:inline>
        </w:drawing>
      </w:r>
      <w:r>
        <w:rPr>
          <w:noProof/>
        </w:rPr>
        <w:drawing>
          <wp:inline distT="0" distB="0" distL="0" distR="0" wp14:anchorId="2B1EBC5B" wp14:editId="1C951FE7">
            <wp:extent cx="6480175" cy="3121660"/>
            <wp:effectExtent l="19050" t="19050" r="0" b="2540"/>
            <wp:docPr id="141" name="Picture 141" descr="This is a continuation of appendix 4, showing the third page of the blank EKHUFT Structured Case Note Review Form. This third page is the “Assessment of Problems in Healthcare” section of the review where problems in care are identified, recorded if a harm has occurred and an overall avoidability of death judgement is reco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0175" cy="3121660"/>
                    </a:xfrm>
                    <a:prstGeom prst="rect">
                      <a:avLst/>
                    </a:prstGeom>
                    <a:noFill/>
                    <a:ln w="9525">
                      <a:solidFill>
                        <a:srgbClr val="BFBFBF"/>
                      </a:solidFill>
                      <a:miter lim="800000"/>
                      <a:headEnd/>
                      <a:tailEnd/>
                    </a:ln>
                  </pic:spPr>
                </pic:pic>
              </a:graphicData>
            </a:graphic>
          </wp:inline>
        </w:drawing>
      </w:r>
      <w:r>
        <w:rPr>
          <w:noProof/>
        </w:rPr>
        <w:drawing>
          <wp:inline distT="0" distB="0" distL="0" distR="0" wp14:anchorId="2D0AEBF1" wp14:editId="2EDFAF1C">
            <wp:extent cx="6480175" cy="1918335"/>
            <wp:effectExtent l="19050" t="19050" r="0" b="5715"/>
            <wp:docPr id="140" name="Picture 140" descr="This is a continuation of appendix 4, showing the third page of the blank EKHUFT Structured Case Note Review Form. This third page is the “Assessment of Problems in Healthcare” section of the review where problems in care are identified, recorded if a harm has occurred and an overall avoidability of death judgement is reco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80175" cy="1918335"/>
                    </a:xfrm>
                    <a:prstGeom prst="rect">
                      <a:avLst/>
                    </a:prstGeom>
                    <a:noFill/>
                    <a:ln w="9525">
                      <a:solidFill>
                        <a:srgbClr val="BFBFBF"/>
                      </a:solidFill>
                      <a:miter lim="800000"/>
                      <a:headEnd/>
                      <a:tailEnd/>
                    </a:ln>
                  </pic:spPr>
                </pic:pic>
              </a:graphicData>
            </a:graphic>
          </wp:inline>
        </w:drawing>
      </w:r>
    </w:p>
    <w:p w14:paraId="5363467A" w14:textId="77777777" w:rsidR="00874334" w:rsidRDefault="00874334" w:rsidP="007002F6">
      <w:pPr>
        <w:pStyle w:val="Policyheader"/>
        <w:numPr>
          <w:ilvl w:val="0"/>
          <w:numId w:val="0"/>
        </w:numPr>
        <w:rPr>
          <w:lang w:val="en"/>
        </w:rPr>
        <w:sectPr w:rsidR="00874334" w:rsidSect="007C0648">
          <w:type w:val="continuous"/>
          <w:pgSz w:w="11906" w:h="16838" w:code="9"/>
          <w:pgMar w:top="1383" w:right="1133" w:bottom="1440" w:left="1276" w:header="697" w:footer="142" w:gutter="0"/>
          <w:cols w:space="708"/>
          <w:titlePg/>
          <w:docGrid w:linePitch="360"/>
        </w:sectPr>
      </w:pPr>
      <w:bookmarkStart w:id="136" w:name="_Toc82782018"/>
    </w:p>
    <w:p w14:paraId="47070ECA" w14:textId="6E01BAAC" w:rsidR="00A35332" w:rsidRPr="00895E92" w:rsidRDefault="00A35332" w:rsidP="007002F6">
      <w:pPr>
        <w:pStyle w:val="Policyheader"/>
        <w:numPr>
          <w:ilvl w:val="0"/>
          <w:numId w:val="0"/>
        </w:numPr>
        <w:rPr>
          <w:lang w:val="en"/>
        </w:rPr>
      </w:pPr>
      <w:r w:rsidRPr="00895E92">
        <w:rPr>
          <w:lang w:val="en"/>
        </w:rPr>
        <w:lastRenderedPageBreak/>
        <w:t xml:space="preserve">Appendix </w:t>
      </w:r>
      <w:r w:rsidR="00895E92" w:rsidRPr="00895E92">
        <w:rPr>
          <w:lang w:val="en"/>
        </w:rPr>
        <w:t>5</w:t>
      </w:r>
      <w:r w:rsidRPr="00895E92">
        <w:rPr>
          <w:lang w:val="en"/>
        </w:rPr>
        <w:t xml:space="preserve"> – LeDeR Process Flow Chart</w:t>
      </w:r>
      <w:bookmarkEnd w:id="136"/>
    </w:p>
    <w:p w14:paraId="06958374" w14:textId="3A203821" w:rsidR="00874334" w:rsidRPr="00B328F1" w:rsidRDefault="00A35332" w:rsidP="00EB1928">
      <w:pPr>
        <w:rPr>
          <w:lang w:val="en"/>
        </w:rPr>
      </w:pPr>
      <w:bookmarkStart w:id="137" w:name="_Toc82782019"/>
      <w:r w:rsidRPr="00F956AE">
        <w:rPr>
          <w:lang w:val="en"/>
        </w:rPr>
        <w:t>NB. The LeDeR process is an external organisation to EKHUFT</w:t>
      </w:r>
      <w:bookmarkEnd w:id="137"/>
    </w:p>
    <w:p w14:paraId="3C77CE03" w14:textId="011624F5" w:rsidR="00BF4AA1" w:rsidRDefault="00FE134E" w:rsidP="0060680B">
      <w:pPr>
        <w:rPr>
          <w:color w:val="000000"/>
          <w:lang w:val="en"/>
        </w:rPr>
        <w:sectPr w:rsidR="00BF4AA1" w:rsidSect="00874334">
          <w:pgSz w:w="16838" w:h="11906" w:orient="landscape" w:code="9"/>
          <w:pgMar w:top="1276" w:right="1383" w:bottom="1133" w:left="1440" w:header="697" w:footer="142" w:gutter="0"/>
          <w:cols w:space="708"/>
          <w:titlePg/>
          <w:docGrid w:linePitch="360"/>
        </w:sectPr>
      </w:pPr>
      <w:bookmarkStart w:id="138" w:name="_Toc82782020"/>
      <w:r>
        <w:rPr>
          <w:noProof/>
        </w:rPr>
        <w:lastRenderedPageBreak/>
        <w:drawing>
          <wp:inline distT="0" distB="0" distL="0" distR="0" wp14:anchorId="608812EF" wp14:editId="1CD86CB0">
            <wp:extent cx="9130212" cy="4960620"/>
            <wp:effectExtent l="0" t="0" r="0" b="0"/>
            <wp:docPr id="6" name="Picture 6" descr="This is appendix 5, which is a picture of the LeDeR Process Flow Chart. LeDeR is Learning from Lives and Deaths, People with a Learning Disability and autistic people. The LeDeR process is an external organisation to EKHU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143869" cy="4968040"/>
                    </a:xfrm>
                    <a:prstGeom prst="rect">
                      <a:avLst/>
                    </a:prstGeom>
                  </pic:spPr>
                </pic:pic>
              </a:graphicData>
            </a:graphic>
          </wp:inline>
        </w:drawing>
      </w:r>
      <w:r w:rsidR="007C0648">
        <w:rPr>
          <w:color w:val="000000"/>
          <w:lang w:val="en"/>
        </w:rPr>
        <w:br w:type="page"/>
      </w:r>
      <w:bookmarkStart w:id="139" w:name="_Toc94693644"/>
    </w:p>
    <w:p w14:paraId="0B9E5A27" w14:textId="41FD27D8" w:rsidR="003A26FA" w:rsidRDefault="00273CE5" w:rsidP="00EB1928">
      <w:pPr>
        <w:pStyle w:val="Policyheader"/>
        <w:numPr>
          <w:ilvl w:val="0"/>
          <w:numId w:val="0"/>
        </w:numPr>
      </w:pPr>
      <w:r>
        <w:lastRenderedPageBreak/>
        <w:t>Appendix</w:t>
      </w:r>
      <w:r w:rsidR="00D52C9E" w:rsidRPr="00C54512">
        <w:t xml:space="preserve"> </w:t>
      </w:r>
      <w:r w:rsidR="00895E92">
        <w:t>6</w:t>
      </w:r>
      <w:r w:rsidR="00E74330">
        <w:t xml:space="preserve"> </w:t>
      </w:r>
      <w:r w:rsidR="002C1CDA">
        <w:t>–</w:t>
      </w:r>
      <w:r w:rsidR="00D52C9E" w:rsidRPr="00C54512">
        <w:t xml:space="preserve"> </w:t>
      </w:r>
      <w:r w:rsidR="003A26FA" w:rsidRPr="00C54512">
        <w:t>Equality</w:t>
      </w:r>
      <w:r w:rsidR="002C1CDA">
        <w:t xml:space="preserve"> </w:t>
      </w:r>
      <w:r w:rsidR="004805F3">
        <w:t>Analysis (E</w:t>
      </w:r>
      <w:r w:rsidR="003A26FA" w:rsidRPr="00C54512">
        <w:t>A)</w:t>
      </w:r>
      <w:bookmarkEnd w:id="134"/>
      <w:bookmarkEnd w:id="135"/>
      <w:bookmarkEnd w:id="138"/>
      <w:bookmarkEnd w:id="139"/>
    </w:p>
    <w:p w14:paraId="27EE4F27" w14:textId="1BCED649" w:rsidR="008761B6" w:rsidRDefault="008761B6" w:rsidP="008761B6">
      <w:r w:rsidRPr="008761B6">
        <w:t>An Equality Analysis not just about addressing discrimination or adverse impact; the policy should also positively promote equal opportunities, improved access, participation in public life and good relations.</w:t>
      </w:r>
    </w:p>
    <w:p w14:paraId="68FF8150" w14:textId="32CC11A2" w:rsidR="008761B6" w:rsidRPr="008761B6" w:rsidRDefault="008761B6" w:rsidP="008761B6">
      <w:pPr>
        <w:rPr>
          <w:b/>
        </w:rPr>
      </w:pPr>
      <w:r>
        <w:rPr>
          <w:b/>
        </w:rPr>
        <w:t>Person completing the analysis</w:t>
      </w:r>
    </w:p>
    <w:tbl>
      <w:tblPr>
        <w:tblStyle w:val="TableGrid1"/>
        <w:tblW w:w="0" w:type="auto"/>
        <w:tblLook w:val="04A0" w:firstRow="1" w:lastRow="0" w:firstColumn="1" w:lastColumn="0" w:noHBand="0" w:noVBand="1"/>
      </w:tblPr>
      <w:tblGrid>
        <w:gridCol w:w="3191"/>
        <w:gridCol w:w="6296"/>
      </w:tblGrid>
      <w:tr w:rsidR="007F7897" w:rsidRPr="00546985" w14:paraId="2BA37447" w14:textId="77777777" w:rsidTr="008761B6">
        <w:trPr>
          <w:trHeight w:val="510"/>
        </w:trPr>
        <w:tc>
          <w:tcPr>
            <w:tcW w:w="3191" w:type="dxa"/>
          </w:tcPr>
          <w:p w14:paraId="3FF78F07" w14:textId="77777777" w:rsidR="007F7897" w:rsidRPr="00546985" w:rsidRDefault="007F7897" w:rsidP="00B6452C">
            <w:pPr>
              <w:rPr>
                <w:rFonts w:cs="Arial"/>
              </w:rPr>
            </w:pPr>
            <w:r w:rsidRPr="00546985">
              <w:rPr>
                <w:rFonts w:eastAsia="Times New Roman" w:cs="Arial"/>
              </w:rPr>
              <w:t>Name</w:t>
            </w:r>
          </w:p>
        </w:tc>
        <w:tc>
          <w:tcPr>
            <w:tcW w:w="6296" w:type="dxa"/>
          </w:tcPr>
          <w:p w14:paraId="1736C800" w14:textId="18A5F8DD" w:rsidR="007F7897" w:rsidRPr="00546985" w:rsidRDefault="005646FE" w:rsidP="00B6452C">
            <w:pPr>
              <w:rPr>
                <w:rFonts w:cs="Arial"/>
                <w:b/>
              </w:rPr>
            </w:pPr>
            <w:r>
              <w:rPr>
                <w:rFonts w:cs="Arial"/>
                <w:b/>
              </w:rPr>
              <w:t>Jackie Shaba</w:t>
            </w:r>
          </w:p>
        </w:tc>
      </w:tr>
      <w:tr w:rsidR="007F7897" w:rsidRPr="00546985" w14:paraId="310F081A" w14:textId="77777777" w:rsidTr="008761B6">
        <w:trPr>
          <w:trHeight w:val="510"/>
        </w:trPr>
        <w:tc>
          <w:tcPr>
            <w:tcW w:w="3191" w:type="dxa"/>
          </w:tcPr>
          <w:p w14:paraId="38B09E30" w14:textId="77777777" w:rsidR="007F7897" w:rsidRPr="00546985" w:rsidRDefault="007F7897" w:rsidP="00B6452C">
            <w:pPr>
              <w:rPr>
                <w:rFonts w:cs="Arial"/>
              </w:rPr>
            </w:pPr>
            <w:r w:rsidRPr="00546985">
              <w:rPr>
                <w:rFonts w:eastAsia="Times New Roman" w:cs="Arial"/>
              </w:rPr>
              <w:t>Job title</w:t>
            </w:r>
          </w:p>
        </w:tc>
        <w:tc>
          <w:tcPr>
            <w:tcW w:w="6296" w:type="dxa"/>
          </w:tcPr>
          <w:p w14:paraId="6AB15B78" w14:textId="4F9BB896" w:rsidR="007F7897" w:rsidRPr="00546985" w:rsidRDefault="005646FE" w:rsidP="00B6452C">
            <w:pPr>
              <w:rPr>
                <w:rFonts w:cs="Arial"/>
              </w:rPr>
            </w:pPr>
            <w:r>
              <w:rPr>
                <w:rFonts w:cs="Arial"/>
              </w:rPr>
              <w:t>Learning from Deaths Facilitator</w:t>
            </w:r>
          </w:p>
        </w:tc>
      </w:tr>
      <w:tr w:rsidR="007F7897" w:rsidRPr="00546985" w14:paraId="0B508A4A" w14:textId="77777777" w:rsidTr="008761B6">
        <w:trPr>
          <w:trHeight w:val="510"/>
        </w:trPr>
        <w:tc>
          <w:tcPr>
            <w:tcW w:w="3191" w:type="dxa"/>
          </w:tcPr>
          <w:p w14:paraId="28B68A70" w14:textId="77777777" w:rsidR="007F7897" w:rsidRPr="00546985" w:rsidRDefault="007F7897" w:rsidP="00B6452C">
            <w:pPr>
              <w:rPr>
                <w:rFonts w:eastAsia="Times New Roman" w:cs="Arial"/>
              </w:rPr>
            </w:pPr>
            <w:r>
              <w:rPr>
                <w:rFonts w:eastAsia="Times New Roman" w:cs="Arial"/>
              </w:rPr>
              <w:t>Care Group / Department</w:t>
            </w:r>
          </w:p>
        </w:tc>
        <w:tc>
          <w:tcPr>
            <w:tcW w:w="6296" w:type="dxa"/>
          </w:tcPr>
          <w:p w14:paraId="7DE9BEFA" w14:textId="6E038859" w:rsidR="007F7897" w:rsidRPr="00546985" w:rsidRDefault="005646FE" w:rsidP="00B6452C">
            <w:pPr>
              <w:rPr>
                <w:rFonts w:cs="Arial"/>
              </w:rPr>
            </w:pPr>
            <w:r>
              <w:rPr>
                <w:rFonts w:cs="Arial"/>
              </w:rPr>
              <w:t>Corporate Care Group</w:t>
            </w:r>
          </w:p>
        </w:tc>
      </w:tr>
      <w:tr w:rsidR="007F7897" w:rsidRPr="00546985" w14:paraId="0C21D09C" w14:textId="77777777" w:rsidTr="008761B6">
        <w:trPr>
          <w:trHeight w:val="510"/>
        </w:trPr>
        <w:tc>
          <w:tcPr>
            <w:tcW w:w="3191" w:type="dxa"/>
          </w:tcPr>
          <w:p w14:paraId="2BD5E9F6" w14:textId="77777777" w:rsidR="007F7897" w:rsidRPr="00546985" w:rsidRDefault="007F7897" w:rsidP="00B6452C">
            <w:pPr>
              <w:rPr>
                <w:rFonts w:eastAsia="Times New Roman" w:cs="Arial"/>
              </w:rPr>
            </w:pPr>
            <w:r w:rsidRPr="00546985">
              <w:rPr>
                <w:rFonts w:eastAsia="Times New Roman" w:cs="Arial"/>
              </w:rPr>
              <w:t>Date completed</w:t>
            </w:r>
          </w:p>
        </w:tc>
        <w:tc>
          <w:tcPr>
            <w:tcW w:w="6296" w:type="dxa"/>
          </w:tcPr>
          <w:p w14:paraId="487D5B3B" w14:textId="1BC75303" w:rsidR="007F7897" w:rsidRPr="00546985" w:rsidRDefault="005646FE" w:rsidP="00B6452C">
            <w:pPr>
              <w:rPr>
                <w:rFonts w:cs="Arial"/>
              </w:rPr>
            </w:pPr>
            <w:r>
              <w:rPr>
                <w:rFonts w:cs="Arial"/>
              </w:rPr>
              <w:t>5/8/21</w:t>
            </w:r>
          </w:p>
        </w:tc>
      </w:tr>
      <w:tr w:rsidR="008761B6" w:rsidRPr="00546985" w14:paraId="3C2F09C6" w14:textId="77777777" w:rsidTr="00DE5344">
        <w:trPr>
          <w:trHeight w:val="821"/>
        </w:trPr>
        <w:tc>
          <w:tcPr>
            <w:tcW w:w="3191" w:type="dxa"/>
          </w:tcPr>
          <w:p w14:paraId="084CB2EA" w14:textId="77777777" w:rsidR="008761B6" w:rsidRPr="00546985" w:rsidRDefault="008761B6" w:rsidP="00B6452C">
            <w:pPr>
              <w:rPr>
                <w:rFonts w:cs="Arial"/>
              </w:rPr>
            </w:pPr>
            <w:r w:rsidRPr="00546985">
              <w:rPr>
                <w:rFonts w:eastAsia="Times New Roman" w:cs="Arial"/>
              </w:rPr>
              <w:t>Who will be impacted by this policy</w:t>
            </w:r>
            <w:r>
              <w:rPr>
                <w:rFonts w:eastAsia="Times New Roman" w:cs="Arial"/>
              </w:rPr>
              <w:t>?</w:t>
            </w:r>
          </w:p>
        </w:tc>
        <w:tc>
          <w:tcPr>
            <w:tcW w:w="6296" w:type="dxa"/>
          </w:tcPr>
          <w:p w14:paraId="25C3DF6C" w14:textId="77777777" w:rsidR="008761B6" w:rsidRPr="00546985" w:rsidRDefault="00E8222A" w:rsidP="00B6452C">
            <w:pPr>
              <w:ind w:left="357"/>
              <w:rPr>
                <w:rFonts w:cs="Arial"/>
              </w:rPr>
            </w:pPr>
            <w:sdt>
              <w:sdtPr>
                <w:rPr>
                  <w:rFonts w:cs="Arial"/>
                </w:rPr>
                <w:id w:val="402653919"/>
                <w14:checkbox>
                  <w14:checked w14:val="1"/>
                  <w14:checkedState w14:val="2612" w14:font="MS Gothic"/>
                  <w14:uncheckedState w14:val="2610" w14:font="MS Gothic"/>
                </w14:checkbox>
              </w:sdtPr>
              <w:sdtEndPr/>
              <w:sdtContent>
                <w:r w:rsidR="008761B6">
                  <w:rPr>
                    <w:rFonts w:ascii="MS Gothic" w:eastAsia="MS Gothic" w:hAnsi="MS Gothic" w:cs="Arial" w:hint="eastAsia"/>
                  </w:rPr>
                  <w:t>☒</w:t>
                </w:r>
              </w:sdtContent>
            </w:sdt>
            <w:r w:rsidR="008761B6">
              <w:rPr>
                <w:rFonts w:cs="Arial"/>
              </w:rPr>
              <w:t xml:space="preserve">  </w:t>
            </w:r>
            <w:r w:rsidR="008761B6" w:rsidRPr="00546985">
              <w:rPr>
                <w:rFonts w:cs="Arial"/>
              </w:rPr>
              <w:t>Staff (EKHUFT)</w:t>
            </w:r>
          </w:p>
          <w:p w14:paraId="665EED5A" w14:textId="77777777" w:rsidR="008761B6" w:rsidRPr="00546985" w:rsidRDefault="00E8222A" w:rsidP="00B6452C">
            <w:pPr>
              <w:ind w:left="357"/>
              <w:rPr>
                <w:rFonts w:cs="Arial"/>
              </w:rPr>
            </w:pPr>
            <w:sdt>
              <w:sdtPr>
                <w:rPr>
                  <w:rFonts w:cs="Arial"/>
                </w:rPr>
                <w:id w:val="1061600847"/>
                <w14:checkbox>
                  <w14:checked w14:val="1"/>
                  <w14:checkedState w14:val="2612" w14:font="MS Gothic"/>
                  <w14:uncheckedState w14:val="2610" w14:font="MS Gothic"/>
                </w14:checkbox>
              </w:sdtPr>
              <w:sdtEndPr/>
              <w:sdtContent>
                <w:r w:rsidR="008761B6">
                  <w:rPr>
                    <w:rFonts w:ascii="MS Gothic" w:eastAsia="MS Gothic" w:hAnsi="MS Gothic" w:cs="Arial" w:hint="eastAsia"/>
                  </w:rPr>
                  <w:t>☒</w:t>
                </w:r>
              </w:sdtContent>
            </w:sdt>
            <w:r w:rsidR="008761B6">
              <w:rPr>
                <w:rFonts w:cs="Arial"/>
              </w:rPr>
              <w:t xml:space="preserve">  </w:t>
            </w:r>
            <w:r w:rsidR="008761B6" w:rsidRPr="00546985">
              <w:rPr>
                <w:rFonts w:cs="Arial"/>
              </w:rPr>
              <w:t>Staff (Other)</w:t>
            </w:r>
          </w:p>
          <w:p w14:paraId="62C47B99" w14:textId="77777777" w:rsidR="008761B6" w:rsidRDefault="00E8222A" w:rsidP="00B6452C">
            <w:pPr>
              <w:ind w:left="357"/>
              <w:rPr>
                <w:rFonts w:cs="Arial"/>
              </w:rPr>
            </w:pPr>
            <w:sdt>
              <w:sdtPr>
                <w:rPr>
                  <w:rFonts w:cs="Arial"/>
                </w:rPr>
                <w:id w:val="1085499839"/>
                <w14:checkbox>
                  <w14:checked w14:val="1"/>
                  <w14:checkedState w14:val="2612" w14:font="MS Gothic"/>
                  <w14:uncheckedState w14:val="2610" w14:font="MS Gothic"/>
                </w14:checkbox>
              </w:sdtPr>
              <w:sdtEndPr/>
              <w:sdtContent>
                <w:r w:rsidR="008761B6">
                  <w:rPr>
                    <w:rFonts w:ascii="MS Gothic" w:eastAsia="MS Gothic" w:hAnsi="MS Gothic" w:cs="Arial" w:hint="eastAsia"/>
                  </w:rPr>
                  <w:t>☒</w:t>
                </w:r>
              </w:sdtContent>
            </w:sdt>
            <w:r w:rsidR="008761B6">
              <w:rPr>
                <w:rFonts w:cs="Arial"/>
              </w:rPr>
              <w:t xml:space="preserve">  </w:t>
            </w:r>
            <w:r w:rsidR="008761B6" w:rsidRPr="00546985">
              <w:rPr>
                <w:rFonts w:cs="Arial"/>
              </w:rPr>
              <w:t>Service Users</w:t>
            </w:r>
          </w:p>
          <w:p w14:paraId="26C6779F" w14:textId="77777777" w:rsidR="008761B6" w:rsidRPr="008761B6" w:rsidRDefault="00E8222A" w:rsidP="008761B6">
            <w:pPr>
              <w:ind w:left="357"/>
              <w:rPr>
                <w:rFonts w:cs="Arial"/>
              </w:rPr>
            </w:pPr>
            <w:sdt>
              <w:sdtPr>
                <w:rPr>
                  <w:rFonts w:cs="Arial"/>
                </w:rPr>
                <w:id w:val="-1529415202"/>
                <w14:checkbox>
                  <w14:checked w14:val="1"/>
                  <w14:checkedState w14:val="2612" w14:font="MS Gothic"/>
                  <w14:uncheckedState w14:val="2610" w14:font="MS Gothic"/>
                </w14:checkbox>
              </w:sdtPr>
              <w:sdtEndPr/>
              <w:sdtContent>
                <w:r w:rsidR="008761B6" w:rsidRPr="008761B6">
                  <w:rPr>
                    <w:rFonts w:ascii="Segoe UI Symbol" w:hAnsi="Segoe UI Symbol" w:cs="Segoe UI Symbol"/>
                  </w:rPr>
                  <w:t>☒</w:t>
                </w:r>
              </w:sdtContent>
            </w:sdt>
            <w:r w:rsidR="008761B6" w:rsidRPr="008761B6">
              <w:rPr>
                <w:rFonts w:cs="Arial"/>
              </w:rPr>
              <w:t xml:space="preserve">  Carers </w:t>
            </w:r>
          </w:p>
          <w:p w14:paraId="26E7DCD7" w14:textId="77777777" w:rsidR="008761B6" w:rsidRPr="008761B6" w:rsidRDefault="00E8222A" w:rsidP="008761B6">
            <w:pPr>
              <w:ind w:left="357"/>
              <w:rPr>
                <w:rFonts w:cs="Arial"/>
              </w:rPr>
            </w:pPr>
            <w:sdt>
              <w:sdtPr>
                <w:rPr>
                  <w:rFonts w:cs="Arial"/>
                </w:rPr>
                <w:id w:val="573399034"/>
                <w14:checkbox>
                  <w14:checked w14:val="0"/>
                  <w14:checkedState w14:val="2612" w14:font="MS Gothic"/>
                  <w14:uncheckedState w14:val="2610" w14:font="MS Gothic"/>
                </w14:checkbox>
              </w:sdtPr>
              <w:sdtEndPr/>
              <w:sdtContent>
                <w:r w:rsidR="008761B6" w:rsidRPr="008761B6">
                  <w:rPr>
                    <w:rFonts w:ascii="Segoe UI Symbol" w:hAnsi="Segoe UI Symbol" w:cs="Segoe UI Symbol"/>
                  </w:rPr>
                  <w:t>☐</w:t>
                </w:r>
              </w:sdtContent>
            </w:sdt>
            <w:r w:rsidR="008761B6" w:rsidRPr="008761B6">
              <w:rPr>
                <w:rFonts w:cs="Arial"/>
              </w:rPr>
              <w:t xml:space="preserve">  Patients</w:t>
            </w:r>
          </w:p>
          <w:p w14:paraId="232E2430" w14:textId="280FE1EC" w:rsidR="008761B6" w:rsidRPr="00546985" w:rsidRDefault="00E8222A" w:rsidP="00B6452C">
            <w:pPr>
              <w:ind w:left="364"/>
              <w:rPr>
                <w:rFonts w:cs="Arial"/>
              </w:rPr>
            </w:pPr>
            <w:sdt>
              <w:sdtPr>
                <w:rPr>
                  <w:rFonts w:cs="Arial"/>
                </w:rPr>
                <w:id w:val="1649391315"/>
                <w14:checkbox>
                  <w14:checked w14:val="1"/>
                  <w14:checkedState w14:val="2612" w14:font="MS Gothic"/>
                  <w14:uncheckedState w14:val="2610" w14:font="MS Gothic"/>
                </w14:checkbox>
              </w:sdtPr>
              <w:sdtEndPr/>
              <w:sdtContent>
                <w:r w:rsidR="008761B6" w:rsidRPr="008761B6">
                  <w:rPr>
                    <w:rFonts w:ascii="Segoe UI Symbol" w:hAnsi="Segoe UI Symbol" w:cs="Segoe UI Symbol"/>
                  </w:rPr>
                  <w:t>☒</w:t>
                </w:r>
              </w:sdtContent>
            </w:sdt>
            <w:r w:rsidR="008761B6" w:rsidRPr="008761B6">
              <w:rPr>
                <w:rFonts w:cs="Arial"/>
              </w:rPr>
              <w:t xml:space="preserve">  Relatives</w:t>
            </w:r>
          </w:p>
        </w:tc>
      </w:tr>
    </w:tbl>
    <w:p w14:paraId="7396BD94" w14:textId="0512669F" w:rsidR="007F7897" w:rsidRDefault="007F7897" w:rsidP="007F7897">
      <w:pPr>
        <w:rPr>
          <w:rFonts w:cs="Arial"/>
        </w:rPr>
      </w:pPr>
    </w:p>
    <w:p w14:paraId="300B00AB" w14:textId="77777777" w:rsidR="008761B6" w:rsidRPr="008761B6" w:rsidRDefault="008761B6" w:rsidP="008761B6">
      <w:pPr>
        <w:rPr>
          <w:rFonts w:cs="Arial"/>
          <w:b/>
        </w:rPr>
      </w:pPr>
      <w:r w:rsidRPr="008761B6">
        <w:rPr>
          <w:rFonts w:cs="Arial"/>
          <w:b/>
        </w:rPr>
        <w:t>Assess the impact of the policy on people with different protected characteristics.</w:t>
      </w:r>
    </w:p>
    <w:p w14:paraId="2DF783B5" w14:textId="3125741E" w:rsidR="008761B6" w:rsidRPr="00546985" w:rsidRDefault="008761B6" w:rsidP="008761B6">
      <w:pPr>
        <w:rPr>
          <w:rFonts w:cs="Arial"/>
        </w:rPr>
      </w:pPr>
      <w:r w:rsidRPr="008761B6">
        <w:rPr>
          <w:rFonts w:cs="Arial"/>
        </w:rPr>
        <w:t>When assessing impact, make it clear who will be impacted within the protected characteristic category. For example, it may have a positive impact on women but a neutral impact on men.</w:t>
      </w:r>
    </w:p>
    <w:tbl>
      <w:tblPr>
        <w:tblStyle w:val="TableGrid1"/>
        <w:tblW w:w="0" w:type="auto"/>
        <w:tblLook w:val="06A0" w:firstRow="1" w:lastRow="0" w:firstColumn="1" w:lastColumn="0" w:noHBand="1" w:noVBand="1"/>
      </w:tblPr>
      <w:tblGrid>
        <w:gridCol w:w="3126"/>
        <w:gridCol w:w="3025"/>
        <w:gridCol w:w="3336"/>
      </w:tblGrid>
      <w:tr w:rsidR="007F7897" w:rsidRPr="00546985" w14:paraId="39BDE986" w14:textId="77777777" w:rsidTr="008761B6">
        <w:tc>
          <w:tcPr>
            <w:tcW w:w="3126" w:type="dxa"/>
          </w:tcPr>
          <w:p w14:paraId="2B20BF3D" w14:textId="77777777" w:rsidR="007F7897" w:rsidRPr="00546985" w:rsidRDefault="007F7897" w:rsidP="00B6452C">
            <w:pPr>
              <w:rPr>
                <w:rFonts w:cs="Arial"/>
                <w:b/>
              </w:rPr>
            </w:pPr>
            <w:r w:rsidRPr="00546985">
              <w:rPr>
                <w:rFonts w:cs="Arial"/>
                <w:b/>
              </w:rPr>
              <w:t>Protected characteristic</w:t>
            </w:r>
          </w:p>
        </w:tc>
        <w:tc>
          <w:tcPr>
            <w:tcW w:w="3025" w:type="dxa"/>
          </w:tcPr>
          <w:p w14:paraId="2255644C" w14:textId="77777777" w:rsidR="007F7897" w:rsidRPr="00546985" w:rsidRDefault="007F7897" w:rsidP="00B6452C">
            <w:pPr>
              <w:rPr>
                <w:rFonts w:cs="Arial"/>
                <w:b/>
              </w:rPr>
            </w:pPr>
            <w:r w:rsidRPr="00546985">
              <w:rPr>
                <w:rFonts w:cs="Arial"/>
                <w:b/>
              </w:rPr>
              <w:t>Characteristic Group</w:t>
            </w:r>
          </w:p>
        </w:tc>
        <w:tc>
          <w:tcPr>
            <w:tcW w:w="3336" w:type="dxa"/>
          </w:tcPr>
          <w:p w14:paraId="40F588FB" w14:textId="77777777" w:rsidR="007F7897" w:rsidRPr="00546985" w:rsidRDefault="007F7897" w:rsidP="00B6452C">
            <w:pPr>
              <w:rPr>
                <w:rFonts w:cs="Arial"/>
                <w:b/>
              </w:rPr>
            </w:pPr>
            <w:r w:rsidRPr="00546985">
              <w:rPr>
                <w:rFonts w:cs="Arial"/>
                <w:b/>
              </w:rPr>
              <w:t>Impact of decision</w:t>
            </w:r>
          </w:p>
          <w:p w14:paraId="2694E911" w14:textId="77777777" w:rsidR="007F7897" w:rsidRPr="00546985" w:rsidRDefault="007F7897" w:rsidP="00B6452C">
            <w:pPr>
              <w:rPr>
                <w:rFonts w:cs="Arial"/>
              </w:rPr>
            </w:pPr>
            <w:r w:rsidRPr="00546985">
              <w:rPr>
                <w:rFonts w:cs="Arial"/>
              </w:rPr>
              <w:t>Positive/Neutral/Negative</w:t>
            </w:r>
          </w:p>
        </w:tc>
      </w:tr>
      <w:tr w:rsidR="007F7897" w:rsidRPr="00546985" w14:paraId="6A5AD223" w14:textId="77777777" w:rsidTr="008761B6">
        <w:trPr>
          <w:trHeight w:val="567"/>
        </w:trPr>
        <w:tc>
          <w:tcPr>
            <w:tcW w:w="3126" w:type="dxa"/>
          </w:tcPr>
          <w:p w14:paraId="518E6042" w14:textId="77777777" w:rsidR="007F7897" w:rsidRPr="00546985" w:rsidRDefault="007F7897" w:rsidP="00B6452C">
            <w:pPr>
              <w:rPr>
                <w:rFonts w:cs="Arial"/>
              </w:rPr>
            </w:pPr>
            <w:r w:rsidRPr="00546985">
              <w:rPr>
                <w:rFonts w:cs="Arial"/>
              </w:rPr>
              <w:t>Age</w:t>
            </w:r>
          </w:p>
        </w:tc>
        <w:tc>
          <w:tcPr>
            <w:tcW w:w="3025" w:type="dxa"/>
          </w:tcPr>
          <w:p w14:paraId="5E0F920D" w14:textId="4FC41F37" w:rsidR="007F7897" w:rsidRPr="00546985" w:rsidRDefault="00965710" w:rsidP="00B6452C">
            <w:pPr>
              <w:rPr>
                <w:rFonts w:cs="Arial"/>
                <w:b/>
              </w:rPr>
            </w:pPr>
            <w:r>
              <w:rPr>
                <w:rFonts w:cs="Arial"/>
                <w:b/>
              </w:rPr>
              <w:t>Yes adults (children not included in the policy)</w:t>
            </w:r>
          </w:p>
        </w:tc>
        <w:tc>
          <w:tcPr>
            <w:tcW w:w="3336" w:type="dxa"/>
          </w:tcPr>
          <w:p w14:paraId="1662E0E8" w14:textId="0413B25A" w:rsidR="007F7897" w:rsidRPr="00546985" w:rsidRDefault="00965710" w:rsidP="00B6452C">
            <w:pPr>
              <w:rPr>
                <w:rFonts w:cs="Arial"/>
                <w:b/>
              </w:rPr>
            </w:pPr>
            <w:r>
              <w:rPr>
                <w:rFonts w:cs="Arial"/>
                <w:b/>
              </w:rPr>
              <w:t>positive</w:t>
            </w:r>
          </w:p>
        </w:tc>
      </w:tr>
      <w:tr w:rsidR="007F7897" w:rsidRPr="00546985" w14:paraId="196E6969" w14:textId="77777777" w:rsidTr="008761B6">
        <w:trPr>
          <w:trHeight w:val="567"/>
        </w:trPr>
        <w:tc>
          <w:tcPr>
            <w:tcW w:w="3126" w:type="dxa"/>
          </w:tcPr>
          <w:p w14:paraId="393C68D9" w14:textId="77777777" w:rsidR="007F7897" w:rsidRPr="00546985" w:rsidRDefault="007F7897" w:rsidP="00B6452C">
            <w:pPr>
              <w:rPr>
                <w:rFonts w:cs="Arial"/>
              </w:rPr>
            </w:pPr>
            <w:r w:rsidRPr="00546985">
              <w:rPr>
                <w:rFonts w:cs="Arial"/>
              </w:rPr>
              <w:t>Disability (please see additional information below)</w:t>
            </w:r>
          </w:p>
        </w:tc>
        <w:tc>
          <w:tcPr>
            <w:tcW w:w="3025" w:type="dxa"/>
          </w:tcPr>
          <w:p w14:paraId="5D8F2865" w14:textId="234A7197" w:rsidR="007F7897" w:rsidRPr="00546985" w:rsidRDefault="00965710" w:rsidP="00B6452C">
            <w:pPr>
              <w:rPr>
                <w:rFonts w:cs="Arial"/>
                <w:b/>
              </w:rPr>
            </w:pPr>
            <w:r>
              <w:rPr>
                <w:rFonts w:cs="Arial"/>
                <w:b/>
              </w:rPr>
              <w:t>yes</w:t>
            </w:r>
          </w:p>
        </w:tc>
        <w:tc>
          <w:tcPr>
            <w:tcW w:w="3336" w:type="dxa"/>
          </w:tcPr>
          <w:p w14:paraId="580D832E" w14:textId="050D226A" w:rsidR="007F7897" w:rsidRPr="00546985" w:rsidRDefault="00965710" w:rsidP="00B6452C">
            <w:pPr>
              <w:rPr>
                <w:rFonts w:cs="Arial"/>
                <w:b/>
              </w:rPr>
            </w:pPr>
            <w:r>
              <w:rPr>
                <w:rFonts w:cs="Arial"/>
                <w:b/>
              </w:rPr>
              <w:t>positive</w:t>
            </w:r>
          </w:p>
        </w:tc>
      </w:tr>
      <w:tr w:rsidR="007F7897" w:rsidRPr="00546985" w14:paraId="5472D2AB" w14:textId="77777777" w:rsidTr="008761B6">
        <w:trPr>
          <w:trHeight w:val="567"/>
        </w:trPr>
        <w:tc>
          <w:tcPr>
            <w:tcW w:w="3126" w:type="dxa"/>
          </w:tcPr>
          <w:p w14:paraId="3BCE91A0" w14:textId="77777777" w:rsidR="007F7897" w:rsidRPr="00546985" w:rsidRDefault="007F7897" w:rsidP="00B6452C">
            <w:pPr>
              <w:rPr>
                <w:rFonts w:cs="Arial"/>
              </w:rPr>
            </w:pPr>
            <w:r w:rsidRPr="00546985">
              <w:rPr>
                <w:rFonts w:cs="Arial"/>
              </w:rPr>
              <w:t>Gender reassignment</w:t>
            </w:r>
          </w:p>
        </w:tc>
        <w:tc>
          <w:tcPr>
            <w:tcW w:w="3025" w:type="dxa"/>
          </w:tcPr>
          <w:p w14:paraId="7EB56E9A" w14:textId="0E885584" w:rsidR="007F7897" w:rsidRPr="00546985" w:rsidRDefault="00965710" w:rsidP="00B6452C">
            <w:pPr>
              <w:rPr>
                <w:rFonts w:cs="Arial"/>
                <w:b/>
              </w:rPr>
            </w:pPr>
            <w:r>
              <w:rPr>
                <w:rFonts w:cs="Arial"/>
                <w:b/>
              </w:rPr>
              <w:t>yes</w:t>
            </w:r>
          </w:p>
        </w:tc>
        <w:tc>
          <w:tcPr>
            <w:tcW w:w="3336" w:type="dxa"/>
          </w:tcPr>
          <w:p w14:paraId="11611517" w14:textId="70E4CE7C" w:rsidR="007F7897" w:rsidRPr="00546985" w:rsidRDefault="00965710" w:rsidP="00B6452C">
            <w:pPr>
              <w:rPr>
                <w:rFonts w:cs="Arial"/>
                <w:b/>
              </w:rPr>
            </w:pPr>
            <w:r>
              <w:rPr>
                <w:rFonts w:cs="Arial"/>
                <w:b/>
              </w:rPr>
              <w:t>positive</w:t>
            </w:r>
          </w:p>
        </w:tc>
      </w:tr>
      <w:tr w:rsidR="007F7897" w:rsidRPr="00546985" w14:paraId="146D420C" w14:textId="77777777" w:rsidTr="008761B6">
        <w:trPr>
          <w:trHeight w:val="567"/>
        </w:trPr>
        <w:tc>
          <w:tcPr>
            <w:tcW w:w="3126" w:type="dxa"/>
          </w:tcPr>
          <w:p w14:paraId="5408D69E" w14:textId="77777777" w:rsidR="007F7897" w:rsidRPr="00546985" w:rsidRDefault="007F7897" w:rsidP="00B6452C">
            <w:pPr>
              <w:rPr>
                <w:rFonts w:cs="Arial"/>
              </w:rPr>
            </w:pPr>
            <w:r w:rsidRPr="00546985">
              <w:rPr>
                <w:rFonts w:cs="Arial"/>
              </w:rPr>
              <w:lastRenderedPageBreak/>
              <w:t>Marriage and civil partnership</w:t>
            </w:r>
          </w:p>
        </w:tc>
        <w:tc>
          <w:tcPr>
            <w:tcW w:w="3025" w:type="dxa"/>
          </w:tcPr>
          <w:p w14:paraId="721E45D6" w14:textId="66A72E78" w:rsidR="007F7897" w:rsidRPr="00546985" w:rsidRDefault="00965710" w:rsidP="00B6452C">
            <w:pPr>
              <w:rPr>
                <w:rFonts w:cs="Arial"/>
                <w:b/>
              </w:rPr>
            </w:pPr>
            <w:r>
              <w:rPr>
                <w:rFonts w:cs="Arial"/>
                <w:b/>
              </w:rPr>
              <w:t>yes</w:t>
            </w:r>
          </w:p>
        </w:tc>
        <w:tc>
          <w:tcPr>
            <w:tcW w:w="3336" w:type="dxa"/>
          </w:tcPr>
          <w:p w14:paraId="0E6A05CD" w14:textId="3550EC8B" w:rsidR="007F7897" w:rsidRPr="00546985" w:rsidRDefault="00965710" w:rsidP="00B6452C">
            <w:pPr>
              <w:rPr>
                <w:rFonts w:cs="Arial"/>
                <w:b/>
              </w:rPr>
            </w:pPr>
            <w:r>
              <w:rPr>
                <w:rFonts w:cs="Arial"/>
                <w:b/>
              </w:rPr>
              <w:t>positive</w:t>
            </w:r>
          </w:p>
        </w:tc>
      </w:tr>
      <w:tr w:rsidR="007F7897" w:rsidRPr="00546985" w14:paraId="63A20B2D" w14:textId="77777777" w:rsidTr="008761B6">
        <w:trPr>
          <w:trHeight w:val="567"/>
        </w:trPr>
        <w:tc>
          <w:tcPr>
            <w:tcW w:w="3126" w:type="dxa"/>
          </w:tcPr>
          <w:p w14:paraId="3E8B7F28" w14:textId="77777777" w:rsidR="007F7897" w:rsidRPr="00546985" w:rsidRDefault="007F7897" w:rsidP="00B6452C">
            <w:pPr>
              <w:rPr>
                <w:rFonts w:cs="Arial"/>
              </w:rPr>
            </w:pPr>
            <w:r w:rsidRPr="00546985">
              <w:rPr>
                <w:rFonts w:cs="Arial"/>
              </w:rPr>
              <w:t>Pregnancy and maternity</w:t>
            </w:r>
          </w:p>
        </w:tc>
        <w:tc>
          <w:tcPr>
            <w:tcW w:w="3025" w:type="dxa"/>
          </w:tcPr>
          <w:p w14:paraId="0899EF3C" w14:textId="50F569D5" w:rsidR="007F7897" w:rsidRPr="00546985" w:rsidRDefault="00A23973" w:rsidP="00B6452C">
            <w:pPr>
              <w:rPr>
                <w:rFonts w:cs="Arial"/>
                <w:b/>
              </w:rPr>
            </w:pPr>
            <w:r>
              <w:rPr>
                <w:rFonts w:cs="Arial"/>
                <w:b/>
              </w:rPr>
              <w:t>n</w:t>
            </w:r>
            <w:r w:rsidR="00965710">
              <w:rPr>
                <w:rFonts w:cs="Arial"/>
                <w:b/>
              </w:rPr>
              <w:t>o (not included in this policy)</w:t>
            </w:r>
          </w:p>
        </w:tc>
        <w:tc>
          <w:tcPr>
            <w:tcW w:w="3336" w:type="dxa"/>
          </w:tcPr>
          <w:p w14:paraId="147B9223" w14:textId="77777777" w:rsidR="007F7897" w:rsidRPr="00546985" w:rsidRDefault="007F7897" w:rsidP="00B6452C">
            <w:pPr>
              <w:rPr>
                <w:rFonts w:cs="Arial"/>
                <w:b/>
              </w:rPr>
            </w:pPr>
          </w:p>
        </w:tc>
      </w:tr>
      <w:tr w:rsidR="007F7897" w:rsidRPr="00546985" w14:paraId="08532B81" w14:textId="77777777" w:rsidTr="008761B6">
        <w:trPr>
          <w:trHeight w:val="567"/>
        </w:trPr>
        <w:tc>
          <w:tcPr>
            <w:tcW w:w="3126" w:type="dxa"/>
          </w:tcPr>
          <w:p w14:paraId="5A939B9B" w14:textId="77777777" w:rsidR="007F7897" w:rsidRPr="00546985" w:rsidRDefault="007F7897" w:rsidP="00B6452C">
            <w:pPr>
              <w:rPr>
                <w:rFonts w:cs="Arial"/>
              </w:rPr>
            </w:pPr>
            <w:r w:rsidRPr="00546985">
              <w:rPr>
                <w:rFonts w:cs="Arial"/>
              </w:rPr>
              <w:t>Race</w:t>
            </w:r>
          </w:p>
        </w:tc>
        <w:tc>
          <w:tcPr>
            <w:tcW w:w="3025" w:type="dxa"/>
          </w:tcPr>
          <w:p w14:paraId="6BC5767A" w14:textId="0B7DA372" w:rsidR="007F7897" w:rsidRPr="00546985" w:rsidRDefault="00965710" w:rsidP="00B6452C">
            <w:pPr>
              <w:rPr>
                <w:rFonts w:cs="Arial"/>
                <w:b/>
              </w:rPr>
            </w:pPr>
            <w:r>
              <w:rPr>
                <w:rFonts w:cs="Arial"/>
                <w:b/>
              </w:rPr>
              <w:t>yes</w:t>
            </w:r>
          </w:p>
        </w:tc>
        <w:tc>
          <w:tcPr>
            <w:tcW w:w="3336" w:type="dxa"/>
          </w:tcPr>
          <w:p w14:paraId="115F191D" w14:textId="101C4233" w:rsidR="007F7897" w:rsidRPr="00546985" w:rsidRDefault="00965710" w:rsidP="00B6452C">
            <w:pPr>
              <w:rPr>
                <w:rFonts w:cs="Arial"/>
                <w:b/>
              </w:rPr>
            </w:pPr>
            <w:r>
              <w:rPr>
                <w:rFonts w:cs="Arial"/>
                <w:b/>
              </w:rPr>
              <w:t>positive</w:t>
            </w:r>
          </w:p>
        </w:tc>
      </w:tr>
      <w:tr w:rsidR="007F7897" w:rsidRPr="00546985" w14:paraId="68531EAD" w14:textId="77777777" w:rsidTr="008761B6">
        <w:trPr>
          <w:trHeight w:val="567"/>
        </w:trPr>
        <w:tc>
          <w:tcPr>
            <w:tcW w:w="3126" w:type="dxa"/>
          </w:tcPr>
          <w:p w14:paraId="79B8AFA7" w14:textId="77777777" w:rsidR="007F7897" w:rsidRPr="00546985" w:rsidRDefault="007F7897" w:rsidP="00B6452C">
            <w:pPr>
              <w:rPr>
                <w:rFonts w:cs="Arial"/>
              </w:rPr>
            </w:pPr>
            <w:r w:rsidRPr="00546985">
              <w:rPr>
                <w:rFonts w:cs="Arial"/>
              </w:rPr>
              <w:t>Religion or belief</w:t>
            </w:r>
          </w:p>
        </w:tc>
        <w:tc>
          <w:tcPr>
            <w:tcW w:w="3025" w:type="dxa"/>
          </w:tcPr>
          <w:p w14:paraId="3D3797EC" w14:textId="28C70845" w:rsidR="007F7897" w:rsidRPr="00546985" w:rsidRDefault="00965710" w:rsidP="00B6452C">
            <w:pPr>
              <w:rPr>
                <w:rFonts w:cs="Arial"/>
                <w:b/>
              </w:rPr>
            </w:pPr>
            <w:r>
              <w:rPr>
                <w:rFonts w:cs="Arial"/>
                <w:b/>
              </w:rPr>
              <w:t>yes</w:t>
            </w:r>
          </w:p>
        </w:tc>
        <w:tc>
          <w:tcPr>
            <w:tcW w:w="3336" w:type="dxa"/>
          </w:tcPr>
          <w:p w14:paraId="18CC1520" w14:textId="0B577B6A" w:rsidR="007F7897" w:rsidRPr="00546985" w:rsidRDefault="00965710" w:rsidP="00B6452C">
            <w:pPr>
              <w:rPr>
                <w:rFonts w:cs="Arial"/>
                <w:b/>
              </w:rPr>
            </w:pPr>
            <w:r>
              <w:rPr>
                <w:rFonts w:cs="Arial"/>
                <w:b/>
              </w:rPr>
              <w:t>positive</w:t>
            </w:r>
          </w:p>
        </w:tc>
      </w:tr>
      <w:tr w:rsidR="007F7897" w:rsidRPr="00546985" w14:paraId="406BFDEA" w14:textId="77777777" w:rsidTr="008761B6">
        <w:trPr>
          <w:trHeight w:val="567"/>
        </w:trPr>
        <w:tc>
          <w:tcPr>
            <w:tcW w:w="3126" w:type="dxa"/>
          </w:tcPr>
          <w:p w14:paraId="57CCB993" w14:textId="77777777" w:rsidR="007F7897" w:rsidRPr="00546985" w:rsidRDefault="007F7897" w:rsidP="00B6452C">
            <w:pPr>
              <w:rPr>
                <w:rFonts w:cs="Arial"/>
              </w:rPr>
            </w:pPr>
            <w:r w:rsidRPr="00546985">
              <w:rPr>
                <w:rFonts w:cs="Arial"/>
              </w:rPr>
              <w:t>Sex</w:t>
            </w:r>
          </w:p>
        </w:tc>
        <w:tc>
          <w:tcPr>
            <w:tcW w:w="3025" w:type="dxa"/>
          </w:tcPr>
          <w:p w14:paraId="63F8175D" w14:textId="0F80FEC0" w:rsidR="007F7897" w:rsidRPr="00546985" w:rsidRDefault="00965710" w:rsidP="00B6452C">
            <w:pPr>
              <w:rPr>
                <w:rFonts w:cs="Arial"/>
                <w:b/>
              </w:rPr>
            </w:pPr>
            <w:r>
              <w:rPr>
                <w:rFonts w:cs="Arial"/>
                <w:b/>
              </w:rPr>
              <w:t>yes</w:t>
            </w:r>
          </w:p>
        </w:tc>
        <w:tc>
          <w:tcPr>
            <w:tcW w:w="3336" w:type="dxa"/>
          </w:tcPr>
          <w:p w14:paraId="3FA53841" w14:textId="57C4ACC5" w:rsidR="007F7897" w:rsidRPr="00546985" w:rsidRDefault="00965710" w:rsidP="00B6452C">
            <w:pPr>
              <w:rPr>
                <w:rFonts w:cs="Arial"/>
                <w:b/>
              </w:rPr>
            </w:pPr>
            <w:r>
              <w:rPr>
                <w:rFonts w:cs="Arial"/>
                <w:b/>
              </w:rPr>
              <w:t>positive</w:t>
            </w:r>
          </w:p>
        </w:tc>
      </w:tr>
      <w:tr w:rsidR="007F7897" w:rsidRPr="00546985" w14:paraId="2D8CD69E" w14:textId="77777777" w:rsidTr="008761B6">
        <w:trPr>
          <w:trHeight w:val="567"/>
        </w:trPr>
        <w:tc>
          <w:tcPr>
            <w:tcW w:w="3126" w:type="dxa"/>
          </w:tcPr>
          <w:p w14:paraId="09F8CDDB" w14:textId="77777777" w:rsidR="007F7897" w:rsidRPr="00546985" w:rsidRDefault="007F7897" w:rsidP="00B6452C">
            <w:pPr>
              <w:rPr>
                <w:rFonts w:cs="Arial"/>
              </w:rPr>
            </w:pPr>
            <w:r w:rsidRPr="00546985">
              <w:rPr>
                <w:rFonts w:cs="Arial"/>
              </w:rPr>
              <w:t>Sexual orientation</w:t>
            </w:r>
          </w:p>
        </w:tc>
        <w:tc>
          <w:tcPr>
            <w:tcW w:w="3025" w:type="dxa"/>
          </w:tcPr>
          <w:p w14:paraId="28FE07DA" w14:textId="7850FA57" w:rsidR="007F7897" w:rsidRPr="00546985" w:rsidRDefault="00965710" w:rsidP="00B6452C">
            <w:pPr>
              <w:rPr>
                <w:rFonts w:cs="Arial"/>
                <w:b/>
              </w:rPr>
            </w:pPr>
            <w:r>
              <w:rPr>
                <w:rFonts w:cs="Arial"/>
                <w:b/>
              </w:rPr>
              <w:t>yes</w:t>
            </w:r>
          </w:p>
        </w:tc>
        <w:tc>
          <w:tcPr>
            <w:tcW w:w="3336" w:type="dxa"/>
          </w:tcPr>
          <w:p w14:paraId="34800000" w14:textId="5238C048" w:rsidR="007F7897" w:rsidRPr="00546985" w:rsidRDefault="00965710" w:rsidP="00B6452C">
            <w:pPr>
              <w:rPr>
                <w:rFonts w:cs="Arial"/>
                <w:b/>
              </w:rPr>
            </w:pPr>
            <w:r>
              <w:rPr>
                <w:rFonts w:cs="Arial"/>
                <w:b/>
              </w:rPr>
              <w:t>positive</w:t>
            </w:r>
          </w:p>
        </w:tc>
      </w:tr>
    </w:tbl>
    <w:p w14:paraId="0F124457" w14:textId="6A349420" w:rsidR="007F7897" w:rsidRDefault="007F7897" w:rsidP="007F7897">
      <w:pPr>
        <w:rPr>
          <w:rFonts w:cs="Arial"/>
        </w:rPr>
      </w:pPr>
    </w:p>
    <w:p w14:paraId="7E23790C" w14:textId="4CEF523F" w:rsidR="008761B6" w:rsidRPr="00546985" w:rsidRDefault="008761B6" w:rsidP="007F7897">
      <w:pPr>
        <w:rPr>
          <w:rFonts w:cs="Arial"/>
        </w:rPr>
      </w:pPr>
      <w:r w:rsidRPr="008761B6">
        <w:rPr>
          <w:rFonts w:cs="Arial"/>
        </w:rPr>
        <w:t xml:space="preserve">If there is insufficient evidence to </w:t>
      </w:r>
      <w:proofErr w:type="gramStart"/>
      <w:r w:rsidRPr="008761B6">
        <w:rPr>
          <w:rFonts w:cs="Arial"/>
        </w:rPr>
        <w:t>make a decision</w:t>
      </w:r>
      <w:proofErr w:type="gramEnd"/>
      <w:r w:rsidRPr="008761B6">
        <w:rPr>
          <w:rFonts w:cs="Arial"/>
        </w:rPr>
        <w:t xml:space="preserve"> about the impact of the policy it may be necessary to consult with members of protected characteristic groups to establish how best to meet their needs or to overcome barriers.</w:t>
      </w:r>
    </w:p>
    <w:tbl>
      <w:tblPr>
        <w:tblStyle w:val="TableGrid1"/>
        <w:tblW w:w="0" w:type="auto"/>
        <w:tblLook w:val="06A0" w:firstRow="1" w:lastRow="0" w:firstColumn="1" w:lastColumn="0" w:noHBand="1" w:noVBand="1"/>
      </w:tblPr>
      <w:tblGrid>
        <w:gridCol w:w="3080"/>
        <w:gridCol w:w="6407"/>
      </w:tblGrid>
      <w:tr w:rsidR="007F7897" w:rsidRPr="00546985" w14:paraId="4C955980" w14:textId="77777777" w:rsidTr="008761B6">
        <w:tc>
          <w:tcPr>
            <w:tcW w:w="3080" w:type="dxa"/>
          </w:tcPr>
          <w:p w14:paraId="76B04811" w14:textId="77777777" w:rsidR="007F7897" w:rsidRPr="00546985" w:rsidRDefault="007F7897" w:rsidP="00B6452C">
            <w:pPr>
              <w:rPr>
                <w:rFonts w:eastAsia="Times New Roman" w:cs="Arial"/>
              </w:rPr>
            </w:pPr>
            <w:r w:rsidRPr="00546985">
              <w:rPr>
                <w:rFonts w:eastAsia="Times New Roman" w:cs="Arial"/>
              </w:rPr>
              <w:t>Has there been specific consultation on this policy?</w:t>
            </w:r>
          </w:p>
        </w:tc>
        <w:tc>
          <w:tcPr>
            <w:tcW w:w="6407" w:type="dxa"/>
          </w:tcPr>
          <w:p w14:paraId="63C9B799" w14:textId="47D36195" w:rsidR="007F7897" w:rsidRPr="00546985" w:rsidRDefault="00EC4F5E" w:rsidP="00B6452C">
            <w:pPr>
              <w:rPr>
                <w:rFonts w:cs="Arial"/>
              </w:rPr>
            </w:pPr>
            <w:r>
              <w:rPr>
                <w:rFonts w:cs="Arial"/>
              </w:rPr>
              <w:t>No</w:t>
            </w:r>
          </w:p>
        </w:tc>
      </w:tr>
      <w:tr w:rsidR="007F7897" w:rsidRPr="00546985" w14:paraId="37D0662A" w14:textId="77777777" w:rsidTr="008761B6">
        <w:tc>
          <w:tcPr>
            <w:tcW w:w="3080" w:type="dxa"/>
          </w:tcPr>
          <w:p w14:paraId="18975314" w14:textId="77777777" w:rsidR="007F7897" w:rsidRPr="00546985" w:rsidRDefault="007F7897" w:rsidP="00B6452C">
            <w:pPr>
              <w:rPr>
                <w:rFonts w:eastAsia="Times New Roman" w:cs="Arial"/>
              </w:rPr>
            </w:pPr>
            <w:r w:rsidRPr="00546985">
              <w:rPr>
                <w:rFonts w:eastAsia="Times New Roman" w:cs="Arial"/>
              </w:rPr>
              <w:t>Did the consultation analysis reveal any difference in views across the protected characteristics?</w:t>
            </w:r>
          </w:p>
        </w:tc>
        <w:tc>
          <w:tcPr>
            <w:tcW w:w="6407" w:type="dxa"/>
          </w:tcPr>
          <w:p w14:paraId="005AD600" w14:textId="413B85A8" w:rsidR="007F7897" w:rsidRPr="00546985" w:rsidRDefault="00EC4F5E" w:rsidP="00B6452C">
            <w:pPr>
              <w:rPr>
                <w:rFonts w:cs="Arial"/>
              </w:rPr>
            </w:pPr>
            <w:r>
              <w:rPr>
                <w:rFonts w:cs="Arial"/>
              </w:rPr>
              <w:t>n/a</w:t>
            </w:r>
          </w:p>
        </w:tc>
      </w:tr>
    </w:tbl>
    <w:p w14:paraId="59AD167A" w14:textId="594C5B49" w:rsidR="007F7897" w:rsidRDefault="007F7897" w:rsidP="007F7897">
      <w:pPr>
        <w:rPr>
          <w:rFonts w:cs="Arial"/>
        </w:rPr>
      </w:pPr>
    </w:p>
    <w:p w14:paraId="5F4748C7" w14:textId="77777777" w:rsidR="008761B6" w:rsidRPr="008761B6" w:rsidRDefault="008761B6" w:rsidP="008761B6">
      <w:pPr>
        <w:rPr>
          <w:b/>
        </w:rPr>
      </w:pPr>
      <w:r w:rsidRPr="008761B6">
        <w:rPr>
          <w:b/>
        </w:rPr>
        <w:t>Disability Protected Characteristic</w:t>
      </w:r>
    </w:p>
    <w:p w14:paraId="4CBFE0DF" w14:textId="77777777" w:rsidR="008761B6" w:rsidRDefault="008761B6" w:rsidP="008761B6">
      <w:r>
        <w:t xml:space="preserve">We need to ensure that we meet the Accessible Information Standard (AIS) which aims to support people with a disability, sensory loss or impairment to receive information they can understand and any communication support they need. </w:t>
      </w:r>
    </w:p>
    <w:p w14:paraId="78229809" w14:textId="77777777" w:rsidR="008761B6" w:rsidRDefault="008761B6" w:rsidP="008761B6">
      <w:r>
        <w:t>For more information, go to:</w:t>
      </w:r>
    </w:p>
    <w:p w14:paraId="622F86FB" w14:textId="77777777" w:rsidR="008761B6" w:rsidRDefault="00E8222A" w:rsidP="008761B6">
      <w:hyperlink r:id="rId34" w:history="1">
        <w:r w:rsidR="008761B6" w:rsidRPr="00C16F12">
          <w:rPr>
            <w:rStyle w:val="Hyperlink"/>
          </w:rPr>
          <w:t>Accessible information standard (AIS) for E</w:t>
        </w:r>
        <w:r w:rsidR="008761B6">
          <w:rPr>
            <w:rStyle w:val="Hyperlink"/>
          </w:rPr>
          <w:t xml:space="preserve">ast Kent Hospitals </w:t>
        </w:r>
        <w:r w:rsidR="008761B6" w:rsidRPr="00C16F12">
          <w:rPr>
            <w:rStyle w:val="Hyperlink"/>
          </w:rPr>
          <w:t>staff</w:t>
        </w:r>
      </w:hyperlink>
    </w:p>
    <w:p w14:paraId="545A32CF" w14:textId="77777777" w:rsidR="008761B6" w:rsidRDefault="00E8222A" w:rsidP="008761B6">
      <w:hyperlink r:id="rId35" w:history="1">
        <w:r w:rsidR="008761B6" w:rsidRPr="00C16F12">
          <w:rPr>
            <w:rStyle w:val="Hyperlink"/>
          </w:rPr>
          <w:t>Understanding accessible information - NHS England</w:t>
        </w:r>
      </w:hyperlink>
    </w:p>
    <w:p w14:paraId="6156F023" w14:textId="77777777" w:rsidR="008761B6" w:rsidRPr="00546985" w:rsidRDefault="008761B6" w:rsidP="007F7897">
      <w:pPr>
        <w:rPr>
          <w:rFonts w:cs="Arial"/>
        </w:rPr>
      </w:pPr>
    </w:p>
    <w:tbl>
      <w:tblPr>
        <w:tblStyle w:val="TableGrid1"/>
        <w:tblpPr w:leftFromText="180" w:rightFromText="180" w:vertAnchor="text" w:horzAnchor="margin" w:tblpY="49"/>
        <w:tblW w:w="0" w:type="auto"/>
        <w:tblLook w:val="06A0" w:firstRow="1" w:lastRow="0" w:firstColumn="1" w:lastColumn="0" w:noHBand="1" w:noVBand="1"/>
      </w:tblPr>
      <w:tblGrid>
        <w:gridCol w:w="3025"/>
        <w:gridCol w:w="6462"/>
      </w:tblGrid>
      <w:tr w:rsidR="007F7897" w:rsidRPr="00546985" w14:paraId="6AFDED4D" w14:textId="77777777" w:rsidTr="008761B6">
        <w:tc>
          <w:tcPr>
            <w:tcW w:w="3085" w:type="dxa"/>
          </w:tcPr>
          <w:p w14:paraId="60441D89" w14:textId="77777777" w:rsidR="007F7897" w:rsidRPr="00546985" w:rsidRDefault="007F7897" w:rsidP="00B6452C">
            <w:pPr>
              <w:rPr>
                <w:rFonts w:cs="Arial"/>
              </w:rPr>
            </w:pPr>
            <w:r w:rsidRPr="00546985">
              <w:rPr>
                <w:rFonts w:cs="Arial"/>
                <w:b/>
              </w:rPr>
              <w:t>Mitigating negative impact:</w:t>
            </w:r>
          </w:p>
          <w:p w14:paraId="302DFB18" w14:textId="77777777" w:rsidR="007F7897" w:rsidRPr="00546985" w:rsidRDefault="007F7897" w:rsidP="00B6452C">
            <w:pPr>
              <w:rPr>
                <w:rFonts w:cs="Arial"/>
              </w:rPr>
            </w:pPr>
            <w:r w:rsidRPr="00546985">
              <w:rPr>
                <w:rFonts w:cs="Arial"/>
              </w:rPr>
              <w:t>Where any negative impact has been identified, outline the measures taken to mitigate against it.</w:t>
            </w:r>
          </w:p>
        </w:tc>
        <w:tc>
          <w:tcPr>
            <w:tcW w:w="6662" w:type="dxa"/>
          </w:tcPr>
          <w:p w14:paraId="6F0697E4" w14:textId="6287FD87" w:rsidR="007F7897" w:rsidRPr="00546985" w:rsidRDefault="00EC4F5E" w:rsidP="00B6452C">
            <w:pPr>
              <w:rPr>
                <w:rFonts w:cs="Arial"/>
              </w:rPr>
            </w:pPr>
            <w:r>
              <w:rPr>
                <w:rFonts w:cs="Arial"/>
              </w:rPr>
              <w:t>n/a</w:t>
            </w:r>
          </w:p>
        </w:tc>
      </w:tr>
    </w:tbl>
    <w:p w14:paraId="2A859D55" w14:textId="77777777" w:rsidR="007F7897" w:rsidRPr="00546985" w:rsidRDefault="007F7897" w:rsidP="007F7897">
      <w:pPr>
        <w:rPr>
          <w:rFonts w:cs="Arial"/>
        </w:rPr>
      </w:pPr>
    </w:p>
    <w:tbl>
      <w:tblPr>
        <w:tblStyle w:val="TableGrid1"/>
        <w:tblW w:w="0" w:type="auto"/>
        <w:tblLook w:val="06A0" w:firstRow="1" w:lastRow="0" w:firstColumn="1" w:lastColumn="0" w:noHBand="1" w:noVBand="1"/>
      </w:tblPr>
      <w:tblGrid>
        <w:gridCol w:w="3014"/>
        <w:gridCol w:w="6473"/>
      </w:tblGrid>
      <w:tr w:rsidR="007F7897" w:rsidRPr="00546985" w14:paraId="4E8052DB" w14:textId="77777777" w:rsidTr="008761B6">
        <w:trPr>
          <w:trHeight w:val="1755"/>
        </w:trPr>
        <w:tc>
          <w:tcPr>
            <w:tcW w:w="3080" w:type="dxa"/>
          </w:tcPr>
          <w:p w14:paraId="62F1912E" w14:textId="77777777" w:rsidR="007F7897" w:rsidRPr="00546985" w:rsidRDefault="007F7897" w:rsidP="00B6452C">
            <w:pPr>
              <w:rPr>
                <w:rFonts w:cs="Arial"/>
                <w:b/>
              </w:rPr>
            </w:pPr>
            <w:r w:rsidRPr="00546985">
              <w:rPr>
                <w:rFonts w:cs="Arial"/>
                <w:b/>
              </w:rPr>
              <w:t>Conclusion:</w:t>
            </w:r>
          </w:p>
          <w:p w14:paraId="685B809A" w14:textId="24F00658" w:rsidR="007F7897" w:rsidRPr="00546985" w:rsidRDefault="007F7897" w:rsidP="00B6452C">
            <w:pPr>
              <w:rPr>
                <w:rFonts w:cs="Arial"/>
                <w:b/>
              </w:rPr>
            </w:pPr>
            <w:r w:rsidRPr="00546985">
              <w:rPr>
                <w:rFonts w:cs="Arial"/>
              </w:rPr>
              <w:t xml:space="preserve">Advise on the overall equality implications that should be </w:t>
            </w:r>
            <w:proofErr w:type="gramStart"/>
            <w:r w:rsidRPr="00546985">
              <w:rPr>
                <w:rFonts w:cs="Arial"/>
              </w:rPr>
              <w:t>taken</w:t>
            </w:r>
            <w:r w:rsidR="00A23973">
              <w:rPr>
                <w:rFonts w:cs="Arial"/>
              </w:rPr>
              <w:t xml:space="preserve"> </w:t>
            </w:r>
            <w:r w:rsidRPr="00546985">
              <w:rPr>
                <w:rFonts w:cs="Arial"/>
              </w:rPr>
              <w:t>into account</w:t>
            </w:r>
            <w:proofErr w:type="gramEnd"/>
            <w:r w:rsidRPr="00546985">
              <w:rPr>
                <w:rFonts w:cs="Arial"/>
              </w:rPr>
              <w:t xml:space="preserve"> by the policy approving committee.</w:t>
            </w:r>
          </w:p>
        </w:tc>
        <w:tc>
          <w:tcPr>
            <w:tcW w:w="6667" w:type="dxa"/>
          </w:tcPr>
          <w:p w14:paraId="19618D8E" w14:textId="73C59895" w:rsidR="007F7897" w:rsidRPr="00546985" w:rsidRDefault="00EC4F5E" w:rsidP="00B6452C">
            <w:pPr>
              <w:rPr>
                <w:rFonts w:cs="Arial"/>
              </w:rPr>
            </w:pPr>
            <w:r>
              <w:rPr>
                <w:rFonts w:cs="Arial"/>
              </w:rPr>
              <w:t>There are no envisaged equality implications from the introduction of this policy. The Learning from Deaths Policy is a</w:t>
            </w:r>
            <w:r w:rsidR="00965710">
              <w:rPr>
                <w:rFonts w:cs="Arial"/>
              </w:rPr>
              <w:t xml:space="preserve"> positive</w:t>
            </w:r>
            <w:r>
              <w:rPr>
                <w:rFonts w:cs="Arial"/>
              </w:rPr>
              <w:t xml:space="preserve"> opportunity for learning from all cases that include any of the protected characteristics.</w:t>
            </w:r>
          </w:p>
        </w:tc>
      </w:tr>
    </w:tbl>
    <w:p w14:paraId="7F4C2D61" w14:textId="7D70D5D2" w:rsidR="00852C70" w:rsidRPr="00C54512" w:rsidRDefault="003A26FA" w:rsidP="007F7897">
      <w:pPr>
        <w:pStyle w:val="Policyheader"/>
        <w:numPr>
          <w:ilvl w:val="0"/>
          <w:numId w:val="0"/>
        </w:numPr>
      </w:pPr>
      <w:r>
        <w:br w:type="page"/>
      </w:r>
      <w:bookmarkStart w:id="140" w:name="_Toc82782021"/>
      <w:bookmarkStart w:id="141" w:name="_Toc94693645"/>
      <w:r w:rsidR="007F7897" w:rsidRPr="007F7897">
        <w:lastRenderedPageBreak/>
        <w:t xml:space="preserve">Appendix </w:t>
      </w:r>
      <w:r w:rsidR="007B413E">
        <w:t>7</w:t>
      </w:r>
      <w:r w:rsidR="007F7897" w:rsidRPr="007F7897">
        <w:t xml:space="preserve"> – Policy Implementation Plan</w:t>
      </w:r>
      <w:bookmarkEnd w:id="140"/>
      <w:bookmarkEnd w:id="141"/>
    </w:p>
    <w:p w14:paraId="1DFD6176" w14:textId="7F074003" w:rsidR="007F7897" w:rsidRPr="00C54512" w:rsidRDefault="007F7897" w:rsidP="007F7897">
      <w:pPr>
        <w:rPr>
          <w:rFonts w:cs="Arial"/>
        </w:rPr>
      </w:pPr>
      <w:r w:rsidRPr="00C54512">
        <w:rPr>
          <w:rFonts w:cs="Arial"/>
        </w:rPr>
        <w:t xml:space="preserve">To be completed </w:t>
      </w:r>
      <w:r>
        <w:rPr>
          <w:rFonts w:cs="Arial"/>
        </w:rPr>
        <w:t>for each version of policy submitted for approval.</w:t>
      </w:r>
    </w:p>
    <w:tbl>
      <w:tblPr>
        <w:tblStyle w:val="TableGrid1"/>
        <w:tblW w:w="0" w:type="auto"/>
        <w:tblLayout w:type="fixed"/>
        <w:tblLook w:val="06A0" w:firstRow="1" w:lastRow="0" w:firstColumn="1" w:lastColumn="0" w:noHBand="1" w:noVBand="1"/>
      </w:tblPr>
      <w:tblGrid>
        <w:gridCol w:w="2376"/>
        <w:gridCol w:w="7230"/>
      </w:tblGrid>
      <w:tr w:rsidR="007F7897" w:rsidRPr="000C09A7" w14:paraId="29624D29" w14:textId="77777777" w:rsidTr="008761B6">
        <w:tc>
          <w:tcPr>
            <w:tcW w:w="2376" w:type="dxa"/>
          </w:tcPr>
          <w:p w14:paraId="1C90A770" w14:textId="77777777" w:rsidR="007F7897" w:rsidRPr="000C09A7" w:rsidRDefault="007F7897" w:rsidP="00B6452C">
            <w:pPr>
              <w:spacing w:before="120" w:after="120"/>
              <w:rPr>
                <w:rFonts w:cs="Arial"/>
                <w:b/>
              </w:rPr>
            </w:pPr>
            <w:r w:rsidRPr="000C09A7">
              <w:rPr>
                <w:rFonts w:cs="Arial"/>
                <w:b/>
              </w:rPr>
              <w:t>Policy Title:</w:t>
            </w:r>
          </w:p>
        </w:tc>
        <w:tc>
          <w:tcPr>
            <w:tcW w:w="7230" w:type="dxa"/>
          </w:tcPr>
          <w:p w14:paraId="747436AC" w14:textId="5D1C3993" w:rsidR="007F7897" w:rsidRPr="000C09A7" w:rsidRDefault="003C4DF0" w:rsidP="00B6452C">
            <w:pPr>
              <w:tabs>
                <w:tab w:val="left" w:pos="4600"/>
              </w:tabs>
              <w:spacing w:before="120" w:after="120" w:line="300" w:lineRule="auto"/>
              <w:jc w:val="both"/>
              <w:rPr>
                <w:rFonts w:cs="Arial"/>
              </w:rPr>
            </w:pPr>
            <w:r>
              <w:rPr>
                <w:rFonts w:cs="Arial"/>
              </w:rPr>
              <w:t>Learning from Deaths Policy</w:t>
            </w:r>
          </w:p>
        </w:tc>
      </w:tr>
      <w:tr w:rsidR="007F7897" w:rsidRPr="000C09A7" w14:paraId="237EBD43" w14:textId="77777777" w:rsidTr="008761B6">
        <w:tc>
          <w:tcPr>
            <w:tcW w:w="2376" w:type="dxa"/>
          </w:tcPr>
          <w:p w14:paraId="3B36EE4B" w14:textId="77777777" w:rsidR="007F7897" w:rsidRPr="000C09A7" w:rsidRDefault="007F7897" w:rsidP="00B6452C">
            <w:pPr>
              <w:spacing w:before="120" w:after="120"/>
              <w:rPr>
                <w:rFonts w:cs="Arial"/>
                <w:b/>
              </w:rPr>
            </w:pPr>
            <w:r w:rsidRPr="000C09A7">
              <w:rPr>
                <w:rFonts w:cs="Arial"/>
                <w:b/>
              </w:rPr>
              <w:t>Version Number:</w:t>
            </w:r>
          </w:p>
        </w:tc>
        <w:tc>
          <w:tcPr>
            <w:tcW w:w="7230" w:type="dxa"/>
          </w:tcPr>
          <w:p w14:paraId="45608944" w14:textId="6C9E8F16" w:rsidR="007F7897" w:rsidRPr="000C09A7" w:rsidRDefault="00BF4AA1" w:rsidP="00B6452C">
            <w:pPr>
              <w:spacing w:before="120" w:after="120" w:line="300" w:lineRule="auto"/>
              <w:jc w:val="both"/>
              <w:rPr>
                <w:rFonts w:cs="Arial"/>
              </w:rPr>
            </w:pPr>
            <w:r>
              <w:rPr>
                <w:rFonts w:cs="Arial"/>
              </w:rPr>
              <w:t>3</w:t>
            </w:r>
          </w:p>
        </w:tc>
      </w:tr>
      <w:tr w:rsidR="007F7897" w:rsidRPr="000C09A7" w14:paraId="08A06FD8" w14:textId="77777777" w:rsidTr="008761B6">
        <w:tc>
          <w:tcPr>
            <w:tcW w:w="2376" w:type="dxa"/>
          </w:tcPr>
          <w:p w14:paraId="502F78B9" w14:textId="77777777" w:rsidR="007F7897" w:rsidRPr="000C09A7" w:rsidRDefault="007F7897" w:rsidP="00B6452C">
            <w:pPr>
              <w:spacing w:before="120" w:after="120"/>
              <w:rPr>
                <w:rFonts w:cs="Arial"/>
                <w:b/>
              </w:rPr>
            </w:pPr>
            <w:r w:rsidRPr="000C09A7">
              <w:rPr>
                <w:rFonts w:cs="Arial"/>
                <w:b/>
              </w:rPr>
              <w:t>Director Responsible for Implementation:</w:t>
            </w:r>
          </w:p>
        </w:tc>
        <w:tc>
          <w:tcPr>
            <w:tcW w:w="7230" w:type="dxa"/>
          </w:tcPr>
          <w:p w14:paraId="483732B0" w14:textId="26AB0BC1" w:rsidR="007F7897" w:rsidRPr="000C09A7" w:rsidRDefault="003C4DF0" w:rsidP="00B6452C">
            <w:pPr>
              <w:spacing w:before="120" w:after="120" w:line="300" w:lineRule="auto"/>
              <w:jc w:val="both"/>
              <w:rPr>
                <w:rFonts w:cs="Arial"/>
              </w:rPr>
            </w:pPr>
            <w:r>
              <w:rPr>
                <w:rFonts w:cs="Arial"/>
              </w:rPr>
              <w:t>Chief Medical Officer</w:t>
            </w:r>
          </w:p>
        </w:tc>
      </w:tr>
      <w:tr w:rsidR="007F7897" w:rsidRPr="000C09A7" w14:paraId="73461721" w14:textId="77777777" w:rsidTr="008761B6">
        <w:tc>
          <w:tcPr>
            <w:tcW w:w="2376" w:type="dxa"/>
          </w:tcPr>
          <w:p w14:paraId="0DEF6626" w14:textId="77777777" w:rsidR="007F7897" w:rsidRPr="000C09A7" w:rsidRDefault="007F7897" w:rsidP="00B6452C">
            <w:pPr>
              <w:spacing w:before="120" w:after="120"/>
              <w:rPr>
                <w:rFonts w:cs="Arial"/>
                <w:b/>
              </w:rPr>
            </w:pPr>
            <w:r w:rsidRPr="000C09A7">
              <w:rPr>
                <w:rFonts w:cs="Arial"/>
                <w:b/>
              </w:rPr>
              <w:t>Implementation Lead:</w:t>
            </w:r>
          </w:p>
        </w:tc>
        <w:tc>
          <w:tcPr>
            <w:tcW w:w="7230" w:type="dxa"/>
          </w:tcPr>
          <w:p w14:paraId="342E6785" w14:textId="577AF7E7" w:rsidR="007F7897" w:rsidRPr="000C09A7" w:rsidRDefault="003C4DF0" w:rsidP="00B6452C">
            <w:pPr>
              <w:spacing w:before="120" w:after="120" w:line="300" w:lineRule="auto"/>
              <w:jc w:val="both"/>
              <w:rPr>
                <w:rFonts w:cs="Arial"/>
              </w:rPr>
            </w:pPr>
            <w:r>
              <w:rPr>
                <w:rFonts w:cs="Arial"/>
              </w:rPr>
              <w:t>Mortality Lead</w:t>
            </w:r>
          </w:p>
        </w:tc>
      </w:tr>
    </w:tbl>
    <w:p w14:paraId="62F24792" w14:textId="77777777" w:rsidR="007F7897" w:rsidRPr="000C09A7" w:rsidRDefault="007F7897" w:rsidP="007F7897"/>
    <w:tbl>
      <w:tblPr>
        <w:tblStyle w:val="TableGrid1"/>
        <w:tblW w:w="0" w:type="auto"/>
        <w:tblLook w:val="06A0" w:firstRow="1" w:lastRow="0" w:firstColumn="1" w:lastColumn="0" w:noHBand="1" w:noVBand="1"/>
      </w:tblPr>
      <w:tblGrid>
        <w:gridCol w:w="2352"/>
        <w:gridCol w:w="7135"/>
      </w:tblGrid>
      <w:tr w:rsidR="007F7897" w:rsidRPr="000C09A7" w14:paraId="053E865B" w14:textId="77777777" w:rsidTr="008761B6">
        <w:trPr>
          <w:trHeight w:val="1134"/>
        </w:trPr>
        <w:tc>
          <w:tcPr>
            <w:tcW w:w="2376" w:type="dxa"/>
          </w:tcPr>
          <w:p w14:paraId="03B08C2D" w14:textId="77777777" w:rsidR="007F7897" w:rsidRPr="000C09A7" w:rsidRDefault="007F7897" w:rsidP="00BA058A">
            <w:pPr>
              <w:spacing w:before="100" w:beforeAutospacing="1" w:after="100" w:afterAutospacing="1"/>
              <w:rPr>
                <w:rFonts w:cs="Arial"/>
                <w:b/>
              </w:rPr>
            </w:pPr>
            <w:r w:rsidRPr="000C09A7">
              <w:rPr>
                <w:rFonts w:cs="Arial"/>
                <w:b/>
              </w:rPr>
              <w:t>Staff Groups affected by policy:</w:t>
            </w:r>
          </w:p>
        </w:tc>
        <w:tc>
          <w:tcPr>
            <w:tcW w:w="7336" w:type="dxa"/>
          </w:tcPr>
          <w:p w14:paraId="26FE4F8C" w14:textId="1F78D359" w:rsidR="007F7897" w:rsidRPr="003837D9" w:rsidRDefault="003C4DF0" w:rsidP="00BA058A">
            <w:pPr>
              <w:spacing w:before="100" w:beforeAutospacing="1" w:after="100" w:afterAutospacing="1"/>
              <w:rPr>
                <w:rFonts w:cs="Arial"/>
              </w:rPr>
            </w:pPr>
            <w:r>
              <w:rPr>
                <w:rFonts w:cs="Arial"/>
              </w:rPr>
              <w:t>All clinical staff groups</w:t>
            </w:r>
          </w:p>
        </w:tc>
      </w:tr>
      <w:tr w:rsidR="007F7897" w:rsidRPr="000C09A7" w14:paraId="4B951672" w14:textId="77777777" w:rsidTr="008761B6">
        <w:trPr>
          <w:trHeight w:val="1134"/>
        </w:trPr>
        <w:tc>
          <w:tcPr>
            <w:tcW w:w="2376" w:type="dxa"/>
          </w:tcPr>
          <w:p w14:paraId="4AB4F207" w14:textId="77777777" w:rsidR="007F7897" w:rsidRPr="00832DB4" w:rsidRDefault="007F7897" w:rsidP="00BA058A">
            <w:pPr>
              <w:spacing w:before="100" w:beforeAutospacing="1" w:after="100" w:afterAutospacing="1"/>
              <w:rPr>
                <w:b/>
              </w:rPr>
            </w:pPr>
            <w:r w:rsidRPr="00832DB4">
              <w:rPr>
                <w:b/>
              </w:rPr>
              <w:t xml:space="preserve">Subsidiary Companies affected by policy: </w:t>
            </w:r>
          </w:p>
        </w:tc>
        <w:tc>
          <w:tcPr>
            <w:tcW w:w="7336" w:type="dxa"/>
          </w:tcPr>
          <w:p w14:paraId="1AB5CD63" w14:textId="56A74881" w:rsidR="007F7897" w:rsidRDefault="003C4DF0" w:rsidP="00BA058A">
            <w:pPr>
              <w:spacing w:before="100" w:beforeAutospacing="1" w:after="100" w:afterAutospacing="1"/>
            </w:pPr>
            <w:r>
              <w:t>n/a</w:t>
            </w:r>
          </w:p>
        </w:tc>
      </w:tr>
      <w:tr w:rsidR="007F7897" w:rsidRPr="000C09A7" w14:paraId="79B935F1" w14:textId="77777777" w:rsidTr="008761B6">
        <w:trPr>
          <w:trHeight w:val="1134"/>
        </w:trPr>
        <w:tc>
          <w:tcPr>
            <w:tcW w:w="2376" w:type="dxa"/>
          </w:tcPr>
          <w:p w14:paraId="318AF832" w14:textId="77777777" w:rsidR="007F7897" w:rsidRPr="000C09A7" w:rsidRDefault="007F7897" w:rsidP="00BA058A">
            <w:pPr>
              <w:spacing w:before="100" w:beforeAutospacing="1" w:after="100" w:afterAutospacing="1"/>
              <w:rPr>
                <w:rFonts w:cs="Arial"/>
                <w:b/>
              </w:rPr>
            </w:pPr>
            <w:r w:rsidRPr="000C09A7">
              <w:rPr>
                <w:rFonts w:cs="Arial"/>
                <w:b/>
              </w:rPr>
              <w:t>Detail changes to current processes or practice:</w:t>
            </w:r>
          </w:p>
        </w:tc>
        <w:tc>
          <w:tcPr>
            <w:tcW w:w="7336" w:type="dxa"/>
          </w:tcPr>
          <w:p w14:paraId="13347D47" w14:textId="77777777" w:rsidR="00F62942" w:rsidRDefault="00F62942" w:rsidP="00BA058A">
            <w:pPr>
              <w:pStyle w:val="Policybulletlevel2"/>
              <w:numPr>
                <w:ilvl w:val="0"/>
                <w:numId w:val="0"/>
              </w:numPr>
              <w:spacing w:before="100" w:beforeAutospacing="1" w:after="100" w:afterAutospacing="1" w:line="240" w:lineRule="auto"/>
            </w:pPr>
            <w:r>
              <w:t xml:space="preserve">The key changes from the original version of February 2019 include updates of the current Learning from Death process and how this interface with the Mortality and Morbidity meetings. The requirements of the Patient Safety Strategy and the role of the new Learning from Deaths leads and panel, in particular with relation to the second review process. </w:t>
            </w:r>
          </w:p>
          <w:p w14:paraId="3B605567" w14:textId="03C6A88A" w:rsidR="007F7897" w:rsidRPr="00F62942" w:rsidRDefault="00F62942" w:rsidP="00BA058A">
            <w:pPr>
              <w:pStyle w:val="Policybulletlevel2"/>
              <w:numPr>
                <w:ilvl w:val="0"/>
                <w:numId w:val="0"/>
              </w:numPr>
              <w:spacing w:before="100" w:beforeAutospacing="1" w:after="100" w:afterAutospacing="1" w:line="240" w:lineRule="auto"/>
            </w:pPr>
            <w:r>
              <w:t>A further update has been made to the ME involvement now in the SJR screening process and a standard written for how the Hospital and Home team will capture any cases relevant to their team. The Interaction with Bereaved Families and Carers has been updated to clarify how the SJR’s are communicated as part of the Duty of Candour process.</w:t>
            </w:r>
          </w:p>
        </w:tc>
      </w:tr>
      <w:tr w:rsidR="007F7897" w:rsidRPr="000C09A7" w14:paraId="4EBB3E43" w14:textId="77777777" w:rsidTr="008761B6">
        <w:trPr>
          <w:trHeight w:val="1134"/>
        </w:trPr>
        <w:tc>
          <w:tcPr>
            <w:tcW w:w="2376" w:type="dxa"/>
          </w:tcPr>
          <w:p w14:paraId="51576379" w14:textId="77777777" w:rsidR="007F7897" w:rsidRPr="000C09A7" w:rsidRDefault="007F7897" w:rsidP="00BA058A">
            <w:pPr>
              <w:spacing w:before="100" w:beforeAutospacing="1" w:after="100" w:afterAutospacing="1"/>
              <w:rPr>
                <w:rFonts w:cs="Arial"/>
                <w:b/>
              </w:rPr>
            </w:pPr>
            <w:r w:rsidRPr="000C09A7">
              <w:rPr>
                <w:rFonts w:cs="Arial"/>
                <w:b/>
              </w:rPr>
              <w:t>Specify any training requirements:</w:t>
            </w:r>
          </w:p>
        </w:tc>
        <w:tc>
          <w:tcPr>
            <w:tcW w:w="7336" w:type="dxa"/>
          </w:tcPr>
          <w:p w14:paraId="208FFBCA" w14:textId="6418ACFD" w:rsidR="007F7897" w:rsidRPr="003837D9" w:rsidRDefault="00F62942" w:rsidP="00BA058A">
            <w:pPr>
              <w:spacing w:before="100" w:beforeAutospacing="1" w:after="100" w:afterAutospacing="1"/>
              <w:rPr>
                <w:rFonts w:cs="Arial"/>
              </w:rPr>
            </w:pPr>
            <w:r>
              <w:rPr>
                <w:rFonts w:cs="Arial"/>
              </w:rPr>
              <w:t>Ongoing SJR training with the Speciality teams</w:t>
            </w:r>
          </w:p>
        </w:tc>
      </w:tr>
      <w:tr w:rsidR="007F7897" w:rsidRPr="000C09A7" w14:paraId="1B6E8F87" w14:textId="77777777" w:rsidTr="008761B6">
        <w:trPr>
          <w:trHeight w:val="1134"/>
        </w:trPr>
        <w:tc>
          <w:tcPr>
            <w:tcW w:w="2376" w:type="dxa"/>
          </w:tcPr>
          <w:p w14:paraId="00506DEE" w14:textId="77777777" w:rsidR="007F7897" w:rsidRPr="000C09A7" w:rsidRDefault="007F7897" w:rsidP="00BA058A">
            <w:pPr>
              <w:spacing w:before="100" w:beforeAutospacing="1" w:after="100" w:afterAutospacing="1"/>
              <w:rPr>
                <w:rFonts w:cs="Arial"/>
                <w:b/>
              </w:rPr>
            </w:pPr>
            <w:r w:rsidRPr="000C09A7">
              <w:rPr>
                <w:rFonts w:cs="Arial"/>
                <w:b/>
              </w:rPr>
              <w:t>How will policy changes be communicated to staff groups</w:t>
            </w:r>
            <w:r>
              <w:rPr>
                <w:rFonts w:cs="Arial"/>
                <w:b/>
              </w:rPr>
              <w:t>/ subsidiary companies</w:t>
            </w:r>
            <w:r w:rsidRPr="000C09A7">
              <w:rPr>
                <w:rFonts w:cs="Arial"/>
                <w:b/>
              </w:rPr>
              <w:t>?</w:t>
            </w:r>
          </w:p>
        </w:tc>
        <w:tc>
          <w:tcPr>
            <w:tcW w:w="7336" w:type="dxa"/>
          </w:tcPr>
          <w:p w14:paraId="2895F1EB" w14:textId="1756FBD1" w:rsidR="007F7897" w:rsidRPr="003837D9" w:rsidRDefault="00F62942" w:rsidP="00BA058A">
            <w:pPr>
              <w:spacing w:before="100" w:beforeAutospacing="1" w:after="100" w:afterAutospacing="1"/>
              <w:rPr>
                <w:rFonts w:cs="Arial"/>
              </w:rPr>
            </w:pPr>
            <w:r>
              <w:rPr>
                <w:rFonts w:cs="Arial"/>
              </w:rPr>
              <w:t>Changes to the policy will be communicated through each M&amp;M speciality meeting and to the SJR leads through the LFD lead consultants</w:t>
            </w:r>
          </w:p>
        </w:tc>
      </w:tr>
    </w:tbl>
    <w:p w14:paraId="47D9C36D" w14:textId="77777777" w:rsidR="00437798" w:rsidRDefault="00437798" w:rsidP="00BC0A7E">
      <w:pPr>
        <w:spacing w:line="288" w:lineRule="auto"/>
      </w:pPr>
    </w:p>
    <w:sectPr w:rsidR="00437798" w:rsidSect="00BF4AA1">
      <w:pgSz w:w="11906" w:h="16838" w:code="9"/>
      <w:pgMar w:top="1440" w:right="1276" w:bottom="1383" w:left="1133" w:header="697" w:footer="14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F">
      <wne:acd wne:acdName="acd0"/>
    </wne:keymap>
  </wne:keymaps>
  <wne:toolbars>
    <wne:acdManifest>
      <wne:acdEntry wne:acdName="acd0"/>
    </wne:acdManifest>
  </wne:toolbars>
  <wne:acds>
    <wne:acd wne:argValue="AgBCAHUAbABsAGUAdAAgAHMAdAB5AGwAZQAgAGYAbwByACAAcABvAGwAaQBjAGkAZQBz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0E90" w14:textId="77777777" w:rsidR="00E8222A" w:rsidRDefault="00E8222A">
      <w:r>
        <w:separator/>
      </w:r>
    </w:p>
  </w:endnote>
  <w:endnote w:type="continuationSeparator" w:id="0">
    <w:p w14:paraId="0B62F4EB" w14:textId="77777777" w:rsidR="00E8222A" w:rsidRDefault="00E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6394" w14:textId="4F049E5E" w:rsidR="00354203" w:rsidRPr="00C900D2" w:rsidRDefault="00354203">
    <w:pPr>
      <w:pStyle w:val="Footer"/>
      <w:jc w:val="center"/>
      <w:rPr>
        <w:rFonts w:cs="Arial"/>
        <w:sz w:val="16"/>
        <w:szCs w:val="16"/>
      </w:rPr>
    </w:pPr>
    <w:r w:rsidRPr="00C900D2">
      <w:rPr>
        <w:rFonts w:cs="Arial"/>
        <w:sz w:val="16"/>
        <w:szCs w:val="16"/>
      </w:rPr>
      <w:t xml:space="preserve">Page </w:t>
    </w:r>
    <w:r w:rsidRPr="00C900D2">
      <w:rPr>
        <w:rFonts w:cs="Arial"/>
        <w:b/>
        <w:bCs/>
        <w:sz w:val="16"/>
        <w:szCs w:val="16"/>
      </w:rPr>
      <w:fldChar w:fldCharType="begin"/>
    </w:r>
    <w:r w:rsidRPr="00C900D2">
      <w:rPr>
        <w:rFonts w:cs="Arial"/>
        <w:b/>
        <w:bCs/>
        <w:sz w:val="16"/>
        <w:szCs w:val="16"/>
      </w:rPr>
      <w:instrText xml:space="preserve"> PAGE </w:instrText>
    </w:r>
    <w:r w:rsidRPr="00C900D2">
      <w:rPr>
        <w:rFonts w:cs="Arial"/>
        <w:b/>
        <w:bCs/>
        <w:sz w:val="16"/>
        <w:szCs w:val="16"/>
      </w:rPr>
      <w:fldChar w:fldCharType="separate"/>
    </w:r>
    <w:r>
      <w:rPr>
        <w:rFonts w:cs="Arial"/>
        <w:b/>
        <w:bCs/>
        <w:noProof/>
        <w:sz w:val="16"/>
        <w:szCs w:val="16"/>
      </w:rPr>
      <w:t>31</w:t>
    </w:r>
    <w:r w:rsidRPr="00C900D2">
      <w:rPr>
        <w:rFonts w:cs="Arial"/>
        <w:b/>
        <w:bCs/>
        <w:sz w:val="16"/>
        <w:szCs w:val="16"/>
      </w:rPr>
      <w:fldChar w:fldCharType="end"/>
    </w:r>
    <w:r w:rsidRPr="00C900D2">
      <w:rPr>
        <w:rFonts w:cs="Arial"/>
        <w:sz w:val="16"/>
        <w:szCs w:val="16"/>
      </w:rPr>
      <w:t xml:space="preserve"> of </w:t>
    </w:r>
    <w:r w:rsidRPr="00C900D2">
      <w:rPr>
        <w:rFonts w:cs="Arial"/>
        <w:b/>
        <w:bCs/>
        <w:sz w:val="16"/>
        <w:szCs w:val="16"/>
      </w:rPr>
      <w:fldChar w:fldCharType="begin"/>
    </w:r>
    <w:r w:rsidRPr="00C900D2">
      <w:rPr>
        <w:rFonts w:cs="Arial"/>
        <w:b/>
        <w:bCs/>
        <w:sz w:val="16"/>
        <w:szCs w:val="16"/>
      </w:rPr>
      <w:instrText xml:space="preserve"> NUMPAGES  </w:instrText>
    </w:r>
    <w:r w:rsidRPr="00C900D2">
      <w:rPr>
        <w:rFonts w:cs="Arial"/>
        <w:b/>
        <w:bCs/>
        <w:sz w:val="16"/>
        <w:szCs w:val="16"/>
      </w:rPr>
      <w:fldChar w:fldCharType="separate"/>
    </w:r>
    <w:r>
      <w:rPr>
        <w:rFonts w:cs="Arial"/>
        <w:b/>
        <w:bCs/>
        <w:noProof/>
        <w:sz w:val="16"/>
        <w:szCs w:val="16"/>
      </w:rPr>
      <w:t>31</w:t>
    </w:r>
    <w:r w:rsidRPr="00C900D2">
      <w:rPr>
        <w:rFonts w:cs="Arial"/>
        <w:b/>
        <w:bCs/>
        <w:sz w:val="16"/>
        <w:szCs w:val="16"/>
      </w:rPr>
      <w:fldChar w:fldCharType="end"/>
    </w:r>
  </w:p>
  <w:p w14:paraId="78E80E09" w14:textId="77777777" w:rsidR="00354203" w:rsidRDefault="00354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190D" w14:textId="7F3C5503" w:rsidR="00354203" w:rsidRDefault="00354203" w:rsidP="008761B6">
    <w:pPr>
      <w:pStyle w:val="Footer"/>
      <w:jc w:val="right"/>
    </w:pPr>
    <w:r>
      <w:rPr>
        <w:noProof/>
      </w:rPr>
      <w:drawing>
        <wp:inline distT="0" distB="0" distL="0" distR="0" wp14:anchorId="4406BF1E" wp14:editId="60CD601B">
          <wp:extent cx="723900" cy="5524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5AA5" w14:textId="77777777" w:rsidR="00E8222A" w:rsidRDefault="00E8222A">
      <w:r>
        <w:separator/>
      </w:r>
    </w:p>
  </w:footnote>
  <w:footnote w:type="continuationSeparator" w:id="0">
    <w:p w14:paraId="3AFD53A5" w14:textId="77777777" w:rsidR="00E8222A" w:rsidRDefault="00E8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25C5" w14:textId="124CC5D9" w:rsidR="00354203" w:rsidRDefault="00354203" w:rsidP="00B2751E">
    <w:pPr>
      <w:pStyle w:val="Header"/>
      <w:jc w:val="right"/>
      <w:rPr>
        <w:rFonts w:cs="Arial"/>
        <w:sz w:val="18"/>
        <w:szCs w:val="18"/>
      </w:rPr>
    </w:pPr>
  </w:p>
  <w:p w14:paraId="28B3E6D0" w14:textId="77777777" w:rsidR="00354203" w:rsidRPr="007A66F6" w:rsidRDefault="00354203" w:rsidP="00B2751E">
    <w:pPr>
      <w:pStyle w:val="Header"/>
      <w:jc w:val="right"/>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1E26" w14:textId="57878FEA" w:rsidR="008761B6" w:rsidRDefault="008761B6" w:rsidP="008761B6">
    <w:pPr>
      <w:pStyle w:val="Header"/>
      <w:jc w:val="right"/>
    </w:pPr>
    <w:r>
      <w:rPr>
        <w:noProof/>
      </w:rPr>
      <w:drawing>
        <wp:inline distT="0" distB="0" distL="0" distR="0" wp14:anchorId="06A8E472" wp14:editId="18509420">
          <wp:extent cx="1800000" cy="796574"/>
          <wp:effectExtent l="0" t="0" r="0" b="3810"/>
          <wp:docPr id="27" name="Picture 27"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1800000" cy="7965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67F"/>
    <w:multiLevelType w:val="multilevel"/>
    <w:tmpl w:val="8050130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60108"/>
    <w:multiLevelType w:val="hybridMultilevel"/>
    <w:tmpl w:val="1982D66E"/>
    <w:lvl w:ilvl="0" w:tplc="08090001">
      <w:start w:val="1"/>
      <w:numFmt w:val="bullet"/>
      <w:lvlText w:val=""/>
      <w:lvlJc w:val="left"/>
      <w:pPr>
        <w:ind w:left="720" w:hanging="360"/>
      </w:pPr>
      <w:rPr>
        <w:rFonts w:ascii="Symbol" w:hAnsi="Symbol" w:hint="default"/>
      </w:rPr>
    </w:lvl>
    <w:lvl w:ilvl="1" w:tplc="F51E21B8">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603B"/>
    <w:multiLevelType w:val="multilevel"/>
    <w:tmpl w:val="11124274"/>
    <w:lvl w:ilvl="0">
      <w:start w:val="4"/>
      <w:numFmt w:val="decimal"/>
      <w:lvlText w:val="%1"/>
      <w:lvlJc w:val="left"/>
      <w:pPr>
        <w:ind w:left="560" w:hanging="560"/>
      </w:pPr>
      <w:rPr>
        <w:rFonts w:hint="default"/>
      </w:rPr>
    </w:lvl>
    <w:lvl w:ilvl="1">
      <w:start w:val="1"/>
      <w:numFmt w:val="decimal"/>
      <w:lvlText w:val="%1.%2"/>
      <w:lvlJc w:val="left"/>
      <w:pPr>
        <w:ind w:left="1158" w:hanging="560"/>
      </w:pPr>
      <w:rPr>
        <w:rFonts w:hint="default"/>
      </w:rPr>
    </w:lvl>
    <w:lvl w:ilvl="2">
      <w:start w:val="10"/>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626" w:hanging="1440"/>
      </w:pPr>
      <w:rPr>
        <w:rFonts w:hint="default"/>
      </w:rPr>
    </w:lvl>
    <w:lvl w:ilvl="8">
      <w:start w:val="1"/>
      <w:numFmt w:val="decimal"/>
      <w:lvlText w:val="%1.%2.%3.%4.%5.%6.%7.%8.%9"/>
      <w:lvlJc w:val="left"/>
      <w:pPr>
        <w:ind w:left="6224" w:hanging="1440"/>
      </w:pPr>
      <w:rPr>
        <w:rFonts w:hint="default"/>
      </w:rPr>
    </w:lvl>
  </w:abstractNum>
  <w:abstractNum w:abstractNumId="3" w15:restartNumberingAfterBreak="0">
    <w:nsid w:val="07FB59D8"/>
    <w:multiLevelType w:val="multilevel"/>
    <w:tmpl w:val="0809001F"/>
    <w:styleLink w:val="PolicyBullet"/>
    <w:lvl w:ilvl="0">
      <w:start w:val="1"/>
      <w:numFmt w:val="decimal"/>
      <w:lvlText w:val="%1."/>
      <w:lvlJc w:val="left"/>
      <w:pPr>
        <w:ind w:left="567" w:hanging="360"/>
      </w:pPr>
      <w:rPr>
        <w:rFonts w:ascii="Arial" w:hAnsi="Arial" w:hint="default"/>
        <w:b w:val="0"/>
        <w:sz w:val="22"/>
      </w:rPr>
    </w:lvl>
    <w:lvl w:ilvl="1">
      <w:start w:val="1"/>
      <w:numFmt w:val="decimal"/>
      <w:lvlText w:val="%1.%2."/>
      <w:lvlJc w:val="left"/>
      <w:pPr>
        <w:ind w:left="639" w:hanging="432"/>
      </w:pPr>
      <w:rPr>
        <w:rFonts w:ascii="Arial" w:hAnsi="Arial"/>
        <w:b w:val="0"/>
        <w:bCs/>
        <w:sz w:val="22"/>
      </w:rPr>
    </w:lvl>
    <w:lvl w:ilvl="2">
      <w:start w:val="1"/>
      <w:numFmt w:val="decimal"/>
      <w:lvlText w:val="%1.%2.%3."/>
      <w:lvlJc w:val="left"/>
      <w:pPr>
        <w:ind w:left="711" w:hanging="504"/>
      </w:pPr>
    </w:lvl>
    <w:lvl w:ilvl="3">
      <w:start w:val="1"/>
      <w:numFmt w:val="decimal"/>
      <w:lvlText w:val="%1.%2.%3.%4."/>
      <w:lvlJc w:val="left"/>
      <w:pPr>
        <w:ind w:left="855" w:hanging="648"/>
      </w:pPr>
      <w:rPr>
        <w:b w:val="0"/>
      </w:r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4" w15:restartNumberingAfterBreak="0">
    <w:nsid w:val="0F514CB9"/>
    <w:multiLevelType w:val="hybridMultilevel"/>
    <w:tmpl w:val="242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35577"/>
    <w:multiLevelType w:val="multilevel"/>
    <w:tmpl w:val="35EAC5CC"/>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3216C1"/>
    <w:multiLevelType w:val="multilevel"/>
    <w:tmpl w:val="592A359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E443B45"/>
    <w:multiLevelType w:val="hybridMultilevel"/>
    <w:tmpl w:val="EB02620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43853"/>
    <w:multiLevelType w:val="hybridMultilevel"/>
    <w:tmpl w:val="0AAE0076"/>
    <w:lvl w:ilvl="0" w:tplc="08D2B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F449D"/>
    <w:multiLevelType w:val="hybridMultilevel"/>
    <w:tmpl w:val="FEFEF220"/>
    <w:lvl w:ilvl="0" w:tplc="49825E8C">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2AF107A6"/>
    <w:multiLevelType w:val="hybridMultilevel"/>
    <w:tmpl w:val="52B2C6C8"/>
    <w:lvl w:ilvl="0" w:tplc="0809001B">
      <w:start w:val="1"/>
      <w:numFmt w:val="lowerRoman"/>
      <w:lvlText w:val="%1."/>
      <w:lvlJc w:val="righ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2" w15:restartNumberingAfterBreak="0">
    <w:nsid w:val="3A492F77"/>
    <w:multiLevelType w:val="hybridMultilevel"/>
    <w:tmpl w:val="C7B047B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3"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593BCA"/>
    <w:multiLevelType w:val="hybridMultilevel"/>
    <w:tmpl w:val="DB62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4D1A"/>
    <w:multiLevelType w:val="hybridMultilevel"/>
    <w:tmpl w:val="435A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12D87"/>
    <w:multiLevelType w:val="multilevel"/>
    <w:tmpl w:val="9B6295C2"/>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8" w15:restartNumberingAfterBreak="0">
    <w:nsid w:val="59217DB6"/>
    <w:multiLevelType w:val="hybridMultilevel"/>
    <w:tmpl w:val="A5D8BEF6"/>
    <w:lvl w:ilvl="0" w:tplc="93D251E6">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01F57"/>
    <w:multiLevelType w:val="hybridMultilevel"/>
    <w:tmpl w:val="7FC89444"/>
    <w:lvl w:ilvl="0" w:tplc="9E6C3D8C">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BE741B"/>
    <w:multiLevelType w:val="hybridMultilevel"/>
    <w:tmpl w:val="027EEA0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64BE2854"/>
    <w:multiLevelType w:val="hybridMultilevel"/>
    <w:tmpl w:val="11C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04873"/>
    <w:multiLevelType w:val="hybridMultilevel"/>
    <w:tmpl w:val="5E50C1E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B571D3"/>
    <w:multiLevelType w:val="hybridMultilevel"/>
    <w:tmpl w:val="EEB0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57703A"/>
    <w:multiLevelType w:val="hybridMultilevel"/>
    <w:tmpl w:val="F93A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B72AF"/>
    <w:multiLevelType w:val="multilevel"/>
    <w:tmpl w:val="07EEA69A"/>
    <w:lvl w:ilvl="0">
      <w:start w:val="1"/>
      <w:numFmt w:val="decimal"/>
      <w:pStyle w:val="Policyheader"/>
      <w:lvlText w:val="%1."/>
      <w:lvlJc w:val="left"/>
      <w:pPr>
        <w:ind w:left="360" w:hanging="360"/>
      </w:pPr>
    </w:lvl>
    <w:lvl w:ilvl="1">
      <w:start w:val="1"/>
      <w:numFmt w:val="decimal"/>
      <w:pStyle w:val="Policybulletlevel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497"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8"/>
  </w:num>
  <w:num w:numId="3">
    <w:abstractNumId w:val="13"/>
  </w:num>
  <w:num w:numId="4">
    <w:abstractNumId w:val="24"/>
  </w:num>
  <w:num w:numId="5">
    <w:abstractNumId w:val="9"/>
  </w:num>
  <w:num w:numId="6">
    <w:abstractNumId w:val="22"/>
  </w:num>
  <w:num w:numId="7">
    <w:abstractNumId w:val="4"/>
  </w:num>
  <w:num w:numId="8">
    <w:abstractNumId w:val="25"/>
  </w:num>
  <w:num w:numId="9">
    <w:abstractNumId w:val="21"/>
  </w:num>
  <w:num w:numId="10">
    <w:abstractNumId w:val="16"/>
  </w:num>
  <w:num w:numId="11">
    <w:abstractNumId w:val="14"/>
  </w:num>
  <w:num w:numId="12">
    <w:abstractNumId w:val="27"/>
  </w:num>
  <w:num w:numId="13">
    <w:abstractNumId w:val="1"/>
  </w:num>
  <w:num w:numId="14">
    <w:abstractNumId w:val="20"/>
  </w:num>
  <w:num w:numId="15">
    <w:abstractNumId w:val="23"/>
  </w:num>
  <w:num w:numId="16">
    <w:abstractNumId w:val="11"/>
  </w:num>
  <w:num w:numId="17">
    <w:abstractNumId w:val="18"/>
  </w:num>
  <w:num w:numId="18">
    <w:abstractNumId w:val="10"/>
  </w:num>
  <w:num w:numId="19">
    <w:abstractNumId w:val="5"/>
  </w:num>
  <w:num w:numId="20">
    <w:abstractNumId w:val="8"/>
  </w:num>
  <w:num w:numId="21">
    <w:abstractNumId w:val="19"/>
  </w:num>
  <w:num w:numId="22">
    <w:abstractNumId w:val="15"/>
  </w:num>
  <w:num w:numId="23">
    <w:abstractNumId w:val="6"/>
  </w:num>
  <w:num w:numId="24">
    <w:abstractNumId w:val="26"/>
  </w:num>
  <w:num w:numId="25">
    <w:abstractNumId w:val="2"/>
  </w:num>
  <w:num w:numId="26">
    <w:abstractNumId w:val="17"/>
  </w:num>
  <w:num w:numId="27">
    <w:abstractNumId w:val="0"/>
  </w:num>
  <w:num w:numId="28">
    <w:abstractNumId w:val="7"/>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linkStyle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KdVNcpBXY0AqQqrHNZqQEo5I7kjHCCVDFA7i9HA2FZ/ekc17SgeHVpak88XrtADJPcZY3yzsHdOh/iRzp5Nmg==" w:salt="8BMDGdW1gRKFqlSKU4XZeA=="/>
  <w:defaultTabStop w:val="851"/>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BD"/>
    <w:rsid w:val="000014D6"/>
    <w:rsid w:val="000015DE"/>
    <w:rsid w:val="00007983"/>
    <w:rsid w:val="000110B3"/>
    <w:rsid w:val="000114AB"/>
    <w:rsid w:val="00012449"/>
    <w:rsid w:val="00012853"/>
    <w:rsid w:val="00013CC4"/>
    <w:rsid w:val="00014BF2"/>
    <w:rsid w:val="000160C9"/>
    <w:rsid w:val="000176F0"/>
    <w:rsid w:val="0002072E"/>
    <w:rsid w:val="0002113C"/>
    <w:rsid w:val="000214AC"/>
    <w:rsid w:val="00021B57"/>
    <w:rsid w:val="00022AD0"/>
    <w:rsid w:val="000230A0"/>
    <w:rsid w:val="000235C7"/>
    <w:rsid w:val="000235FC"/>
    <w:rsid w:val="00025230"/>
    <w:rsid w:val="00026666"/>
    <w:rsid w:val="00027986"/>
    <w:rsid w:val="00027992"/>
    <w:rsid w:val="00030B5A"/>
    <w:rsid w:val="000319B8"/>
    <w:rsid w:val="00031F48"/>
    <w:rsid w:val="000324DE"/>
    <w:rsid w:val="000326E2"/>
    <w:rsid w:val="00033511"/>
    <w:rsid w:val="000343DE"/>
    <w:rsid w:val="00035A7E"/>
    <w:rsid w:val="00036187"/>
    <w:rsid w:val="00036C6C"/>
    <w:rsid w:val="000374B2"/>
    <w:rsid w:val="000405F7"/>
    <w:rsid w:val="00041529"/>
    <w:rsid w:val="00041855"/>
    <w:rsid w:val="00042C20"/>
    <w:rsid w:val="000455C0"/>
    <w:rsid w:val="00047B73"/>
    <w:rsid w:val="00047FBA"/>
    <w:rsid w:val="000502C9"/>
    <w:rsid w:val="000515EF"/>
    <w:rsid w:val="00051810"/>
    <w:rsid w:val="0005240A"/>
    <w:rsid w:val="00053587"/>
    <w:rsid w:val="00054477"/>
    <w:rsid w:val="0005524D"/>
    <w:rsid w:val="00057F72"/>
    <w:rsid w:val="00060E68"/>
    <w:rsid w:val="00061F2E"/>
    <w:rsid w:val="000634AD"/>
    <w:rsid w:val="000634C9"/>
    <w:rsid w:val="00063D70"/>
    <w:rsid w:val="00064C60"/>
    <w:rsid w:val="00066B57"/>
    <w:rsid w:val="00066D7B"/>
    <w:rsid w:val="00066DDA"/>
    <w:rsid w:val="00070B42"/>
    <w:rsid w:val="00073398"/>
    <w:rsid w:val="000741BC"/>
    <w:rsid w:val="00074BA0"/>
    <w:rsid w:val="000773F2"/>
    <w:rsid w:val="00077752"/>
    <w:rsid w:val="00077822"/>
    <w:rsid w:val="00077D24"/>
    <w:rsid w:val="0008312D"/>
    <w:rsid w:val="00083194"/>
    <w:rsid w:val="0008484F"/>
    <w:rsid w:val="00084FF1"/>
    <w:rsid w:val="00085489"/>
    <w:rsid w:val="000868BF"/>
    <w:rsid w:val="000873C7"/>
    <w:rsid w:val="000903C7"/>
    <w:rsid w:val="00091A3C"/>
    <w:rsid w:val="00092115"/>
    <w:rsid w:val="00093314"/>
    <w:rsid w:val="00094486"/>
    <w:rsid w:val="00095BB3"/>
    <w:rsid w:val="00096089"/>
    <w:rsid w:val="00097021"/>
    <w:rsid w:val="0009740F"/>
    <w:rsid w:val="00097484"/>
    <w:rsid w:val="0009771E"/>
    <w:rsid w:val="00097E45"/>
    <w:rsid w:val="000A0E25"/>
    <w:rsid w:val="000A1C65"/>
    <w:rsid w:val="000A1DF1"/>
    <w:rsid w:val="000A1E3B"/>
    <w:rsid w:val="000A1E88"/>
    <w:rsid w:val="000A20EB"/>
    <w:rsid w:val="000A225F"/>
    <w:rsid w:val="000A2D44"/>
    <w:rsid w:val="000A38F1"/>
    <w:rsid w:val="000A55DA"/>
    <w:rsid w:val="000A5FF2"/>
    <w:rsid w:val="000B074E"/>
    <w:rsid w:val="000B09A0"/>
    <w:rsid w:val="000B170D"/>
    <w:rsid w:val="000B29D9"/>
    <w:rsid w:val="000B451D"/>
    <w:rsid w:val="000B4836"/>
    <w:rsid w:val="000B4926"/>
    <w:rsid w:val="000B5AEA"/>
    <w:rsid w:val="000B5E5A"/>
    <w:rsid w:val="000C0357"/>
    <w:rsid w:val="000C1626"/>
    <w:rsid w:val="000C1958"/>
    <w:rsid w:val="000C3CCA"/>
    <w:rsid w:val="000C3CCF"/>
    <w:rsid w:val="000C471D"/>
    <w:rsid w:val="000C58EA"/>
    <w:rsid w:val="000C6D00"/>
    <w:rsid w:val="000C6DEE"/>
    <w:rsid w:val="000C7427"/>
    <w:rsid w:val="000C75BB"/>
    <w:rsid w:val="000D084E"/>
    <w:rsid w:val="000D0A58"/>
    <w:rsid w:val="000D0D5C"/>
    <w:rsid w:val="000D2135"/>
    <w:rsid w:val="000D4CE4"/>
    <w:rsid w:val="000D5163"/>
    <w:rsid w:val="000D6F0C"/>
    <w:rsid w:val="000E020D"/>
    <w:rsid w:val="000E1D9F"/>
    <w:rsid w:val="000E2226"/>
    <w:rsid w:val="000E249C"/>
    <w:rsid w:val="000E4679"/>
    <w:rsid w:val="000E64C9"/>
    <w:rsid w:val="000E6977"/>
    <w:rsid w:val="000E70C5"/>
    <w:rsid w:val="000F1F63"/>
    <w:rsid w:val="000F23A7"/>
    <w:rsid w:val="000F2C31"/>
    <w:rsid w:val="000F3398"/>
    <w:rsid w:val="000F52FD"/>
    <w:rsid w:val="000F58E7"/>
    <w:rsid w:val="000F5D69"/>
    <w:rsid w:val="000F635E"/>
    <w:rsid w:val="000F67A1"/>
    <w:rsid w:val="00101CC3"/>
    <w:rsid w:val="00101D3D"/>
    <w:rsid w:val="00102254"/>
    <w:rsid w:val="001023A6"/>
    <w:rsid w:val="00102C99"/>
    <w:rsid w:val="00103F74"/>
    <w:rsid w:val="00103F85"/>
    <w:rsid w:val="00104A17"/>
    <w:rsid w:val="001056AB"/>
    <w:rsid w:val="001056C5"/>
    <w:rsid w:val="00106144"/>
    <w:rsid w:val="00107533"/>
    <w:rsid w:val="00107A5F"/>
    <w:rsid w:val="00107AA5"/>
    <w:rsid w:val="001102E5"/>
    <w:rsid w:val="00110505"/>
    <w:rsid w:val="00110BC3"/>
    <w:rsid w:val="0011183D"/>
    <w:rsid w:val="001121D7"/>
    <w:rsid w:val="00114193"/>
    <w:rsid w:val="00114494"/>
    <w:rsid w:val="001154D8"/>
    <w:rsid w:val="00115892"/>
    <w:rsid w:val="001209B2"/>
    <w:rsid w:val="00120F21"/>
    <w:rsid w:val="001218AE"/>
    <w:rsid w:val="00122293"/>
    <w:rsid w:val="00122902"/>
    <w:rsid w:val="00122B0F"/>
    <w:rsid w:val="00122D17"/>
    <w:rsid w:val="001234F9"/>
    <w:rsid w:val="0012411D"/>
    <w:rsid w:val="001243B4"/>
    <w:rsid w:val="00124C28"/>
    <w:rsid w:val="00126043"/>
    <w:rsid w:val="00126AE4"/>
    <w:rsid w:val="00126D25"/>
    <w:rsid w:val="001272A9"/>
    <w:rsid w:val="00130DE6"/>
    <w:rsid w:val="00130FE0"/>
    <w:rsid w:val="0013144C"/>
    <w:rsid w:val="0013218A"/>
    <w:rsid w:val="00133850"/>
    <w:rsid w:val="001344D5"/>
    <w:rsid w:val="00135A78"/>
    <w:rsid w:val="00136107"/>
    <w:rsid w:val="00136B8A"/>
    <w:rsid w:val="001378A1"/>
    <w:rsid w:val="00141501"/>
    <w:rsid w:val="00141BE2"/>
    <w:rsid w:val="00142C77"/>
    <w:rsid w:val="00143058"/>
    <w:rsid w:val="00145B6C"/>
    <w:rsid w:val="00146778"/>
    <w:rsid w:val="00146B09"/>
    <w:rsid w:val="0015129C"/>
    <w:rsid w:val="00152650"/>
    <w:rsid w:val="001535D5"/>
    <w:rsid w:val="00153A33"/>
    <w:rsid w:val="001548E5"/>
    <w:rsid w:val="00155F1F"/>
    <w:rsid w:val="00157151"/>
    <w:rsid w:val="0016118E"/>
    <w:rsid w:val="0016243C"/>
    <w:rsid w:val="0016273E"/>
    <w:rsid w:val="00162A1B"/>
    <w:rsid w:val="00164514"/>
    <w:rsid w:val="001651AD"/>
    <w:rsid w:val="00165641"/>
    <w:rsid w:val="00166B16"/>
    <w:rsid w:val="00166DE4"/>
    <w:rsid w:val="001678CE"/>
    <w:rsid w:val="001705B2"/>
    <w:rsid w:val="0017065F"/>
    <w:rsid w:val="00170A16"/>
    <w:rsid w:val="00170CC5"/>
    <w:rsid w:val="001728F1"/>
    <w:rsid w:val="001732B0"/>
    <w:rsid w:val="00173DB7"/>
    <w:rsid w:val="00174248"/>
    <w:rsid w:val="00175BAE"/>
    <w:rsid w:val="00175BB2"/>
    <w:rsid w:val="00176B55"/>
    <w:rsid w:val="00176F9D"/>
    <w:rsid w:val="001779FE"/>
    <w:rsid w:val="00177C42"/>
    <w:rsid w:val="00177CC6"/>
    <w:rsid w:val="00180E32"/>
    <w:rsid w:val="001828F8"/>
    <w:rsid w:val="00182F8B"/>
    <w:rsid w:val="00183550"/>
    <w:rsid w:val="0018573B"/>
    <w:rsid w:val="0018652D"/>
    <w:rsid w:val="001868C0"/>
    <w:rsid w:val="00187477"/>
    <w:rsid w:val="00187D64"/>
    <w:rsid w:val="0019388C"/>
    <w:rsid w:val="00194265"/>
    <w:rsid w:val="0019450E"/>
    <w:rsid w:val="00194B7E"/>
    <w:rsid w:val="00195731"/>
    <w:rsid w:val="001964BF"/>
    <w:rsid w:val="00196CDD"/>
    <w:rsid w:val="00197240"/>
    <w:rsid w:val="00197DFA"/>
    <w:rsid w:val="001A1C2C"/>
    <w:rsid w:val="001A39A3"/>
    <w:rsid w:val="001A494D"/>
    <w:rsid w:val="001A5C0F"/>
    <w:rsid w:val="001A5D23"/>
    <w:rsid w:val="001A5E44"/>
    <w:rsid w:val="001A7535"/>
    <w:rsid w:val="001A7548"/>
    <w:rsid w:val="001B000D"/>
    <w:rsid w:val="001B0496"/>
    <w:rsid w:val="001B0966"/>
    <w:rsid w:val="001B2692"/>
    <w:rsid w:val="001B2B76"/>
    <w:rsid w:val="001B4BF3"/>
    <w:rsid w:val="001B5283"/>
    <w:rsid w:val="001B6189"/>
    <w:rsid w:val="001B66FB"/>
    <w:rsid w:val="001B67DB"/>
    <w:rsid w:val="001B6B3A"/>
    <w:rsid w:val="001C0766"/>
    <w:rsid w:val="001C12C1"/>
    <w:rsid w:val="001C4353"/>
    <w:rsid w:val="001C49E5"/>
    <w:rsid w:val="001C5713"/>
    <w:rsid w:val="001C5C76"/>
    <w:rsid w:val="001C6632"/>
    <w:rsid w:val="001C71FE"/>
    <w:rsid w:val="001C768E"/>
    <w:rsid w:val="001D2D8E"/>
    <w:rsid w:val="001D3452"/>
    <w:rsid w:val="001D5061"/>
    <w:rsid w:val="001D561C"/>
    <w:rsid w:val="001D7A27"/>
    <w:rsid w:val="001E0155"/>
    <w:rsid w:val="001E0B6B"/>
    <w:rsid w:val="001E1AF3"/>
    <w:rsid w:val="001E2FBC"/>
    <w:rsid w:val="001E3567"/>
    <w:rsid w:val="001E3D8D"/>
    <w:rsid w:val="001E7A62"/>
    <w:rsid w:val="001F0E06"/>
    <w:rsid w:val="001F0E5D"/>
    <w:rsid w:val="001F406F"/>
    <w:rsid w:val="001F4A31"/>
    <w:rsid w:val="001F4B3A"/>
    <w:rsid w:val="001F51FC"/>
    <w:rsid w:val="001F5DCA"/>
    <w:rsid w:val="001F72F5"/>
    <w:rsid w:val="001F744F"/>
    <w:rsid w:val="00200300"/>
    <w:rsid w:val="002015C8"/>
    <w:rsid w:val="00201DF3"/>
    <w:rsid w:val="00202CF5"/>
    <w:rsid w:val="00202EF3"/>
    <w:rsid w:val="0020403E"/>
    <w:rsid w:val="00204773"/>
    <w:rsid w:val="00204980"/>
    <w:rsid w:val="002049CB"/>
    <w:rsid w:val="00206389"/>
    <w:rsid w:val="00206A19"/>
    <w:rsid w:val="00210E0E"/>
    <w:rsid w:val="00211BAB"/>
    <w:rsid w:val="00213070"/>
    <w:rsid w:val="002145A5"/>
    <w:rsid w:val="00214AC4"/>
    <w:rsid w:val="00216005"/>
    <w:rsid w:val="002166E0"/>
    <w:rsid w:val="00220EE2"/>
    <w:rsid w:val="002210DF"/>
    <w:rsid w:val="002224AE"/>
    <w:rsid w:val="00222726"/>
    <w:rsid w:val="0022378C"/>
    <w:rsid w:val="0022393A"/>
    <w:rsid w:val="00223D1C"/>
    <w:rsid w:val="00225077"/>
    <w:rsid w:val="0022569C"/>
    <w:rsid w:val="0022766A"/>
    <w:rsid w:val="00227A86"/>
    <w:rsid w:val="00227F4E"/>
    <w:rsid w:val="00227F68"/>
    <w:rsid w:val="00233162"/>
    <w:rsid w:val="00234F54"/>
    <w:rsid w:val="0023601A"/>
    <w:rsid w:val="002367B7"/>
    <w:rsid w:val="002375B9"/>
    <w:rsid w:val="002415A3"/>
    <w:rsid w:val="00241FB8"/>
    <w:rsid w:val="00244ED7"/>
    <w:rsid w:val="00246DF4"/>
    <w:rsid w:val="00247ACF"/>
    <w:rsid w:val="00250E78"/>
    <w:rsid w:val="00251D57"/>
    <w:rsid w:val="00251DBC"/>
    <w:rsid w:val="002534CC"/>
    <w:rsid w:val="0025498D"/>
    <w:rsid w:val="00254D50"/>
    <w:rsid w:val="002556D2"/>
    <w:rsid w:val="00256D21"/>
    <w:rsid w:val="00257501"/>
    <w:rsid w:val="00257ABD"/>
    <w:rsid w:val="0026279E"/>
    <w:rsid w:val="0026662B"/>
    <w:rsid w:val="00267128"/>
    <w:rsid w:val="00273CE5"/>
    <w:rsid w:val="002740B5"/>
    <w:rsid w:val="00275539"/>
    <w:rsid w:val="0027630A"/>
    <w:rsid w:val="0028037E"/>
    <w:rsid w:val="00282D70"/>
    <w:rsid w:val="00282D84"/>
    <w:rsid w:val="00283B70"/>
    <w:rsid w:val="00290118"/>
    <w:rsid w:val="00292C7C"/>
    <w:rsid w:val="00293F49"/>
    <w:rsid w:val="002942AD"/>
    <w:rsid w:val="0029522E"/>
    <w:rsid w:val="002959F4"/>
    <w:rsid w:val="002962BD"/>
    <w:rsid w:val="002A0C01"/>
    <w:rsid w:val="002A141D"/>
    <w:rsid w:val="002A2588"/>
    <w:rsid w:val="002A29D7"/>
    <w:rsid w:val="002A3CB8"/>
    <w:rsid w:val="002A5066"/>
    <w:rsid w:val="002A5A89"/>
    <w:rsid w:val="002A5C4E"/>
    <w:rsid w:val="002A6CB3"/>
    <w:rsid w:val="002A7F6C"/>
    <w:rsid w:val="002B0430"/>
    <w:rsid w:val="002B490A"/>
    <w:rsid w:val="002B4DB0"/>
    <w:rsid w:val="002B5153"/>
    <w:rsid w:val="002B57C1"/>
    <w:rsid w:val="002B6119"/>
    <w:rsid w:val="002B613F"/>
    <w:rsid w:val="002B7A1B"/>
    <w:rsid w:val="002B7DCD"/>
    <w:rsid w:val="002C1CDA"/>
    <w:rsid w:val="002C2213"/>
    <w:rsid w:val="002C4CD8"/>
    <w:rsid w:val="002C5771"/>
    <w:rsid w:val="002C6D21"/>
    <w:rsid w:val="002C704B"/>
    <w:rsid w:val="002D115E"/>
    <w:rsid w:val="002D1D3A"/>
    <w:rsid w:val="002D3EA1"/>
    <w:rsid w:val="002D47C4"/>
    <w:rsid w:val="002D544A"/>
    <w:rsid w:val="002D5A76"/>
    <w:rsid w:val="002D64C1"/>
    <w:rsid w:val="002D69EB"/>
    <w:rsid w:val="002D785C"/>
    <w:rsid w:val="002D7E0E"/>
    <w:rsid w:val="002E3389"/>
    <w:rsid w:val="002E4234"/>
    <w:rsid w:val="002E46A0"/>
    <w:rsid w:val="002E7EBD"/>
    <w:rsid w:val="002F1EF1"/>
    <w:rsid w:val="002F4173"/>
    <w:rsid w:val="002F43BC"/>
    <w:rsid w:val="002F4CF4"/>
    <w:rsid w:val="002F4F7C"/>
    <w:rsid w:val="002F5976"/>
    <w:rsid w:val="002F6762"/>
    <w:rsid w:val="002F6889"/>
    <w:rsid w:val="002F6BE9"/>
    <w:rsid w:val="002F759E"/>
    <w:rsid w:val="002F760B"/>
    <w:rsid w:val="003009BE"/>
    <w:rsid w:val="003009DB"/>
    <w:rsid w:val="00301B05"/>
    <w:rsid w:val="00301B89"/>
    <w:rsid w:val="003056F7"/>
    <w:rsid w:val="003061D9"/>
    <w:rsid w:val="00307791"/>
    <w:rsid w:val="0031067F"/>
    <w:rsid w:val="00310860"/>
    <w:rsid w:val="00310C5D"/>
    <w:rsid w:val="00312721"/>
    <w:rsid w:val="0031307A"/>
    <w:rsid w:val="00313886"/>
    <w:rsid w:val="00313B64"/>
    <w:rsid w:val="00315606"/>
    <w:rsid w:val="0031686B"/>
    <w:rsid w:val="0031729A"/>
    <w:rsid w:val="00317336"/>
    <w:rsid w:val="003207A3"/>
    <w:rsid w:val="003230FB"/>
    <w:rsid w:val="0032468A"/>
    <w:rsid w:val="00324BA4"/>
    <w:rsid w:val="00326842"/>
    <w:rsid w:val="003301EA"/>
    <w:rsid w:val="00330432"/>
    <w:rsid w:val="003308D3"/>
    <w:rsid w:val="00331EEC"/>
    <w:rsid w:val="00332AC8"/>
    <w:rsid w:val="00333718"/>
    <w:rsid w:val="00333747"/>
    <w:rsid w:val="00334660"/>
    <w:rsid w:val="00335E8D"/>
    <w:rsid w:val="003365A2"/>
    <w:rsid w:val="003402E9"/>
    <w:rsid w:val="003407FD"/>
    <w:rsid w:val="00341C18"/>
    <w:rsid w:val="00341E19"/>
    <w:rsid w:val="00342224"/>
    <w:rsid w:val="00343D7A"/>
    <w:rsid w:val="00344D7A"/>
    <w:rsid w:val="003470C3"/>
    <w:rsid w:val="00347A49"/>
    <w:rsid w:val="00350000"/>
    <w:rsid w:val="00350BCF"/>
    <w:rsid w:val="00351290"/>
    <w:rsid w:val="00351ADF"/>
    <w:rsid w:val="00351C51"/>
    <w:rsid w:val="00351D0F"/>
    <w:rsid w:val="003530B2"/>
    <w:rsid w:val="00353B4B"/>
    <w:rsid w:val="00354203"/>
    <w:rsid w:val="0035434F"/>
    <w:rsid w:val="00354B5A"/>
    <w:rsid w:val="0036038A"/>
    <w:rsid w:val="003603B0"/>
    <w:rsid w:val="00364949"/>
    <w:rsid w:val="003660CA"/>
    <w:rsid w:val="0036618D"/>
    <w:rsid w:val="00366D3B"/>
    <w:rsid w:val="0037021D"/>
    <w:rsid w:val="00372E04"/>
    <w:rsid w:val="00374150"/>
    <w:rsid w:val="0037646B"/>
    <w:rsid w:val="003805CE"/>
    <w:rsid w:val="003827A2"/>
    <w:rsid w:val="00382DE1"/>
    <w:rsid w:val="00383498"/>
    <w:rsid w:val="0038603E"/>
    <w:rsid w:val="00386531"/>
    <w:rsid w:val="003870B4"/>
    <w:rsid w:val="00387751"/>
    <w:rsid w:val="00390057"/>
    <w:rsid w:val="003903B4"/>
    <w:rsid w:val="00390CA8"/>
    <w:rsid w:val="0039158E"/>
    <w:rsid w:val="00392D52"/>
    <w:rsid w:val="00394867"/>
    <w:rsid w:val="00394E70"/>
    <w:rsid w:val="00396CA6"/>
    <w:rsid w:val="003A16AB"/>
    <w:rsid w:val="003A26FA"/>
    <w:rsid w:val="003A277C"/>
    <w:rsid w:val="003A2A62"/>
    <w:rsid w:val="003A2B9D"/>
    <w:rsid w:val="003A374F"/>
    <w:rsid w:val="003A418F"/>
    <w:rsid w:val="003A4D82"/>
    <w:rsid w:val="003A5534"/>
    <w:rsid w:val="003A64E2"/>
    <w:rsid w:val="003A7236"/>
    <w:rsid w:val="003A7449"/>
    <w:rsid w:val="003B056C"/>
    <w:rsid w:val="003B1441"/>
    <w:rsid w:val="003B2DDB"/>
    <w:rsid w:val="003B3DFD"/>
    <w:rsid w:val="003B54B5"/>
    <w:rsid w:val="003C123A"/>
    <w:rsid w:val="003C2E32"/>
    <w:rsid w:val="003C373C"/>
    <w:rsid w:val="003C3BB7"/>
    <w:rsid w:val="003C4DF0"/>
    <w:rsid w:val="003C5956"/>
    <w:rsid w:val="003C707A"/>
    <w:rsid w:val="003D1F7F"/>
    <w:rsid w:val="003D2472"/>
    <w:rsid w:val="003D28DF"/>
    <w:rsid w:val="003D3A8D"/>
    <w:rsid w:val="003D6A46"/>
    <w:rsid w:val="003E0A7A"/>
    <w:rsid w:val="003E0E90"/>
    <w:rsid w:val="003E104A"/>
    <w:rsid w:val="003E2AB7"/>
    <w:rsid w:val="003E2CE4"/>
    <w:rsid w:val="003E55A2"/>
    <w:rsid w:val="003E5848"/>
    <w:rsid w:val="003E5921"/>
    <w:rsid w:val="003E7836"/>
    <w:rsid w:val="003E79E4"/>
    <w:rsid w:val="003F0EB9"/>
    <w:rsid w:val="003F16C2"/>
    <w:rsid w:val="003F1DE1"/>
    <w:rsid w:val="003F3CB0"/>
    <w:rsid w:val="003F3E70"/>
    <w:rsid w:val="003F4305"/>
    <w:rsid w:val="003F4A23"/>
    <w:rsid w:val="003F511C"/>
    <w:rsid w:val="003F54F8"/>
    <w:rsid w:val="00400FFE"/>
    <w:rsid w:val="004036C4"/>
    <w:rsid w:val="00403E37"/>
    <w:rsid w:val="004040DD"/>
    <w:rsid w:val="00405861"/>
    <w:rsid w:val="0040587C"/>
    <w:rsid w:val="004060FD"/>
    <w:rsid w:val="0040653B"/>
    <w:rsid w:val="004077C9"/>
    <w:rsid w:val="00410C40"/>
    <w:rsid w:val="00411E81"/>
    <w:rsid w:val="004124B1"/>
    <w:rsid w:val="00412F7A"/>
    <w:rsid w:val="004149CA"/>
    <w:rsid w:val="00415077"/>
    <w:rsid w:val="004175B1"/>
    <w:rsid w:val="00417D53"/>
    <w:rsid w:val="00421543"/>
    <w:rsid w:val="00421FAD"/>
    <w:rsid w:val="00424249"/>
    <w:rsid w:val="00424711"/>
    <w:rsid w:val="00425A00"/>
    <w:rsid w:val="00425EE8"/>
    <w:rsid w:val="00426C24"/>
    <w:rsid w:val="00427E1A"/>
    <w:rsid w:val="00431459"/>
    <w:rsid w:val="004322C9"/>
    <w:rsid w:val="004322EB"/>
    <w:rsid w:val="00432543"/>
    <w:rsid w:val="00432CCD"/>
    <w:rsid w:val="00433014"/>
    <w:rsid w:val="004335AB"/>
    <w:rsid w:val="00434468"/>
    <w:rsid w:val="00434F90"/>
    <w:rsid w:val="00435545"/>
    <w:rsid w:val="004368CA"/>
    <w:rsid w:val="00437707"/>
    <w:rsid w:val="00437798"/>
    <w:rsid w:val="00440A29"/>
    <w:rsid w:val="00440C5E"/>
    <w:rsid w:val="004410C2"/>
    <w:rsid w:val="00441112"/>
    <w:rsid w:val="004416ED"/>
    <w:rsid w:val="00441ACA"/>
    <w:rsid w:val="00442B7F"/>
    <w:rsid w:val="00442EA9"/>
    <w:rsid w:val="004439D7"/>
    <w:rsid w:val="00446F00"/>
    <w:rsid w:val="00450398"/>
    <w:rsid w:val="004507F9"/>
    <w:rsid w:val="0045116F"/>
    <w:rsid w:val="004514CF"/>
    <w:rsid w:val="00451DE9"/>
    <w:rsid w:val="00451FDF"/>
    <w:rsid w:val="00452CA3"/>
    <w:rsid w:val="00453E4C"/>
    <w:rsid w:val="00455954"/>
    <w:rsid w:val="0045751D"/>
    <w:rsid w:val="00457AB8"/>
    <w:rsid w:val="004606E2"/>
    <w:rsid w:val="00460A7A"/>
    <w:rsid w:val="00460AFD"/>
    <w:rsid w:val="00461556"/>
    <w:rsid w:val="00461D9A"/>
    <w:rsid w:val="0046494C"/>
    <w:rsid w:val="00465454"/>
    <w:rsid w:val="00465EC2"/>
    <w:rsid w:val="00466978"/>
    <w:rsid w:val="00467DFF"/>
    <w:rsid w:val="00470009"/>
    <w:rsid w:val="0047065C"/>
    <w:rsid w:val="0047188E"/>
    <w:rsid w:val="00471C44"/>
    <w:rsid w:val="00471C96"/>
    <w:rsid w:val="00472F19"/>
    <w:rsid w:val="0047351C"/>
    <w:rsid w:val="0047378A"/>
    <w:rsid w:val="00476110"/>
    <w:rsid w:val="00476375"/>
    <w:rsid w:val="004805F3"/>
    <w:rsid w:val="00480621"/>
    <w:rsid w:val="00480ADD"/>
    <w:rsid w:val="00483D40"/>
    <w:rsid w:val="0048421C"/>
    <w:rsid w:val="00486418"/>
    <w:rsid w:val="00487B97"/>
    <w:rsid w:val="00491B9B"/>
    <w:rsid w:val="00491FAA"/>
    <w:rsid w:val="00492298"/>
    <w:rsid w:val="00493C29"/>
    <w:rsid w:val="0049411C"/>
    <w:rsid w:val="00494E43"/>
    <w:rsid w:val="00494F8B"/>
    <w:rsid w:val="004951C0"/>
    <w:rsid w:val="004968C4"/>
    <w:rsid w:val="004970F5"/>
    <w:rsid w:val="004A0222"/>
    <w:rsid w:val="004A1634"/>
    <w:rsid w:val="004A168C"/>
    <w:rsid w:val="004A1811"/>
    <w:rsid w:val="004A1C0D"/>
    <w:rsid w:val="004A26FA"/>
    <w:rsid w:val="004A4396"/>
    <w:rsid w:val="004A5DAA"/>
    <w:rsid w:val="004A6106"/>
    <w:rsid w:val="004A63BA"/>
    <w:rsid w:val="004B00FE"/>
    <w:rsid w:val="004B0A70"/>
    <w:rsid w:val="004B3991"/>
    <w:rsid w:val="004B6A75"/>
    <w:rsid w:val="004C2816"/>
    <w:rsid w:val="004C323A"/>
    <w:rsid w:val="004C4E66"/>
    <w:rsid w:val="004C5269"/>
    <w:rsid w:val="004C56E9"/>
    <w:rsid w:val="004C5F83"/>
    <w:rsid w:val="004C6D5C"/>
    <w:rsid w:val="004D06C0"/>
    <w:rsid w:val="004D0EE8"/>
    <w:rsid w:val="004D5795"/>
    <w:rsid w:val="004E0919"/>
    <w:rsid w:val="004E2A76"/>
    <w:rsid w:val="004E511A"/>
    <w:rsid w:val="004E5DA3"/>
    <w:rsid w:val="004E6429"/>
    <w:rsid w:val="004E6509"/>
    <w:rsid w:val="004E6587"/>
    <w:rsid w:val="004E6606"/>
    <w:rsid w:val="004E66F1"/>
    <w:rsid w:val="004E6D98"/>
    <w:rsid w:val="004E7779"/>
    <w:rsid w:val="004F12F3"/>
    <w:rsid w:val="004F139F"/>
    <w:rsid w:val="004F22AE"/>
    <w:rsid w:val="004F4F33"/>
    <w:rsid w:val="004F5DA4"/>
    <w:rsid w:val="00500CB3"/>
    <w:rsid w:val="005015B5"/>
    <w:rsid w:val="00505F35"/>
    <w:rsid w:val="00506587"/>
    <w:rsid w:val="00510B16"/>
    <w:rsid w:val="00511FD9"/>
    <w:rsid w:val="00512120"/>
    <w:rsid w:val="0051362A"/>
    <w:rsid w:val="00513756"/>
    <w:rsid w:val="005137EB"/>
    <w:rsid w:val="00513920"/>
    <w:rsid w:val="00513D35"/>
    <w:rsid w:val="00517555"/>
    <w:rsid w:val="005212F7"/>
    <w:rsid w:val="00521F00"/>
    <w:rsid w:val="00523697"/>
    <w:rsid w:val="00523787"/>
    <w:rsid w:val="00524091"/>
    <w:rsid w:val="00526117"/>
    <w:rsid w:val="00527AF0"/>
    <w:rsid w:val="00531EB6"/>
    <w:rsid w:val="00533FC7"/>
    <w:rsid w:val="005346E8"/>
    <w:rsid w:val="00534A78"/>
    <w:rsid w:val="00534B59"/>
    <w:rsid w:val="00542296"/>
    <w:rsid w:val="005434C4"/>
    <w:rsid w:val="00550172"/>
    <w:rsid w:val="00552062"/>
    <w:rsid w:val="00554007"/>
    <w:rsid w:val="00554F94"/>
    <w:rsid w:val="0055530D"/>
    <w:rsid w:val="005554DB"/>
    <w:rsid w:val="0055565C"/>
    <w:rsid w:val="00555D9F"/>
    <w:rsid w:val="00556E5B"/>
    <w:rsid w:val="0056284E"/>
    <w:rsid w:val="00563CB1"/>
    <w:rsid w:val="005646FE"/>
    <w:rsid w:val="00564B44"/>
    <w:rsid w:val="00564E17"/>
    <w:rsid w:val="00565BAF"/>
    <w:rsid w:val="00566526"/>
    <w:rsid w:val="00566688"/>
    <w:rsid w:val="00566CDE"/>
    <w:rsid w:val="00566E6C"/>
    <w:rsid w:val="00567288"/>
    <w:rsid w:val="005704EE"/>
    <w:rsid w:val="00572FE7"/>
    <w:rsid w:val="00573A3B"/>
    <w:rsid w:val="0057465C"/>
    <w:rsid w:val="0057525C"/>
    <w:rsid w:val="005757F7"/>
    <w:rsid w:val="00575BD3"/>
    <w:rsid w:val="005760AA"/>
    <w:rsid w:val="00576643"/>
    <w:rsid w:val="005771DC"/>
    <w:rsid w:val="005773C0"/>
    <w:rsid w:val="0057798E"/>
    <w:rsid w:val="00577EC5"/>
    <w:rsid w:val="00580169"/>
    <w:rsid w:val="005801A3"/>
    <w:rsid w:val="00580E46"/>
    <w:rsid w:val="00581333"/>
    <w:rsid w:val="00582597"/>
    <w:rsid w:val="00582871"/>
    <w:rsid w:val="0058394F"/>
    <w:rsid w:val="00585BEA"/>
    <w:rsid w:val="00585EAF"/>
    <w:rsid w:val="00586A70"/>
    <w:rsid w:val="00587617"/>
    <w:rsid w:val="00591851"/>
    <w:rsid w:val="00591DBB"/>
    <w:rsid w:val="005927D2"/>
    <w:rsid w:val="005927F7"/>
    <w:rsid w:val="005940C8"/>
    <w:rsid w:val="005954C2"/>
    <w:rsid w:val="00595E77"/>
    <w:rsid w:val="00596AA4"/>
    <w:rsid w:val="005A09E3"/>
    <w:rsid w:val="005A2B56"/>
    <w:rsid w:val="005A34E9"/>
    <w:rsid w:val="005A3582"/>
    <w:rsid w:val="005A4FA1"/>
    <w:rsid w:val="005A52C2"/>
    <w:rsid w:val="005A6127"/>
    <w:rsid w:val="005A61A4"/>
    <w:rsid w:val="005A7AF0"/>
    <w:rsid w:val="005B083A"/>
    <w:rsid w:val="005B0B29"/>
    <w:rsid w:val="005B1290"/>
    <w:rsid w:val="005B267D"/>
    <w:rsid w:val="005B30F4"/>
    <w:rsid w:val="005B39AA"/>
    <w:rsid w:val="005B3FE3"/>
    <w:rsid w:val="005B4902"/>
    <w:rsid w:val="005B4E4C"/>
    <w:rsid w:val="005B4F2C"/>
    <w:rsid w:val="005B7B28"/>
    <w:rsid w:val="005C1111"/>
    <w:rsid w:val="005C1D08"/>
    <w:rsid w:val="005C37B8"/>
    <w:rsid w:val="005C3D67"/>
    <w:rsid w:val="005C4066"/>
    <w:rsid w:val="005C4C2A"/>
    <w:rsid w:val="005C6AF8"/>
    <w:rsid w:val="005D13D9"/>
    <w:rsid w:val="005D149B"/>
    <w:rsid w:val="005D1924"/>
    <w:rsid w:val="005D2FA4"/>
    <w:rsid w:val="005D4DFD"/>
    <w:rsid w:val="005E0964"/>
    <w:rsid w:val="005E0C39"/>
    <w:rsid w:val="005E0CA9"/>
    <w:rsid w:val="005E1D24"/>
    <w:rsid w:val="005E394F"/>
    <w:rsid w:val="005E4E51"/>
    <w:rsid w:val="005E7298"/>
    <w:rsid w:val="005E7312"/>
    <w:rsid w:val="005F02DB"/>
    <w:rsid w:val="005F108C"/>
    <w:rsid w:val="005F3EC3"/>
    <w:rsid w:val="005F5073"/>
    <w:rsid w:val="00602E58"/>
    <w:rsid w:val="0060382F"/>
    <w:rsid w:val="00603C22"/>
    <w:rsid w:val="00604CF5"/>
    <w:rsid w:val="00604D56"/>
    <w:rsid w:val="00605D0D"/>
    <w:rsid w:val="0060612C"/>
    <w:rsid w:val="0060680B"/>
    <w:rsid w:val="00610B2B"/>
    <w:rsid w:val="006119B4"/>
    <w:rsid w:val="00614838"/>
    <w:rsid w:val="00621213"/>
    <w:rsid w:val="00621342"/>
    <w:rsid w:val="0062227E"/>
    <w:rsid w:val="006227A7"/>
    <w:rsid w:val="00622C79"/>
    <w:rsid w:val="00622C99"/>
    <w:rsid w:val="00624036"/>
    <w:rsid w:val="006245C4"/>
    <w:rsid w:val="006245E8"/>
    <w:rsid w:val="00624D29"/>
    <w:rsid w:val="0062546F"/>
    <w:rsid w:val="00625523"/>
    <w:rsid w:val="006271D4"/>
    <w:rsid w:val="0063017A"/>
    <w:rsid w:val="00631909"/>
    <w:rsid w:val="006329FC"/>
    <w:rsid w:val="00632E6D"/>
    <w:rsid w:val="006337C4"/>
    <w:rsid w:val="0063518C"/>
    <w:rsid w:val="00635904"/>
    <w:rsid w:val="00635DB5"/>
    <w:rsid w:val="006376B5"/>
    <w:rsid w:val="00637A94"/>
    <w:rsid w:val="006421BB"/>
    <w:rsid w:val="00646772"/>
    <w:rsid w:val="006478D2"/>
    <w:rsid w:val="00650D84"/>
    <w:rsid w:val="00651213"/>
    <w:rsid w:val="00651C02"/>
    <w:rsid w:val="00652530"/>
    <w:rsid w:val="00654474"/>
    <w:rsid w:val="00654EBE"/>
    <w:rsid w:val="00654F82"/>
    <w:rsid w:val="00655DCC"/>
    <w:rsid w:val="00656652"/>
    <w:rsid w:val="00656B4A"/>
    <w:rsid w:val="0065710D"/>
    <w:rsid w:val="0065798C"/>
    <w:rsid w:val="00660278"/>
    <w:rsid w:val="00660AC6"/>
    <w:rsid w:val="00661923"/>
    <w:rsid w:val="00661AF3"/>
    <w:rsid w:val="006636BF"/>
    <w:rsid w:val="00664BE7"/>
    <w:rsid w:val="00665EA4"/>
    <w:rsid w:val="006665A5"/>
    <w:rsid w:val="006672E4"/>
    <w:rsid w:val="00667470"/>
    <w:rsid w:val="0067092E"/>
    <w:rsid w:val="006731A5"/>
    <w:rsid w:val="00673766"/>
    <w:rsid w:val="006749D5"/>
    <w:rsid w:val="00676109"/>
    <w:rsid w:val="00681C0F"/>
    <w:rsid w:val="00681D42"/>
    <w:rsid w:val="0068216A"/>
    <w:rsid w:val="00683884"/>
    <w:rsid w:val="00686C5B"/>
    <w:rsid w:val="00690C2C"/>
    <w:rsid w:val="00690EC6"/>
    <w:rsid w:val="0069163F"/>
    <w:rsid w:val="006925C6"/>
    <w:rsid w:val="00694B9B"/>
    <w:rsid w:val="00697D44"/>
    <w:rsid w:val="006A0317"/>
    <w:rsid w:val="006A0B9D"/>
    <w:rsid w:val="006A0D7E"/>
    <w:rsid w:val="006A2802"/>
    <w:rsid w:val="006A3EDC"/>
    <w:rsid w:val="006A4AA0"/>
    <w:rsid w:val="006A5802"/>
    <w:rsid w:val="006A7426"/>
    <w:rsid w:val="006A756C"/>
    <w:rsid w:val="006A78FE"/>
    <w:rsid w:val="006A7995"/>
    <w:rsid w:val="006B2BE7"/>
    <w:rsid w:val="006B3614"/>
    <w:rsid w:val="006B5A8C"/>
    <w:rsid w:val="006B5D1F"/>
    <w:rsid w:val="006B689E"/>
    <w:rsid w:val="006B71A8"/>
    <w:rsid w:val="006C08D7"/>
    <w:rsid w:val="006C1171"/>
    <w:rsid w:val="006C2058"/>
    <w:rsid w:val="006C30CF"/>
    <w:rsid w:val="006C37F2"/>
    <w:rsid w:val="006C3DF4"/>
    <w:rsid w:val="006C4CFB"/>
    <w:rsid w:val="006C5BCD"/>
    <w:rsid w:val="006C66BF"/>
    <w:rsid w:val="006D3255"/>
    <w:rsid w:val="006D39A5"/>
    <w:rsid w:val="006D3A2A"/>
    <w:rsid w:val="006D6213"/>
    <w:rsid w:val="006D655C"/>
    <w:rsid w:val="006D6D48"/>
    <w:rsid w:val="006D726B"/>
    <w:rsid w:val="006E0341"/>
    <w:rsid w:val="006E1C45"/>
    <w:rsid w:val="006E52E9"/>
    <w:rsid w:val="006E58D5"/>
    <w:rsid w:val="006E6194"/>
    <w:rsid w:val="006F33F9"/>
    <w:rsid w:val="006F3C27"/>
    <w:rsid w:val="006F4C60"/>
    <w:rsid w:val="006F50C8"/>
    <w:rsid w:val="006F580D"/>
    <w:rsid w:val="007002F6"/>
    <w:rsid w:val="0070078D"/>
    <w:rsid w:val="00701574"/>
    <w:rsid w:val="00704726"/>
    <w:rsid w:val="00704F65"/>
    <w:rsid w:val="0070530E"/>
    <w:rsid w:val="00707934"/>
    <w:rsid w:val="0071188A"/>
    <w:rsid w:val="00711E41"/>
    <w:rsid w:val="007125F3"/>
    <w:rsid w:val="007128CE"/>
    <w:rsid w:val="00712F68"/>
    <w:rsid w:val="0071366A"/>
    <w:rsid w:val="0071387F"/>
    <w:rsid w:val="00714AA2"/>
    <w:rsid w:val="00714FD2"/>
    <w:rsid w:val="007157EF"/>
    <w:rsid w:val="0071584A"/>
    <w:rsid w:val="0071697D"/>
    <w:rsid w:val="007172A3"/>
    <w:rsid w:val="00717CAE"/>
    <w:rsid w:val="00723136"/>
    <w:rsid w:val="007235CA"/>
    <w:rsid w:val="0072415E"/>
    <w:rsid w:val="007261E3"/>
    <w:rsid w:val="00727602"/>
    <w:rsid w:val="007278BB"/>
    <w:rsid w:val="00730768"/>
    <w:rsid w:val="0073186C"/>
    <w:rsid w:val="00732238"/>
    <w:rsid w:val="00733BC4"/>
    <w:rsid w:val="00736D7C"/>
    <w:rsid w:val="00737933"/>
    <w:rsid w:val="00737CD4"/>
    <w:rsid w:val="007454DD"/>
    <w:rsid w:val="00745860"/>
    <w:rsid w:val="007460DE"/>
    <w:rsid w:val="00750289"/>
    <w:rsid w:val="007519F3"/>
    <w:rsid w:val="007522AD"/>
    <w:rsid w:val="00753277"/>
    <w:rsid w:val="00753E6A"/>
    <w:rsid w:val="00754431"/>
    <w:rsid w:val="0075521F"/>
    <w:rsid w:val="00755565"/>
    <w:rsid w:val="007572E4"/>
    <w:rsid w:val="007604E5"/>
    <w:rsid w:val="0076052F"/>
    <w:rsid w:val="00760C14"/>
    <w:rsid w:val="00763859"/>
    <w:rsid w:val="007641E5"/>
    <w:rsid w:val="00764EB0"/>
    <w:rsid w:val="00766FBA"/>
    <w:rsid w:val="0077174C"/>
    <w:rsid w:val="00772390"/>
    <w:rsid w:val="007725F1"/>
    <w:rsid w:val="0077327C"/>
    <w:rsid w:val="007736F7"/>
    <w:rsid w:val="00773AFF"/>
    <w:rsid w:val="00773CA2"/>
    <w:rsid w:val="00774A6F"/>
    <w:rsid w:val="00774CD5"/>
    <w:rsid w:val="00777509"/>
    <w:rsid w:val="00780898"/>
    <w:rsid w:val="00780B0B"/>
    <w:rsid w:val="0078126E"/>
    <w:rsid w:val="0078206C"/>
    <w:rsid w:val="00784524"/>
    <w:rsid w:val="00784BDC"/>
    <w:rsid w:val="007867F6"/>
    <w:rsid w:val="00786D94"/>
    <w:rsid w:val="00787FD6"/>
    <w:rsid w:val="0079046A"/>
    <w:rsid w:val="0079087B"/>
    <w:rsid w:val="007925F2"/>
    <w:rsid w:val="00793606"/>
    <w:rsid w:val="00794725"/>
    <w:rsid w:val="007968AB"/>
    <w:rsid w:val="00796C07"/>
    <w:rsid w:val="00796D34"/>
    <w:rsid w:val="007A078D"/>
    <w:rsid w:val="007A19E8"/>
    <w:rsid w:val="007A302F"/>
    <w:rsid w:val="007A4333"/>
    <w:rsid w:val="007A4E4D"/>
    <w:rsid w:val="007A57E9"/>
    <w:rsid w:val="007A64B4"/>
    <w:rsid w:val="007A66F6"/>
    <w:rsid w:val="007A6A04"/>
    <w:rsid w:val="007A6F33"/>
    <w:rsid w:val="007A70B9"/>
    <w:rsid w:val="007A7D4B"/>
    <w:rsid w:val="007B135B"/>
    <w:rsid w:val="007B38BA"/>
    <w:rsid w:val="007B3CAD"/>
    <w:rsid w:val="007B413E"/>
    <w:rsid w:val="007B4503"/>
    <w:rsid w:val="007B4C8D"/>
    <w:rsid w:val="007B64DC"/>
    <w:rsid w:val="007C00FD"/>
    <w:rsid w:val="007C0205"/>
    <w:rsid w:val="007C0648"/>
    <w:rsid w:val="007C067D"/>
    <w:rsid w:val="007C0E90"/>
    <w:rsid w:val="007C1246"/>
    <w:rsid w:val="007C168E"/>
    <w:rsid w:val="007C4F21"/>
    <w:rsid w:val="007C60E6"/>
    <w:rsid w:val="007C67A4"/>
    <w:rsid w:val="007D0290"/>
    <w:rsid w:val="007D2711"/>
    <w:rsid w:val="007D6597"/>
    <w:rsid w:val="007D7D82"/>
    <w:rsid w:val="007E0D75"/>
    <w:rsid w:val="007E1611"/>
    <w:rsid w:val="007E3E6D"/>
    <w:rsid w:val="007E4C94"/>
    <w:rsid w:val="007E567B"/>
    <w:rsid w:val="007E596C"/>
    <w:rsid w:val="007E717D"/>
    <w:rsid w:val="007F0169"/>
    <w:rsid w:val="007F1497"/>
    <w:rsid w:val="007F2F53"/>
    <w:rsid w:val="007F3A34"/>
    <w:rsid w:val="007F49C3"/>
    <w:rsid w:val="007F4B32"/>
    <w:rsid w:val="007F5E20"/>
    <w:rsid w:val="007F6FEF"/>
    <w:rsid w:val="007F7897"/>
    <w:rsid w:val="008007C6"/>
    <w:rsid w:val="00803153"/>
    <w:rsid w:val="00803A1B"/>
    <w:rsid w:val="0080411B"/>
    <w:rsid w:val="0080414E"/>
    <w:rsid w:val="00804D9F"/>
    <w:rsid w:val="00805940"/>
    <w:rsid w:val="008072B4"/>
    <w:rsid w:val="00810099"/>
    <w:rsid w:val="008119ED"/>
    <w:rsid w:val="0081474F"/>
    <w:rsid w:val="008149D6"/>
    <w:rsid w:val="008157DA"/>
    <w:rsid w:val="00815959"/>
    <w:rsid w:val="0082082D"/>
    <w:rsid w:val="0082109D"/>
    <w:rsid w:val="00822129"/>
    <w:rsid w:val="00823049"/>
    <w:rsid w:val="0082377B"/>
    <w:rsid w:val="0082385B"/>
    <w:rsid w:val="008238C2"/>
    <w:rsid w:val="00824438"/>
    <w:rsid w:val="00824847"/>
    <w:rsid w:val="00824C2B"/>
    <w:rsid w:val="0082515F"/>
    <w:rsid w:val="00826203"/>
    <w:rsid w:val="0082659D"/>
    <w:rsid w:val="00826B6D"/>
    <w:rsid w:val="00826EBC"/>
    <w:rsid w:val="00832173"/>
    <w:rsid w:val="00833013"/>
    <w:rsid w:val="008339BE"/>
    <w:rsid w:val="00834E47"/>
    <w:rsid w:val="00835724"/>
    <w:rsid w:val="00836D72"/>
    <w:rsid w:val="008373C6"/>
    <w:rsid w:val="00837657"/>
    <w:rsid w:val="008376E5"/>
    <w:rsid w:val="008377EC"/>
    <w:rsid w:val="008411E2"/>
    <w:rsid w:val="0084129E"/>
    <w:rsid w:val="0084168B"/>
    <w:rsid w:val="008427BC"/>
    <w:rsid w:val="00842D20"/>
    <w:rsid w:val="00843BDC"/>
    <w:rsid w:val="0084432B"/>
    <w:rsid w:val="00844FB7"/>
    <w:rsid w:val="00845221"/>
    <w:rsid w:val="008477D9"/>
    <w:rsid w:val="00850937"/>
    <w:rsid w:val="00852C70"/>
    <w:rsid w:val="008571BA"/>
    <w:rsid w:val="00860E92"/>
    <w:rsid w:val="00860FD1"/>
    <w:rsid w:val="00861221"/>
    <w:rsid w:val="0086146E"/>
    <w:rsid w:val="00861F0A"/>
    <w:rsid w:val="00863914"/>
    <w:rsid w:val="00864064"/>
    <w:rsid w:val="00864662"/>
    <w:rsid w:val="00864B2F"/>
    <w:rsid w:val="00865BE4"/>
    <w:rsid w:val="008668E3"/>
    <w:rsid w:val="00867BC6"/>
    <w:rsid w:val="00867CA5"/>
    <w:rsid w:val="008728D9"/>
    <w:rsid w:val="008729EE"/>
    <w:rsid w:val="008741B2"/>
    <w:rsid w:val="00874285"/>
    <w:rsid w:val="00874334"/>
    <w:rsid w:val="00874BE1"/>
    <w:rsid w:val="008761B6"/>
    <w:rsid w:val="008768DD"/>
    <w:rsid w:val="00876EA5"/>
    <w:rsid w:val="00880B5A"/>
    <w:rsid w:val="00882EEC"/>
    <w:rsid w:val="00884311"/>
    <w:rsid w:val="00887077"/>
    <w:rsid w:val="0088721A"/>
    <w:rsid w:val="00887663"/>
    <w:rsid w:val="008921A6"/>
    <w:rsid w:val="008929E3"/>
    <w:rsid w:val="00893650"/>
    <w:rsid w:val="00894954"/>
    <w:rsid w:val="00895E92"/>
    <w:rsid w:val="008970DA"/>
    <w:rsid w:val="008974EB"/>
    <w:rsid w:val="00897E2A"/>
    <w:rsid w:val="008A0D8C"/>
    <w:rsid w:val="008A0E44"/>
    <w:rsid w:val="008A0FBA"/>
    <w:rsid w:val="008A133D"/>
    <w:rsid w:val="008A1D18"/>
    <w:rsid w:val="008A2C2F"/>
    <w:rsid w:val="008A300C"/>
    <w:rsid w:val="008A433A"/>
    <w:rsid w:val="008A4EF8"/>
    <w:rsid w:val="008A5E51"/>
    <w:rsid w:val="008B17CB"/>
    <w:rsid w:val="008B1B92"/>
    <w:rsid w:val="008B2A18"/>
    <w:rsid w:val="008B2B6B"/>
    <w:rsid w:val="008B49A8"/>
    <w:rsid w:val="008B4CA5"/>
    <w:rsid w:val="008B4EE0"/>
    <w:rsid w:val="008B5D69"/>
    <w:rsid w:val="008B7241"/>
    <w:rsid w:val="008B7A8B"/>
    <w:rsid w:val="008B7C0E"/>
    <w:rsid w:val="008C25AE"/>
    <w:rsid w:val="008C3E55"/>
    <w:rsid w:val="008C5215"/>
    <w:rsid w:val="008C67B9"/>
    <w:rsid w:val="008D02EE"/>
    <w:rsid w:val="008D109B"/>
    <w:rsid w:val="008D3722"/>
    <w:rsid w:val="008D3AA2"/>
    <w:rsid w:val="008D45AA"/>
    <w:rsid w:val="008D7087"/>
    <w:rsid w:val="008D7E3A"/>
    <w:rsid w:val="008E0DA6"/>
    <w:rsid w:val="008E323C"/>
    <w:rsid w:val="008E4937"/>
    <w:rsid w:val="008E5F8E"/>
    <w:rsid w:val="008E6978"/>
    <w:rsid w:val="008F1FDE"/>
    <w:rsid w:val="008F25C7"/>
    <w:rsid w:val="008F3AC4"/>
    <w:rsid w:val="008F5ADD"/>
    <w:rsid w:val="008F6275"/>
    <w:rsid w:val="008F7641"/>
    <w:rsid w:val="00901EDC"/>
    <w:rsid w:val="00902E69"/>
    <w:rsid w:val="00903ABE"/>
    <w:rsid w:val="0090640E"/>
    <w:rsid w:val="00910A0A"/>
    <w:rsid w:val="00911337"/>
    <w:rsid w:val="00912BB6"/>
    <w:rsid w:val="00913DF3"/>
    <w:rsid w:val="00915C51"/>
    <w:rsid w:val="00915E0C"/>
    <w:rsid w:val="00916EC1"/>
    <w:rsid w:val="00917A22"/>
    <w:rsid w:val="00920963"/>
    <w:rsid w:val="009218C5"/>
    <w:rsid w:val="00923220"/>
    <w:rsid w:val="00923FDD"/>
    <w:rsid w:val="00924678"/>
    <w:rsid w:val="00924A4E"/>
    <w:rsid w:val="009252DA"/>
    <w:rsid w:val="00927C55"/>
    <w:rsid w:val="00927D95"/>
    <w:rsid w:val="009306D2"/>
    <w:rsid w:val="00931B3E"/>
    <w:rsid w:val="00931D73"/>
    <w:rsid w:val="009342CD"/>
    <w:rsid w:val="009358CE"/>
    <w:rsid w:val="00936790"/>
    <w:rsid w:val="0094123B"/>
    <w:rsid w:val="00941AED"/>
    <w:rsid w:val="009424FB"/>
    <w:rsid w:val="00942754"/>
    <w:rsid w:val="00945517"/>
    <w:rsid w:val="009459E9"/>
    <w:rsid w:val="0094661F"/>
    <w:rsid w:val="00946B44"/>
    <w:rsid w:val="00947F8D"/>
    <w:rsid w:val="009504C0"/>
    <w:rsid w:val="00950905"/>
    <w:rsid w:val="0095269F"/>
    <w:rsid w:val="00952AD7"/>
    <w:rsid w:val="00952E9C"/>
    <w:rsid w:val="00953D96"/>
    <w:rsid w:val="0095445B"/>
    <w:rsid w:val="00955B3D"/>
    <w:rsid w:val="00955BE8"/>
    <w:rsid w:val="00955F3A"/>
    <w:rsid w:val="00956DBC"/>
    <w:rsid w:val="00956F52"/>
    <w:rsid w:val="009579AF"/>
    <w:rsid w:val="00960298"/>
    <w:rsid w:val="009603D9"/>
    <w:rsid w:val="00961F71"/>
    <w:rsid w:val="00965710"/>
    <w:rsid w:val="0096574E"/>
    <w:rsid w:val="0096692D"/>
    <w:rsid w:val="00971118"/>
    <w:rsid w:val="009720E6"/>
    <w:rsid w:val="009767E9"/>
    <w:rsid w:val="00976C04"/>
    <w:rsid w:val="009771C5"/>
    <w:rsid w:val="009808CA"/>
    <w:rsid w:val="0098092F"/>
    <w:rsid w:val="0098198E"/>
    <w:rsid w:val="00981DF4"/>
    <w:rsid w:val="00982F76"/>
    <w:rsid w:val="0098319B"/>
    <w:rsid w:val="009852A4"/>
    <w:rsid w:val="00985D29"/>
    <w:rsid w:val="00986A3F"/>
    <w:rsid w:val="00987E35"/>
    <w:rsid w:val="00992137"/>
    <w:rsid w:val="009925FD"/>
    <w:rsid w:val="0099272C"/>
    <w:rsid w:val="00996214"/>
    <w:rsid w:val="009971D5"/>
    <w:rsid w:val="00997A8D"/>
    <w:rsid w:val="00997B01"/>
    <w:rsid w:val="00997BC6"/>
    <w:rsid w:val="009A00A4"/>
    <w:rsid w:val="009A0A64"/>
    <w:rsid w:val="009A3EB7"/>
    <w:rsid w:val="009A5626"/>
    <w:rsid w:val="009A6E03"/>
    <w:rsid w:val="009B0657"/>
    <w:rsid w:val="009B0759"/>
    <w:rsid w:val="009B1C90"/>
    <w:rsid w:val="009B2125"/>
    <w:rsid w:val="009B2A90"/>
    <w:rsid w:val="009B2AF0"/>
    <w:rsid w:val="009B3158"/>
    <w:rsid w:val="009B5178"/>
    <w:rsid w:val="009B5E10"/>
    <w:rsid w:val="009B61D2"/>
    <w:rsid w:val="009B72E0"/>
    <w:rsid w:val="009B7A8B"/>
    <w:rsid w:val="009B7FB5"/>
    <w:rsid w:val="009C1ADF"/>
    <w:rsid w:val="009C5B53"/>
    <w:rsid w:val="009C5CE8"/>
    <w:rsid w:val="009D06CF"/>
    <w:rsid w:val="009D0827"/>
    <w:rsid w:val="009D4D6B"/>
    <w:rsid w:val="009D4DBC"/>
    <w:rsid w:val="009D50B9"/>
    <w:rsid w:val="009D549D"/>
    <w:rsid w:val="009D6893"/>
    <w:rsid w:val="009D6ADB"/>
    <w:rsid w:val="009D7FE4"/>
    <w:rsid w:val="009E021D"/>
    <w:rsid w:val="009E0C09"/>
    <w:rsid w:val="009E0F13"/>
    <w:rsid w:val="009E1B07"/>
    <w:rsid w:val="009E42E7"/>
    <w:rsid w:val="009E59DE"/>
    <w:rsid w:val="009E64FB"/>
    <w:rsid w:val="009E665B"/>
    <w:rsid w:val="009E74F8"/>
    <w:rsid w:val="009E7CC7"/>
    <w:rsid w:val="009F17DD"/>
    <w:rsid w:val="009F3AEA"/>
    <w:rsid w:val="009F6072"/>
    <w:rsid w:val="009F6678"/>
    <w:rsid w:val="009F70D2"/>
    <w:rsid w:val="00A0045F"/>
    <w:rsid w:val="00A01516"/>
    <w:rsid w:val="00A0262E"/>
    <w:rsid w:val="00A02A2C"/>
    <w:rsid w:val="00A044A0"/>
    <w:rsid w:val="00A046BD"/>
    <w:rsid w:val="00A0471F"/>
    <w:rsid w:val="00A0480B"/>
    <w:rsid w:val="00A0496B"/>
    <w:rsid w:val="00A05425"/>
    <w:rsid w:val="00A06905"/>
    <w:rsid w:val="00A07205"/>
    <w:rsid w:val="00A0732D"/>
    <w:rsid w:val="00A07E69"/>
    <w:rsid w:val="00A10F7F"/>
    <w:rsid w:val="00A112B8"/>
    <w:rsid w:val="00A11B33"/>
    <w:rsid w:val="00A1217C"/>
    <w:rsid w:val="00A13068"/>
    <w:rsid w:val="00A1466B"/>
    <w:rsid w:val="00A151E1"/>
    <w:rsid w:val="00A16E95"/>
    <w:rsid w:val="00A2002B"/>
    <w:rsid w:val="00A20259"/>
    <w:rsid w:val="00A21BD8"/>
    <w:rsid w:val="00A23973"/>
    <w:rsid w:val="00A24798"/>
    <w:rsid w:val="00A24A46"/>
    <w:rsid w:val="00A26737"/>
    <w:rsid w:val="00A26CA8"/>
    <w:rsid w:val="00A270CB"/>
    <w:rsid w:val="00A27189"/>
    <w:rsid w:val="00A271DF"/>
    <w:rsid w:val="00A30897"/>
    <w:rsid w:val="00A31098"/>
    <w:rsid w:val="00A3321F"/>
    <w:rsid w:val="00A3361B"/>
    <w:rsid w:val="00A35332"/>
    <w:rsid w:val="00A35615"/>
    <w:rsid w:val="00A35C6B"/>
    <w:rsid w:val="00A36B32"/>
    <w:rsid w:val="00A36CB6"/>
    <w:rsid w:val="00A37A0D"/>
    <w:rsid w:val="00A37AEE"/>
    <w:rsid w:val="00A4113D"/>
    <w:rsid w:val="00A42474"/>
    <w:rsid w:val="00A432BA"/>
    <w:rsid w:val="00A4341D"/>
    <w:rsid w:val="00A4439A"/>
    <w:rsid w:val="00A4563E"/>
    <w:rsid w:val="00A459F2"/>
    <w:rsid w:val="00A51641"/>
    <w:rsid w:val="00A51789"/>
    <w:rsid w:val="00A5286C"/>
    <w:rsid w:val="00A5477C"/>
    <w:rsid w:val="00A55FA2"/>
    <w:rsid w:val="00A56EFC"/>
    <w:rsid w:val="00A57423"/>
    <w:rsid w:val="00A576F2"/>
    <w:rsid w:val="00A57BB1"/>
    <w:rsid w:val="00A6007C"/>
    <w:rsid w:val="00A6140F"/>
    <w:rsid w:val="00A61624"/>
    <w:rsid w:val="00A6183F"/>
    <w:rsid w:val="00A6247E"/>
    <w:rsid w:val="00A63052"/>
    <w:rsid w:val="00A64F43"/>
    <w:rsid w:val="00A6503C"/>
    <w:rsid w:val="00A661C5"/>
    <w:rsid w:val="00A7182D"/>
    <w:rsid w:val="00A72839"/>
    <w:rsid w:val="00A73ABC"/>
    <w:rsid w:val="00A73D24"/>
    <w:rsid w:val="00A75866"/>
    <w:rsid w:val="00A771B9"/>
    <w:rsid w:val="00A81524"/>
    <w:rsid w:val="00A820EE"/>
    <w:rsid w:val="00A8248F"/>
    <w:rsid w:val="00A844B9"/>
    <w:rsid w:val="00A85603"/>
    <w:rsid w:val="00A8591F"/>
    <w:rsid w:val="00A85E16"/>
    <w:rsid w:val="00A86643"/>
    <w:rsid w:val="00A86D5A"/>
    <w:rsid w:val="00A87869"/>
    <w:rsid w:val="00A87EC2"/>
    <w:rsid w:val="00A9220D"/>
    <w:rsid w:val="00A92744"/>
    <w:rsid w:val="00A9353E"/>
    <w:rsid w:val="00A941D5"/>
    <w:rsid w:val="00A95424"/>
    <w:rsid w:val="00A97EC0"/>
    <w:rsid w:val="00AA1E92"/>
    <w:rsid w:val="00AA438A"/>
    <w:rsid w:val="00AA488F"/>
    <w:rsid w:val="00AA57AA"/>
    <w:rsid w:val="00AA57F6"/>
    <w:rsid w:val="00AA619F"/>
    <w:rsid w:val="00AA62EE"/>
    <w:rsid w:val="00AA6DD1"/>
    <w:rsid w:val="00AB1A93"/>
    <w:rsid w:val="00AB206A"/>
    <w:rsid w:val="00AB237B"/>
    <w:rsid w:val="00AB3CB5"/>
    <w:rsid w:val="00AB55A0"/>
    <w:rsid w:val="00AB624D"/>
    <w:rsid w:val="00AB78FC"/>
    <w:rsid w:val="00AC11C1"/>
    <w:rsid w:val="00AC3354"/>
    <w:rsid w:val="00AC379F"/>
    <w:rsid w:val="00AC7729"/>
    <w:rsid w:val="00AD0957"/>
    <w:rsid w:val="00AD0CD2"/>
    <w:rsid w:val="00AD1AD1"/>
    <w:rsid w:val="00AD2EDE"/>
    <w:rsid w:val="00AD49A7"/>
    <w:rsid w:val="00AD528E"/>
    <w:rsid w:val="00AE14F6"/>
    <w:rsid w:val="00AE25D1"/>
    <w:rsid w:val="00AE2703"/>
    <w:rsid w:val="00AE30E7"/>
    <w:rsid w:val="00AE325B"/>
    <w:rsid w:val="00AE40E4"/>
    <w:rsid w:val="00AE4AE7"/>
    <w:rsid w:val="00AE6AAE"/>
    <w:rsid w:val="00AF0962"/>
    <w:rsid w:val="00AF2CB0"/>
    <w:rsid w:val="00AF30AB"/>
    <w:rsid w:val="00AF451C"/>
    <w:rsid w:val="00AF4898"/>
    <w:rsid w:val="00AF5858"/>
    <w:rsid w:val="00AF6702"/>
    <w:rsid w:val="00AF7226"/>
    <w:rsid w:val="00AF7A09"/>
    <w:rsid w:val="00B0155C"/>
    <w:rsid w:val="00B0265B"/>
    <w:rsid w:val="00B03CE8"/>
    <w:rsid w:val="00B06E39"/>
    <w:rsid w:val="00B06FF7"/>
    <w:rsid w:val="00B0773C"/>
    <w:rsid w:val="00B10784"/>
    <w:rsid w:val="00B11296"/>
    <w:rsid w:val="00B12055"/>
    <w:rsid w:val="00B1209F"/>
    <w:rsid w:val="00B141AB"/>
    <w:rsid w:val="00B14465"/>
    <w:rsid w:val="00B16015"/>
    <w:rsid w:val="00B1707B"/>
    <w:rsid w:val="00B21A84"/>
    <w:rsid w:val="00B2751E"/>
    <w:rsid w:val="00B2783E"/>
    <w:rsid w:val="00B305F4"/>
    <w:rsid w:val="00B307EC"/>
    <w:rsid w:val="00B315FC"/>
    <w:rsid w:val="00B31AF4"/>
    <w:rsid w:val="00B328F1"/>
    <w:rsid w:val="00B32A82"/>
    <w:rsid w:val="00B33DD8"/>
    <w:rsid w:val="00B3412D"/>
    <w:rsid w:val="00B354D6"/>
    <w:rsid w:val="00B360E0"/>
    <w:rsid w:val="00B36769"/>
    <w:rsid w:val="00B367E5"/>
    <w:rsid w:val="00B36F8D"/>
    <w:rsid w:val="00B36FF2"/>
    <w:rsid w:val="00B37213"/>
    <w:rsid w:val="00B409D3"/>
    <w:rsid w:val="00B410D4"/>
    <w:rsid w:val="00B410D5"/>
    <w:rsid w:val="00B4111B"/>
    <w:rsid w:val="00B4130C"/>
    <w:rsid w:val="00B413FE"/>
    <w:rsid w:val="00B4244E"/>
    <w:rsid w:val="00B42579"/>
    <w:rsid w:val="00B45428"/>
    <w:rsid w:val="00B45F91"/>
    <w:rsid w:val="00B46CD7"/>
    <w:rsid w:val="00B50B91"/>
    <w:rsid w:val="00B521BB"/>
    <w:rsid w:val="00B53278"/>
    <w:rsid w:val="00B54F6D"/>
    <w:rsid w:val="00B55A49"/>
    <w:rsid w:val="00B57858"/>
    <w:rsid w:val="00B6001C"/>
    <w:rsid w:val="00B617C9"/>
    <w:rsid w:val="00B6225A"/>
    <w:rsid w:val="00B63034"/>
    <w:rsid w:val="00B6452C"/>
    <w:rsid w:val="00B652A2"/>
    <w:rsid w:val="00B65D21"/>
    <w:rsid w:val="00B675D4"/>
    <w:rsid w:val="00B71D21"/>
    <w:rsid w:val="00B730DD"/>
    <w:rsid w:val="00B7584F"/>
    <w:rsid w:val="00B75854"/>
    <w:rsid w:val="00B76A6C"/>
    <w:rsid w:val="00B7758F"/>
    <w:rsid w:val="00B82116"/>
    <w:rsid w:val="00B8511B"/>
    <w:rsid w:val="00B860F8"/>
    <w:rsid w:val="00B869CF"/>
    <w:rsid w:val="00B86A83"/>
    <w:rsid w:val="00B907C8"/>
    <w:rsid w:val="00B913B4"/>
    <w:rsid w:val="00B92EBC"/>
    <w:rsid w:val="00B932B0"/>
    <w:rsid w:val="00B93F3A"/>
    <w:rsid w:val="00B95160"/>
    <w:rsid w:val="00B95CBA"/>
    <w:rsid w:val="00B96911"/>
    <w:rsid w:val="00B970A7"/>
    <w:rsid w:val="00BA058A"/>
    <w:rsid w:val="00BA0B1E"/>
    <w:rsid w:val="00BA0E11"/>
    <w:rsid w:val="00BA1D1A"/>
    <w:rsid w:val="00BA259E"/>
    <w:rsid w:val="00BA4F71"/>
    <w:rsid w:val="00BB04AA"/>
    <w:rsid w:val="00BB0D8C"/>
    <w:rsid w:val="00BB19D2"/>
    <w:rsid w:val="00BB5157"/>
    <w:rsid w:val="00BB5606"/>
    <w:rsid w:val="00BB593E"/>
    <w:rsid w:val="00BB63A1"/>
    <w:rsid w:val="00BB669F"/>
    <w:rsid w:val="00BB7BC8"/>
    <w:rsid w:val="00BC0A7E"/>
    <w:rsid w:val="00BC1337"/>
    <w:rsid w:val="00BC181D"/>
    <w:rsid w:val="00BC26CC"/>
    <w:rsid w:val="00BC2D92"/>
    <w:rsid w:val="00BC3574"/>
    <w:rsid w:val="00BC43F9"/>
    <w:rsid w:val="00BD0564"/>
    <w:rsid w:val="00BD0AEF"/>
    <w:rsid w:val="00BD10F0"/>
    <w:rsid w:val="00BD175D"/>
    <w:rsid w:val="00BD1936"/>
    <w:rsid w:val="00BD1E72"/>
    <w:rsid w:val="00BD2FD2"/>
    <w:rsid w:val="00BD529F"/>
    <w:rsid w:val="00BD5C21"/>
    <w:rsid w:val="00BD7237"/>
    <w:rsid w:val="00BD76DE"/>
    <w:rsid w:val="00BD7DC0"/>
    <w:rsid w:val="00BE0B77"/>
    <w:rsid w:val="00BE0DD4"/>
    <w:rsid w:val="00BE112E"/>
    <w:rsid w:val="00BE1DCD"/>
    <w:rsid w:val="00BE22AF"/>
    <w:rsid w:val="00BE5449"/>
    <w:rsid w:val="00BE5CC0"/>
    <w:rsid w:val="00BE5E57"/>
    <w:rsid w:val="00BF0BE9"/>
    <w:rsid w:val="00BF1456"/>
    <w:rsid w:val="00BF19E0"/>
    <w:rsid w:val="00BF234B"/>
    <w:rsid w:val="00BF3716"/>
    <w:rsid w:val="00BF4AA1"/>
    <w:rsid w:val="00BF5DE4"/>
    <w:rsid w:val="00BF68F4"/>
    <w:rsid w:val="00BF75F2"/>
    <w:rsid w:val="00C009BD"/>
    <w:rsid w:val="00C01499"/>
    <w:rsid w:val="00C01CAD"/>
    <w:rsid w:val="00C01FE7"/>
    <w:rsid w:val="00C02326"/>
    <w:rsid w:val="00C026CA"/>
    <w:rsid w:val="00C02BD2"/>
    <w:rsid w:val="00C0378D"/>
    <w:rsid w:val="00C04889"/>
    <w:rsid w:val="00C07ED5"/>
    <w:rsid w:val="00C1056B"/>
    <w:rsid w:val="00C10A8E"/>
    <w:rsid w:val="00C136EB"/>
    <w:rsid w:val="00C14389"/>
    <w:rsid w:val="00C14F8E"/>
    <w:rsid w:val="00C152E0"/>
    <w:rsid w:val="00C16708"/>
    <w:rsid w:val="00C17189"/>
    <w:rsid w:val="00C17FB0"/>
    <w:rsid w:val="00C213C8"/>
    <w:rsid w:val="00C214FE"/>
    <w:rsid w:val="00C216BF"/>
    <w:rsid w:val="00C2407D"/>
    <w:rsid w:val="00C25661"/>
    <w:rsid w:val="00C30338"/>
    <w:rsid w:val="00C32FFF"/>
    <w:rsid w:val="00C33407"/>
    <w:rsid w:val="00C3604D"/>
    <w:rsid w:val="00C36E1D"/>
    <w:rsid w:val="00C37352"/>
    <w:rsid w:val="00C40EA4"/>
    <w:rsid w:val="00C424E6"/>
    <w:rsid w:val="00C45C54"/>
    <w:rsid w:val="00C47C12"/>
    <w:rsid w:val="00C50916"/>
    <w:rsid w:val="00C5117D"/>
    <w:rsid w:val="00C51738"/>
    <w:rsid w:val="00C52CC2"/>
    <w:rsid w:val="00C52E86"/>
    <w:rsid w:val="00C53A1F"/>
    <w:rsid w:val="00C54512"/>
    <w:rsid w:val="00C547D6"/>
    <w:rsid w:val="00C560CB"/>
    <w:rsid w:val="00C57260"/>
    <w:rsid w:val="00C606E8"/>
    <w:rsid w:val="00C6113C"/>
    <w:rsid w:val="00C61AD3"/>
    <w:rsid w:val="00C64BDC"/>
    <w:rsid w:val="00C650A6"/>
    <w:rsid w:val="00C7138D"/>
    <w:rsid w:val="00C74572"/>
    <w:rsid w:val="00C762B1"/>
    <w:rsid w:val="00C766D0"/>
    <w:rsid w:val="00C7758D"/>
    <w:rsid w:val="00C8360A"/>
    <w:rsid w:val="00C83A65"/>
    <w:rsid w:val="00C83B1A"/>
    <w:rsid w:val="00C8475E"/>
    <w:rsid w:val="00C84985"/>
    <w:rsid w:val="00C854F1"/>
    <w:rsid w:val="00C858F2"/>
    <w:rsid w:val="00C8603C"/>
    <w:rsid w:val="00C870E5"/>
    <w:rsid w:val="00C871F0"/>
    <w:rsid w:val="00C900D2"/>
    <w:rsid w:val="00C90517"/>
    <w:rsid w:val="00C92983"/>
    <w:rsid w:val="00C93057"/>
    <w:rsid w:val="00C936A9"/>
    <w:rsid w:val="00C93F12"/>
    <w:rsid w:val="00C94140"/>
    <w:rsid w:val="00C95B68"/>
    <w:rsid w:val="00C95E1A"/>
    <w:rsid w:val="00C96103"/>
    <w:rsid w:val="00C96160"/>
    <w:rsid w:val="00C962D5"/>
    <w:rsid w:val="00C976E1"/>
    <w:rsid w:val="00CA55C8"/>
    <w:rsid w:val="00CA5CE9"/>
    <w:rsid w:val="00CA695B"/>
    <w:rsid w:val="00CA6AF7"/>
    <w:rsid w:val="00CB0280"/>
    <w:rsid w:val="00CB15BB"/>
    <w:rsid w:val="00CB329C"/>
    <w:rsid w:val="00CB48C2"/>
    <w:rsid w:val="00CB5B34"/>
    <w:rsid w:val="00CB7387"/>
    <w:rsid w:val="00CB74CA"/>
    <w:rsid w:val="00CC094D"/>
    <w:rsid w:val="00CC0DC5"/>
    <w:rsid w:val="00CC1789"/>
    <w:rsid w:val="00CC1EFB"/>
    <w:rsid w:val="00CC233B"/>
    <w:rsid w:val="00CC24F8"/>
    <w:rsid w:val="00CC3728"/>
    <w:rsid w:val="00CC3FA6"/>
    <w:rsid w:val="00CC4794"/>
    <w:rsid w:val="00CC64E3"/>
    <w:rsid w:val="00CC711E"/>
    <w:rsid w:val="00CD0670"/>
    <w:rsid w:val="00CD2488"/>
    <w:rsid w:val="00CD4934"/>
    <w:rsid w:val="00CD4E01"/>
    <w:rsid w:val="00CD5526"/>
    <w:rsid w:val="00CD6500"/>
    <w:rsid w:val="00CD66FB"/>
    <w:rsid w:val="00CE35B9"/>
    <w:rsid w:val="00CE4E44"/>
    <w:rsid w:val="00CE6007"/>
    <w:rsid w:val="00CE68FF"/>
    <w:rsid w:val="00CE6E0E"/>
    <w:rsid w:val="00CE7033"/>
    <w:rsid w:val="00CE73FA"/>
    <w:rsid w:val="00CF0644"/>
    <w:rsid w:val="00CF0BA4"/>
    <w:rsid w:val="00CF2019"/>
    <w:rsid w:val="00CF2BC9"/>
    <w:rsid w:val="00CF30DB"/>
    <w:rsid w:val="00CF3569"/>
    <w:rsid w:val="00CF4014"/>
    <w:rsid w:val="00CF55FA"/>
    <w:rsid w:val="00CF6F91"/>
    <w:rsid w:val="00D00955"/>
    <w:rsid w:val="00D01CF3"/>
    <w:rsid w:val="00D028BF"/>
    <w:rsid w:val="00D03468"/>
    <w:rsid w:val="00D04ADE"/>
    <w:rsid w:val="00D06B17"/>
    <w:rsid w:val="00D11019"/>
    <w:rsid w:val="00D115D9"/>
    <w:rsid w:val="00D13E0D"/>
    <w:rsid w:val="00D14176"/>
    <w:rsid w:val="00D151CD"/>
    <w:rsid w:val="00D1576E"/>
    <w:rsid w:val="00D15E89"/>
    <w:rsid w:val="00D16548"/>
    <w:rsid w:val="00D2113B"/>
    <w:rsid w:val="00D21D97"/>
    <w:rsid w:val="00D21F9F"/>
    <w:rsid w:val="00D22450"/>
    <w:rsid w:val="00D2250E"/>
    <w:rsid w:val="00D23ECA"/>
    <w:rsid w:val="00D24A7A"/>
    <w:rsid w:val="00D255A8"/>
    <w:rsid w:val="00D263EC"/>
    <w:rsid w:val="00D2661E"/>
    <w:rsid w:val="00D26E8D"/>
    <w:rsid w:val="00D31090"/>
    <w:rsid w:val="00D325DD"/>
    <w:rsid w:val="00D32A0A"/>
    <w:rsid w:val="00D34266"/>
    <w:rsid w:val="00D35FD1"/>
    <w:rsid w:val="00D37A84"/>
    <w:rsid w:val="00D40ED0"/>
    <w:rsid w:val="00D41CF8"/>
    <w:rsid w:val="00D42646"/>
    <w:rsid w:val="00D4408E"/>
    <w:rsid w:val="00D46938"/>
    <w:rsid w:val="00D474E2"/>
    <w:rsid w:val="00D47F2A"/>
    <w:rsid w:val="00D50A2A"/>
    <w:rsid w:val="00D52C72"/>
    <w:rsid w:val="00D52C9E"/>
    <w:rsid w:val="00D546D7"/>
    <w:rsid w:val="00D5698E"/>
    <w:rsid w:val="00D56B8B"/>
    <w:rsid w:val="00D56C0B"/>
    <w:rsid w:val="00D571FE"/>
    <w:rsid w:val="00D61386"/>
    <w:rsid w:val="00D63A86"/>
    <w:rsid w:val="00D65E4D"/>
    <w:rsid w:val="00D668DF"/>
    <w:rsid w:val="00D70BA6"/>
    <w:rsid w:val="00D70CA9"/>
    <w:rsid w:val="00D75025"/>
    <w:rsid w:val="00D7623D"/>
    <w:rsid w:val="00D7698D"/>
    <w:rsid w:val="00D77FE8"/>
    <w:rsid w:val="00D80FC0"/>
    <w:rsid w:val="00D818BA"/>
    <w:rsid w:val="00D81BB1"/>
    <w:rsid w:val="00D81F8E"/>
    <w:rsid w:val="00D8284C"/>
    <w:rsid w:val="00D839E0"/>
    <w:rsid w:val="00D83B3D"/>
    <w:rsid w:val="00D8405D"/>
    <w:rsid w:val="00D85ED8"/>
    <w:rsid w:val="00D85F3A"/>
    <w:rsid w:val="00D85F5C"/>
    <w:rsid w:val="00D867ED"/>
    <w:rsid w:val="00D9184E"/>
    <w:rsid w:val="00D94324"/>
    <w:rsid w:val="00D95F51"/>
    <w:rsid w:val="00D96FF4"/>
    <w:rsid w:val="00DA08F0"/>
    <w:rsid w:val="00DA354F"/>
    <w:rsid w:val="00DA4827"/>
    <w:rsid w:val="00DA66DB"/>
    <w:rsid w:val="00DA71EA"/>
    <w:rsid w:val="00DA7755"/>
    <w:rsid w:val="00DB0D9B"/>
    <w:rsid w:val="00DB52FE"/>
    <w:rsid w:val="00DB53AA"/>
    <w:rsid w:val="00DB56D9"/>
    <w:rsid w:val="00DB5BFA"/>
    <w:rsid w:val="00DB5DF1"/>
    <w:rsid w:val="00DB6B67"/>
    <w:rsid w:val="00DB7C52"/>
    <w:rsid w:val="00DC0485"/>
    <w:rsid w:val="00DC07CF"/>
    <w:rsid w:val="00DC08F4"/>
    <w:rsid w:val="00DC0E2A"/>
    <w:rsid w:val="00DC2509"/>
    <w:rsid w:val="00DC2540"/>
    <w:rsid w:val="00DC57B5"/>
    <w:rsid w:val="00DC5C82"/>
    <w:rsid w:val="00DC78A1"/>
    <w:rsid w:val="00DD0EEA"/>
    <w:rsid w:val="00DD2465"/>
    <w:rsid w:val="00DD2C48"/>
    <w:rsid w:val="00DD30FF"/>
    <w:rsid w:val="00DD5EF3"/>
    <w:rsid w:val="00DD6BC7"/>
    <w:rsid w:val="00DD7303"/>
    <w:rsid w:val="00DD76C5"/>
    <w:rsid w:val="00DD7CAD"/>
    <w:rsid w:val="00DE12B0"/>
    <w:rsid w:val="00DE164C"/>
    <w:rsid w:val="00DE196F"/>
    <w:rsid w:val="00DE2731"/>
    <w:rsid w:val="00DE2CA3"/>
    <w:rsid w:val="00DE562A"/>
    <w:rsid w:val="00DE6046"/>
    <w:rsid w:val="00DE726F"/>
    <w:rsid w:val="00DF000F"/>
    <w:rsid w:val="00DF0560"/>
    <w:rsid w:val="00DF0F58"/>
    <w:rsid w:val="00DF3184"/>
    <w:rsid w:val="00DF552F"/>
    <w:rsid w:val="00DF58D9"/>
    <w:rsid w:val="00DF59F6"/>
    <w:rsid w:val="00DF6461"/>
    <w:rsid w:val="00E00577"/>
    <w:rsid w:val="00E014E4"/>
    <w:rsid w:val="00E01C9D"/>
    <w:rsid w:val="00E01EAE"/>
    <w:rsid w:val="00E01EFB"/>
    <w:rsid w:val="00E02371"/>
    <w:rsid w:val="00E02536"/>
    <w:rsid w:val="00E037C5"/>
    <w:rsid w:val="00E03EFD"/>
    <w:rsid w:val="00E04F3D"/>
    <w:rsid w:val="00E05774"/>
    <w:rsid w:val="00E07E23"/>
    <w:rsid w:val="00E1391A"/>
    <w:rsid w:val="00E14210"/>
    <w:rsid w:val="00E147FC"/>
    <w:rsid w:val="00E14D34"/>
    <w:rsid w:val="00E159A0"/>
    <w:rsid w:val="00E16FA4"/>
    <w:rsid w:val="00E177EA"/>
    <w:rsid w:val="00E17D99"/>
    <w:rsid w:val="00E21FC2"/>
    <w:rsid w:val="00E220C6"/>
    <w:rsid w:val="00E241B7"/>
    <w:rsid w:val="00E24933"/>
    <w:rsid w:val="00E25ABF"/>
    <w:rsid w:val="00E264E2"/>
    <w:rsid w:val="00E27AB5"/>
    <w:rsid w:val="00E27BE9"/>
    <w:rsid w:val="00E307F4"/>
    <w:rsid w:val="00E314F2"/>
    <w:rsid w:val="00E3209C"/>
    <w:rsid w:val="00E327BA"/>
    <w:rsid w:val="00E33780"/>
    <w:rsid w:val="00E3478A"/>
    <w:rsid w:val="00E34C02"/>
    <w:rsid w:val="00E35EF2"/>
    <w:rsid w:val="00E362F2"/>
    <w:rsid w:val="00E36C00"/>
    <w:rsid w:val="00E41149"/>
    <w:rsid w:val="00E4244C"/>
    <w:rsid w:val="00E424BE"/>
    <w:rsid w:val="00E43D75"/>
    <w:rsid w:val="00E4468F"/>
    <w:rsid w:val="00E452D2"/>
    <w:rsid w:val="00E46542"/>
    <w:rsid w:val="00E47478"/>
    <w:rsid w:val="00E47E91"/>
    <w:rsid w:val="00E50CE0"/>
    <w:rsid w:val="00E56A60"/>
    <w:rsid w:val="00E56F74"/>
    <w:rsid w:val="00E57BFA"/>
    <w:rsid w:val="00E622C6"/>
    <w:rsid w:val="00E626BC"/>
    <w:rsid w:val="00E62A55"/>
    <w:rsid w:val="00E644CA"/>
    <w:rsid w:val="00E65073"/>
    <w:rsid w:val="00E66257"/>
    <w:rsid w:val="00E66538"/>
    <w:rsid w:val="00E66654"/>
    <w:rsid w:val="00E67B67"/>
    <w:rsid w:val="00E7115E"/>
    <w:rsid w:val="00E71372"/>
    <w:rsid w:val="00E72048"/>
    <w:rsid w:val="00E74330"/>
    <w:rsid w:val="00E760D2"/>
    <w:rsid w:val="00E771D6"/>
    <w:rsid w:val="00E81705"/>
    <w:rsid w:val="00E8222A"/>
    <w:rsid w:val="00E82B3D"/>
    <w:rsid w:val="00E82D4E"/>
    <w:rsid w:val="00E82FA2"/>
    <w:rsid w:val="00E84425"/>
    <w:rsid w:val="00E84B6E"/>
    <w:rsid w:val="00E84E08"/>
    <w:rsid w:val="00E85210"/>
    <w:rsid w:val="00E86179"/>
    <w:rsid w:val="00E87326"/>
    <w:rsid w:val="00E87C24"/>
    <w:rsid w:val="00E87D0B"/>
    <w:rsid w:val="00E92C1D"/>
    <w:rsid w:val="00E95203"/>
    <w:rsid w:val="00E9533B"/>
    <w:rsid w:val="00E976FB"/>
    <w:rsid w:val="00EA09EB"/>
    <w:rsid w:val="00EA0AF6"/>
    <w:rsid w:val="00EA17A5"/>
    <w:rsid w:val="00EA238A"/>
    <w:rsid w:val="00EA38DE"/>
    <w:rsid w:val="00EA42DE"/>
    <w:rsid w:val="00EA4841"/>
    <w:rsid w:val="00EA4D41"/>
    <w:rsid w:val="00EA6F45"/>
    <w:rsid w:val="00EB0AE0"/>
    <w:rsid w:val="00EB0FA7"/>
    <w:rsid w:val="00EB0FF1"/>
    <w:rsid w:val="00EB1209"/>
    <w:rsid w:val="00EB1928"/>
    <w:rsid w:val="00EB1C5F"/>
    <w:rsid w:val="00EB2D6D"/>
    <w:rsid w:val="00EB33D9"/>
    <w:rsid w:val="00EB647F"/>
    <w:rsid w:val="00EB6A7B"/>
    <w:rsid w:val="00EC12C4"/>
    <w:rsid w:val="00EC192A"/>
    <w:rsid w:val="00EC1C84"/>
    <w:rsid w:val="00EC384A"/>
    <w:rsid w:val="00EC3B23"/>
    <w:rsid w:val="00EC4F5E"/>
    <w:rsid w:val="00EC6CC8"/>
    <w:rsid w:val="00ED17C3"/>
    <w:rsid w:val="00ED19FB"/>
    <w:rsid w:val="00ED3BD7"/>
    <w:rsid w:val="00ED42B9"/>
    <w:rsid w:val="00ED5127"/>
    <w:rsid w:val="00ED535B"/>
    <w:rsid w:val="00ED5F86"/>
    <w:rsid w:val="00ED76CB"/>
    <w:rsid w:val="00EE0B1A"/>
    <w:rsid w:val="00EE29BD"/>
    <w:rsid w:val="00EE2FF0"/>
    <w:rsid w:val="00EE3DAD"/>
    <w:rsid w:val="00EE486D"/>
    <w:rsid w:val="00EE5534"/>
    <w:rsid w:val="00EE66FF"/>
    <w:rsid w:val="00EE68B7"/>
    <w:rsid w:val="00EF0A24"/>
    <w:rsid w:val="00EF0BB4"/>
    <w:rsid w:val="00EF1F12"/>
    <w:rsid w:val="00EF287B"/>
    <w:rsid w:val="00EF2C72"/>
    <w:rsid w:val="00EF2E91"/>
    <w:rsid w:val="00EF3D73"/>
    <w:rsid w:val="00EF475C"/>
    <w:rsid w:val="00EF5549"/>
    <w:rsid w:val="00EF6821"/>
    <w:rsid w:val="00EF7108"/>
    <w:rsid w:val="00EF7618"/>
    <w:rsid w:val="00F02F89"/>
    <w:rsid w:val="00F04F99"/>
    <w:rsid w:val="00F05105"/>
    <w:rsid w:val="00F057DD"/>
    <w:rsid w:val="00F12F47"/>
    <w:rsid w:val="00F1338B"/>
    <w:rsid w:val="00F16AC6"/>
    <w:rsid w:val="00F20A8E"/>
    <w:rsid w:val="00F2265C"/>
    <w:rsid w:val="00F234F1"/>
    <w:rsid w:val="00F2369E"/>
    <w:rsid w:val="00F2451F"/>
    <w:rsid w:val="00F25434"/>
    <w:rsid w:val="00F25662"/>
    <w:rsid w:val="00F275F9"/>
    <w:rsid w:val="00F278FF"/>
    <w:rsid w:val="00F30243"/>
    <w:rsid w:val="00F302CE"/>
    <w:rsid w:val="00F33E7D"/>
    <w:rsid w:val="00F35178"/>
    <w:rsid w:val="00F353D5"/>
    <w:rsid w:val="00F378CF"/>
    <w:rsid w:val="00F40AF7"/>
    <w:rsid w:val="00F42174"/>
    <w:rsid w:val="00F4221F"/>
    <w:rsid w:val="00F43DD7"/>
    <w:rsid w:val="00F442C0"/>
    <w:rsid w:val="00F463FC"/>
    <w:rsid w:val="00F47948"/>
    <w:rsid w:val="00F50680"/>
    <w:rsid w:val="00F51B07"/>
    <w:rsid w:val="00F53B17"/>
    <w:rsid w:val="00F543FB"/>
    <w:rsid w:val="00F548E9"/>
    <w:rsid w:val="00F54910"/>
    <w:rsid w:val="00F5643E"/>
    <w:rsid w:val="00F60DF7"/>
    <w:rsid w:val="00F611A7"/>
    <w:rsid w:val="00F611C9"/>
    <w:rsid w:val="00F61AE9"/>
    <w:rsid w:val="00F62942"/>
    <w:rsid w:val="00F64FF4"/>
    <w:rsid w:val="00F65AE3"/>
    <w:rsid w:val="00F65BFA"/>
    <w:rsid w:val="00F667CA"/>
    <w:rsid w:val="00F66C5E"/>
    <w:rsid w:val="00F7056F"/>
    <w:rsid w:val="00F70BA6"/>
    <w:rsid w:val="00F7112D"/>
    <w:rsid w:val="00F71175"/>
    <w:rsid w:val="00F71404"/>
    <w:rsid w:val="00F734C9"/>
    <w:rsid w:val="00F73D72"/>
    <w:rsid w:val="00F80300"/>
    <w:rsid w:val="00F8145E"/>
    <w:rsid w:val="00F81508"/>
    <w:rsid w:val="00F81763"/>
    <w:rsid w:val="00F819E1"/>
    <w:rsid w:val="00F829F9"/>
    <w:rsid w:val="00F82B61"/>
    <w:rsid w:val="00F837D1"/>
    <w:rsid w:val="00F860EF"/>
    <w:rsid w:val="00F872C3"/>
    <w:rsid w:val="00F876F9"/>
    <w:rsid w:val="00F905E7"/>
    <w:rsid w:val="00F906EF"/>
    <w:rsid w:val="00F908F9"/>
    <w:rsid w:val="00F92523"/>
    <w:rsid w:val="00F94DDB"/>
    <w:rsid w:val="00F94F21"/>
    <w:rsid w:val="00F95179"/>
    <w:rsid w:val="00F956AE"/>
    <w:rsid w:val="00F95928"/>
    <w:rsid w:val="00F96D23"/>
    <w:rsid w:val="00F97793"/>
    <w:rsid w:val="00FA077B"/>
    <w:rsid w:val="00FA19AF"/>
    <w:rsid w:val="00FA2468"/>
    <w:rsid w:val="00FA2FA6"/>
    <w:rsid w:val="00FA3F5F"/>
    <w:rsid w:val="00FA4D5E"/>
    <w:rsid w:val="00FA51AE"/>
    <w:rsid w:val="00FA7461"/>
    <w:rsid w:val="00FA7952"/>
    <w:rsid w:val="00FB0212"/>
    <w:rsid w:val="00FB1405"/>
    <w:rsid w:val="00FB14F7"/>
    <w:rsid w:val="00FB22FE"/>
    <w:rsid w:val="00FB2902"/>
    <w:rsid w:val="00FB2F49"/>
    <w:rsid w:val="00FB49D0"/>
    <w:rsid w:val="00FB6D8F"/>
    <w:rsid w:val="00FB769F"/>
    <w:rsid w:val="00FB76D7"/>
    <w:rsid w:val="00FC17C1"/>
    <w:rsid w:val="00FC1AF1"/>
    <w:rsid w:val="00FC211C"/>
    <w:rsid w:val="00FC2C35"/>
    <w:rsid w:val="00FC576A"/>
    <w:rsid w:val="00FC6441"/>
    <w:rsid w:val="00FD0BAE"/>
    <w:rsid w:val="00FD180A"/>
    <w:rsid w:val="00FD23D6"/>
    <w:rsid w:val="00FD592D"/>
    <w:rsid w:val="00FD5B5D"/>
    <w:rsid w:val="00FD71E2"/>
    <w:rsid w:val="00FD79D4"/>
    <w:rsid w:val="00FD7A6D"/>
    <w:rsid w:val="00FE134E"/>
    <w:rsid w:val="00FE1409"/>
    <w:rsid w:val="00FE16BE"/>
    <w:rsid w:val="00FE1979"/>
    <w:rsid w:val="00FE2C91"/>
    <w:rsid w:val="00FE3701"/>
    <w:rsid w:val="00FE3B51"/>
    <w:rsid w:val="00FE3D4B"/>
    <w:rsid w:val="00FE3E69"/>
    <w:rsid w:val="00FE4178"/>
    <w:rsid w:val="00FE5D08"/>
    <w:rsid w:val="00FE6D1F"/>
    <w:rsid w:val="00FE6D23"/>
    <w:rsid w:val="00FE7E1E"/>
    <w:rsid w:val="00FF0045"/>
    <w:rsid w:val="00FF0786"/>
    <w:rsid w:val="00FF2A7B"/>
    <w:rsid w:val="00FF2BEA"/>
    <w:rsid w:val="00FF2C4F"/>
    <w:rsid w:val="00FF3809"/>
    <w:rsid w:val="00FF3CF7"/>
    <w:rsid w:val="00FF3D1D"/>
    <w:rsid w:val="00FF3F4E"/>
    <w:rsid w:val="00FF4199"/>
    <w:rsid w:val="00FF41B1"/>
    <w:rsid w:val="00FF461F"/>
    <w:rsid w:val="00FF475A"/>
    <w:rsid w:val="00FF4C3A"/>
    <w:rsid w:val="00FF4FF2"/>
    <w:rsid w:val="00FF5B5E"/>
    <w:rsid w:val="00FF5E34"/>
    <w:rsid w:val="00FF6294"/>
    <w:rsid w:val="00FF6E5B"/>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14:docId w14:val="36518419"/>
  <w15:chartTrackingRefBased/>
  <w15:docId w15:val="{5BE81FD0-D097-4C23-A50F-6B73BB3F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List 3" w:uiPriority="1"/>
    <w:lsdException w:name="Default Paragraph Font" w:uiPriority="1"/>
    <w:lsdException w:name="Body Text" w:qFormat="1"/>
    <w:lsdException w:name="Subtitle" w:uiPriority="11"/>
    <w:lsdException w:name="Hyperlink" w:uiPriority="99"/>
    <w:lsdException w:name="Strong" w:uiPriority="22"/>
    <w:lsdException w:name="Emphasis" w:uiPriority="20"/>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2D8E"/>
    <w:pPr>
      <w:spacing w:after="160" w:line="259" w:lineRule="auto"/>
    </w:pPr>
    <w:rPr>
      <w:rFonts w:asciiTheme="minorHAnsi" w:eastAsiaTheme="minorHAnsi" w:hAnsiTheme="minorHAnsi" w:cstheme="minorBidi"/>
      <w:sz w:val="24"/>
      <w:szCs w:val="22"/>
      <w:lang w:eastAsia="en-US"/>
    </w:rPr>
  </w:style>
  <w:style w:type="paragraph" w:styleId="Heading1">
    <w:name w:val="heading 1"/>
    <w:basedOn w:val="Normal"/>
    <w:next w:val="Normal"/>
    <w:uiPriority w:val="9"/>
    <w:rsid w:val="00622C79"/>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rsid w:val="00622C79"/>
    <w:pPr>
      <w:keepNext/>
      <w:spacing w:after="240" w:line="360" w:lineRule="auto"/>
      <w:outlineLvl w:val="2"/>
    </w:pPr>
    <w:rPr>
      <w:b/>
      <w:sz w:val="28"/>
      <w:szCs w:val="20"/>
    </w:rPr>
  </w:style>
  <w:style w:type="paragraph" w:styleId="Heading4">
    <w:name w:val="heading 4"/>
    <w:basedOn w:val="Normal"/>
    <w:next w:val="Normal"/>
    <w:uiPriority w:val="9"/>
    <w:semiHidden/>
    <w:unhideWhenUsed/>
    <w:rsid w:val="00622C7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761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1D2D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2D8E"/>
  </w:style>
  <w:style w:type="paragraph" w:styleId="Header">
    <w:name w:val="header"/>
    <w:basedOn w:val="Normal"/>
    <w:rsid w:val="00622C79"/>
    <w:pPr>
      <w:tabs>
        <w:tab w:val="center" w:pos="4153"/>
        <w:tab w:val="right" w:pos="8306"/>
      </w:tabs>
    </w:pPr>
  </w:style>
  <w:style w:type="paragraph" w:styleId="Footer">
    <w:name w:val="footer"/>
    <w:basedOn w:val="Normal"/>
    <w:link w:val="FooterChar"/>
    <w:uiPriority w:val="99"/>
    <w:rsid w:val="00622C79"/>
    <w:pPr>
      <w:tabs>
        <w:tab w:val="center" w:pos="4153"/>
        <w:tab w:val="right" w:pos="8306"/>
      </w:tabs>
    </w:pPr>
  </w:style>
  <w:style w:type="table" w:styleId="TableGrid">
    <w:name w:val="Table Grid"/>
    <w:basedOn w:val="TableNormal"/>
    <w:uiPriority w:val="59"/>
    <w:rsid w:val="0062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22C79"/>
    <w:rPr>
      <w:sz w:val="20"/>
      <w:szCs w:val="20"/>
    </w:rPr>
  </w:style>
  <w:style w:type="character" w:styleId="FootnoteReference">
    <w:name w:val="footnote reference"/>
    <w:semiHidden/>
    <w:rsid w:val="00622C79"/>
    <w:rPr>
      <w:vertAlign w:val="superscript"/>
    </w:rPr>
  </w:style>
  <w:style w:type="character" w:styleId="PageNumber">
    <w:name w:val="page number"/>
    <w:basedOn w:val="DefaultParagraphFont"/>
    <w:rsid w:val="00622C79"/>
  </w:style>
  <w:style w:type="character" w:styleId="FollowedHyperlink">
    <w:name w:val="FollowedHyperlink"/>
    <w:rsid w:val="00622C79"/>
    <w:rPr>
      <w:color w:val="800080"/>
      <w:u w:val="single"/>
    </w:rPr>
  </w:style>
  <w:style w:type="character" w:styleId="Hyperlink">
    <w:name w:val="Hyperlink"/>
    <w:uiPriority w:val="99"/>
    <w:rsid w:val="00622C79"/>
    <w:rPr>
      <w:color w:val="0000FF"/>
      <w:u w:val="single"/>
    </w:rPr>
  </w:style>
  <w:style w:type="paragraph" w:styleId="BalloonText">
    <w:name w:val="Balloon Text"/>
    <w:basedOn w:val="Normal"/>
    <w:semiHidden/>
    <w:rsid w:val="00622C79"/>
    <w:rPr>
      <w:rFonts w:ascii="Tahoma" w:hAnsi="Tahoma" w:cs="Tahoma"/>
      <w:sz w:val="16"/>
      <w:szCs w:val="16"/>
    </w:rPr>
  </w:style>
  <w:style w:type="paragraph" w:styleId="Title">
    <w:name w:val="Title"/>
    <w:aliases w:val="Centred title"/>
    <w:basedOn w:val="Normal"/>
    <w:link w:val="TitleChar"/>
    <w:rsid w:val="00622C79"/>
    <w:pPr>
      <w:jc w:val="center"/>
    </w:pPr>
    <w:rPr>
      <w:b/>
      <w:color w:val="000000"/>
      <w:sz w:val="28"/>
      <w:szCs w:val="20"/>
    </w:rPr>
  </w:style>
  <w:style w:type="paragraph" w:styleId="BodyText">
    <w:name w:val="Body Text"/>
    <w:basedOn w:val="Normal"/>
    <w:rsid w:val="00622C79"/>
    <w:rPr>
      <w:szCs w:val="20"/>
    </w:rPr>
  </w:style>
  <w:style w:type="paragraph" w:styleId="BodyTextIndent">
    <w:name w:val="Body Text Indent"/>
    <w:basedOn w:val="Normal"/>
    <w:rsid w:val="00622C79"/>
    <w:pPr>
      <w:spacing w:after="120"/>
      <w:ind w:left="283"/>
    </w:pPr>
  </w:style>
  <w:style w:type="paragraph" w:styleId="BodyText2">
    <w:name w:val="Body Text 2"/>
    <w:basedOn w:val="Normal"/>
    <w:rsid w:val="00622C79"/>
    <w:pPr>
      <w:spacing w:after="120" w:line="480" w:lineRule="auto"/>
    </w:pPr>
  </w:style>
  <w:style w:type="paragraph" w:styleId="BodyText3">
    <w:name w:val="Body Text 3"/>
    <w:basedOn w:val="Normal"/>
    <w:rsid w:val="00622C79"/>
    <w:pPr>
      <w:spacing w:after="120"/>
    </w:pPr>
    <w:rPr>
      <w:sz w:val="16"/>
      <w:szCs w:val="16"/>
    </w:rPr>
  </w:style>
  <w:style w:type="character" w:styleId="CommentReference">
    <w:name w:val="annotation reference"/>
    <w:semiHidden/>
    <w:rsid w:val="00622C79"/>
    <w:rPr>
      <w:sz w:val="16"/>
      <w:szCs w:val="16"/>
    </w:rPr>
  </w:style>
  <w:style w:type="paragraph" w:styleId="CommentText">
    <w:name w:val="annotation text"/>
    <w:basedOn w:val="Normal"/>
    <w:link w:val="CommentTextChar"/>
    <w:semiHidden/>
    <w:rsid w:val="00622C79"/>
    <w:rPr>
      <w:sz w:val="20"/>
      <w:szCs w:val="20"/>
    </w:rPr>
  </w:style>
  <w:style w:type="paragraph" w:styleId="CommentSubject">
    <w:name w:val="annotation subject"/>
    <w:basedOn w:val="CommentText"/>
    <w:next w:val="CommentText"/>
    <w:semiHidden/>
    <w:rsid w:val="00622C79"/>
    <w:rPr>
      <w:b/>
      <w:bCs/>
    </w:rPr>
  </w:style>
  <w:style w:type="paragraph" w:customStyle="1" w:styleId="Default">
    <w:name w:val="Default"/>
    <w:rsid w:val="00622C79"/>
    <w:pPr>
      <w:autoSpaceDE w:val="0"/>
      <w:autoSpaceDN w:val="0"/>
      <w:adjustRightInd w:val="0"/>
      <w:spacing w:after="200" w:line="276" w:lineRule="auto"/>
    </w:pPr>
    <w:rPr>
      <w:rFonts w:ascii="Arial" w:hAnsi="Arial" w:cs="Arial"/>
      <w:color w:val="000000"/>
      <w:sz w:val="24"/>
      <w:szCs w:val="24"/>
    </w:rPr>
  </w:style>
  <w:style w:type="paragraph" w:styleId="ListParagraph">
    <w:name w:val="List Paragraph"/>
    <w:basedOn w:val="Normal"/>
    <w:uiPriority w:val="34"/>
    <w:rsid w:val="00622C79"/>
    <w:pPr>
      <w:ind w:left="720"/>
      <w:contextualSpacing/>
    </w:pPr>
  </w:style>
  <w:style w:type="character" w:customStyle="1" w:styleId="FooterChar">
    <w:name w:val="Footer Char"/>
    <w:link w:val="Footer"/>
    <w:uiPriority w:val="99"/>
    <w:rsid w:val="00622C79"/>
    <w:rPr>
      <w:rFonts w:ascii="Arial" w:hAnsi="Arial"/>
      <w:sz w:val="24"/>
      <w:szCs w:val="24"/>
    </w:rPr>
  </w:style>
  <w:style w:type="character" w:styleId="PlaceholderText">
    <w:name w:val="Placeholder Text"/>
    <w:uiPriority w:val="99"/>
    <w:semiHidden/>
    <w:rsid w:val="00622C79"/>
    <w:rPr>
      <w:color w:val="808080"/>
    </w:rPr>
  </w:style>
  <w:style w:type="paragraph" w:styleId="TOCHeading">
    <w:name w:val="TOC Heading"/>
    <w:basedOn w:val="Heading1"/>
    <w:next w:val="Normal"/>
    <w:uiPriority w:val="39"/>
    <w:semiHidden/>
    <w:unhideWhenUsed/>
    <w:qFormat/>
    <w:rsid w:val="00622C79"/>
    <w:pPr>
      <w:outlineLvl w:val="9"/>
    </w:pPr>
  </w:style>
  <w:style w:type="paragraph" w:styleId="TOC1">
    <w:name w:val="toc 1"/>
    <w:basedOn w:val="Normal"/>
    <w:next w:val="Normal"/>
    <w:autoRedefine/>
    <w:uiPriority w:val="39"/>
    <w:rsid w:val="00622C79"/>
    <w:pPr>
      <w:tabs>
        <w:tab w:val="left" w:pos="482"/>
        <w:tab w:val="right" w:leader="dot" w:pos="9498"/>
      </w:tabs>
      <w:ind w:left="426" w:hanging="426"/>
    </w:pPr>
  </w:style>
  <w:style w:type="paragraph" w:styleId="TOC3">
    <w:name w:val="toc 3"/>
    <w:basedOn w:val="Normal"/>
    <w:next w:val="Normal"/>
    <w:autoRedefine/>
    <w:uiPriority w:val="39"/>
    <w:rsid w:val="00622C79"/>
    <w:pPr>
      <w:tabs>
        <w:tab w:val="left" w:pos="1100"/>
        <w:tab w:val="right" w:leader="dot" w:pos="8755"/>
      </w:tabs>
      <w:spacing w:after="120"/>
    </w:pPr>
  </w:style>
  <w:style w:type="paragraph" w:customStyle="1" w:styleId="TableofContents">
    <w:name w:val="Table of Contents"/>
    <w:basedOn w:val="TOC3"/>
    <w:qFormat/>
    <w:rsid w:val="00622C79"/>
    <w:rPr>
      <w:noProof/>
    </w:rPr>
  </w:style>
  <w:style w:type="paragraph" w:customStyle="1" w:styleId="SectionTitle">
    <w:name w:val="Section Title"/>
    <w:basedOn w:val="Normal"/>
    <w:rsid w:val="00622C79"/>
    <w:pPr>
      <w:spacing w:before="200" w:after="200"/>
    </w:pPr>
    <w:rPr>
      <w:rFonts w:cs="Arial"/>
      <w:b/>
      <w:sz w:val="28"/>
    </w:rPr>
  </w:style>
  <w:style w:type="numbering" w:customStyle="1" w:styleId="PolicyBullet">
    <w:name w:val="Policy Bullet"/>
    <w:basedOn w:val="NoList"/>
    <w:rsid w:val="00622C79"/>
    <w:pPr>
      <w:numPr>
        <w:numId w:val="1"/>
      </w:numPr>
    </w:pPr>
  </w:style>
  <w:style w:type="paragraph" w:customStyle="1" w:styleId="Policyheader">
    <w:name w:val="Policy header"/>
    <w:basedOn w:val="Header"/>
    <w:link w:val="PolicyheaderChar"/>
    <w:qFormat/>
    <w:rsid w:val="00622C79"/>
    <w:pPr>
      <w:keepNext/>
      <w:numPr>
        <w:numId w:val="2"/>
      </w:numPr>
      <w:tabs>
        <w:tab w:val="clear" w:pos="4153"/>
        <w:tab w:val="clear" w:pos="8306"/>
      </w:tabs>
      <w:spacing w:before="240" w:after="240" w:line="300" w:lineRule="auto"/>
      <w:ind w:left="851" w:hanging="851"/>
      <w:outlineLvl w:val="0"/>
    </w:pPr>
    <w:rPr>
      <w:b/>
      <w:bCs/>
      <w:noProof/>
      <w:sz w:val="28"/>
    </w:rPr>
  </w:style>
  <w:style w:type="character" w:customStyle="1" w:styleId="Heading3Char">
    <w:name w:val="Heading 3 Char"/>
    <w:link w:val="Heading3"/>
    <w:rsid w:val="00622C79"/>
    <w:rPr>
      <w:rFonts w:ascii="Arial" w:hAnsi="Arial"/>
      <w:b/>
      <w:sz w:val="28"/>
    </w:rPr>
  </w:style>
  <w:style w:type="character" w:customStyle="1" w:styleId="TitleChar">
    <w:name w:val="Title Char"/>
    <w:aliases w:val="Centred title Char"/>
    <w:link w:val="Title"/>
    <w:rsid w:val="00622C79"/>
    <w:rPr>
      <w:rFonts w:ascii="Arial" w:hAnsi="Arial"/>
      <w:b/>
      <w:color w:val="000000"/>
      <w:sz w:val="28"/>
    </w:rPr>
  </w:style>
  <w:style w:type="paragraph" w:customStyle="1" w:styleId="Policybulletlevel2">
    <w:name w:val="Policy bullet level 2"/>
    <w:basedOn w:val="Normal"/>
    <w:link w:val="Policybulletlevel2Char"/>
    <w:qFormat/>
    <w:rsid w:val="00622C79"/>
    <w:pPr>
      <w:numPr>
        <w:ilvl w:val="1"/>
        <w:numId w:val="2"/>
      </w:numPr>
      <w:suppressAutoHyphens/>
      <w:spacing w:before="120" w:after="120" w:line="300" w:lineRule="auto"/>
      <w:ind w:left="851" w:hanging="851"/>
    </w:pPr>
  </w:style>
  <w:style w:type="paragraph" w:styleId="Revision">
    <w:name w:val="Revision"/>
    <w:hidden/>
    <w:uiPriority w:val="99"/>
    <w:semiHidden/>
    <w:rsid w:val="00622C79"/>
    <w:rPr>
      <w:rFonts w:ascii="Arial" w:hAnsi="Arial"/>
      <w:sz w:val="22"/>
      <w:szCs w:val="24"/>
    </w:rPr>
  </w:style>
  <w:style w:type="paragraph" w:customStyle="1" w:styleId="PolicybulletLevel3">
    <w:name w:val="Policy bullet Level 3"/>
    <w:basedOn w:val="Policybulletlevel2"/>
    <w:qFormat/>
    <w:rsid w:val="00622C79"/>
    <w:pPr>
      <w:numPr>
        <w:ilvl w:val="2"/>
      </w:numPr>
      <w:ind w:left="851" w:hanging="851"/>
    </w:pPr>
  </w:style>
  <w:style w:type="numbering" w:customStyle="1" w:styleId="Bulletstyleforpolicies">
    <w:name w:val="Bullet style for policies"/>
    <w:rsid w:val="00622C79"/>
    <w:pPr>
      <w:numPr>
        <w:numId w:val="3"/>
      </w:numPr>
    </w:pPr>
  </w:style>
  <w:style w:type="paragraph" w:customStyle="1" w:styleId="Policybulletlevel4">
    <w:name w:val="Policy bullet level 4"/>
    <w:basedOn w:val="PolicybulletLevel3"/>
    <w:qFormat/>
    <w:rsid w:val="00622C79"/>
    <w:pPr>
      <w:numPr>
        <w:ilvl w:val="3"/>
      </w:numPr>
      <w:ind w:left="1985" w:hanging="1134"/>
    </w:pPr>
  </w:style>
  <w:style w:type="paragraph" w:customStyle="1" w:styleId="Policybulletstyle">
    <w:name w:val="Policy bullet style"/>
    <w:basedOn w:val="Policybulletlevel2"/>
    <w:link w:val="PolicybulletstyleChar"/>
    <w:rsid w:val="00622C79"/>
  </w:style>
  <w:style w:type="paragraph" w:customStyle="1" w:styleId="Policybullet2">
    <w:name w:val="Policy bullet 2"/>
    <w:basedOn w:val="Heading3"/>
    <w:rsid w:val="00622C79"/>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622C79"/>
    <w:rPr>
      <w:rFonts w:ascii="Arial" w:hAnsi="Arial"/>
      <w:b/>
      <w:bCs/>
      <w:noProof/>
      <w:sz w:val="28"/>
      <w:szCs w:val="24"/>
    </w:rPr>
  </w:style>
  <w:style w:type="character" w:customStyle="1" w:styleId="Policybulletlevel2Char">
    <w:name w:val="Policy bullet level 2 Char"/>
    <w:link w:val="Policybulletlevel2"/>
    <w:rsid w:val="00622C79"/>
    <w:rPr>
      <w:rFonts w:ascii="Arial" w:hAnsi="Arial"/>
      <w:sz w:val="24"/>
      <w:szCs w:val="24"/>
    </w:rPr>
  </w:style>
  <w:style w:type="character" w:customStyle="1" w:styleId="PolicybulletstyleChar">
    <w:name w:val="Policy bullet style Char"/>
    <w:basedOn w:val="Policybulletlevel2Char"/>
    <w:link w:val="Policybulletstyle"/>
    <w:rsid w:val="00622C79"/>
    <w:rPr>
      <w:rFonts w:ascii="Arial" w:hAnsi="Arial"/>
      <w:sz w:val="24"/>
      <w:szCs w:val="24"/>
    </w:rPr>
  </w:style>
  <w:style w:type="paragraph" w:customStyle="1" w:styleId="PolicyBullet3">
    <w:name w:val="Policy Bullet 3"/>
    <w:basedOn w:val="Policybullet2"/>
    <w:rsid w:val="00622C79"/>
  </w:style>
  <w:style w:type="paragraph" w:customStyle="1" w:styleId="PolicyBullet4">
    <w:name w:val="Policy Bullet 4"/>
    <w:basedOn w:val="PolicyBullet3"/>
    <w:rsid w:val="00622C79"/>
  </w:style>
  <w:style w:type="paragraph" w:styleId="NoSpacing">
    <w:name w:val="No Spacing"/>
    <w:uiPriority w:val="1"/>
    <w:rsid w:val="00622C79"/>
    <w:rPr>
      <w:rFonts w:ascii="Arial" w:hAnsi="Arial"/>
      <w:sz w:val="24"/>
      <w:szCs w:val="24"/>
    </w:rPr>
  </w:style>
  <w:style w:type="paragraph" w:customStyle="1" w:styleId="PolicyHeader2">
    <w:name w:val="Policy Header 2"/>
    <w:basedOn w:val="Policybulletlevel2"/>
    <w:next w:val="Policybullet2"/>
    <w:qFormat/>
    <w:rsid w:val="00622C79"/>
    <w:pPr>
      <w:spacing w:before="240" w:after="240"/>
      <w:outlineLvl w:val="0"/>
    </w:pPr>
    <w:rPr>
      <w:b/>
    </w:rPr>
  </w:style>
  <w:style w:type="character" w:styleId="Strong">
    <w:name w:val="Strong"/>
    <w:uiPriority w:val="22"/>
    <w:rsid w:val="00622C79"/>
    <w:rPr>
      <w:b/>
      <w:bCs/>
    </w:rPr>
  </w:style>
  <w:style w:type="paragraph" w:styleId="TOC2">
    <w:name w:val="toc 2"/>
    <w:basedOn w:val="Normal"/>
    <w:next w:val="Normal"/>
    <w:autoRedefine/>
    <w:uiPriority w:val="39"/>
    <w:rsid w:val="00622C79"/>
    <w:pPr>
      <w:tabs>
        <w:tab w:val="left" w:pos="1134"/>
        <w:tab w:val="right" w:leader="dot" w:pos="9180"/>
      </w:tabs>
    </w:pPr>
  </w:style>
  <w:style w:type="paragraph" w:customStyle="1" w:styleId="PolicyHeader3">
    <w:name w:val="Policy Header 3"/>
    <w:basedOn w:val="PolicybulletLevel3"/>
    <w:next w:val="PolicybulletLevel3"/>
    <w:rsid w:val="00622C79"/>
    <w:pPr>
      <w:outlineLvl w:val="2"/>
    </w:pPr>
  </w:style>
  <w:style w:type="table" w:customStyle="1" w:styleId="TableGrid1">
    <w:name w:val="Table Grid1"/>
    <w:basedOn w:val="TableNormal"/>
    <w:next w:val="TableGrid"/>
    <w:uiPriority w:val="59"/>
    <w:rsid w:val="00CA5C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C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C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BodyText"/>
    <w:uiPriority w:val="1"/>
    <w:unhideWhenUsed/>
    <w:rsid w:val="00C47C12"/>
    <w:pPr>
      <w:numPr>
        <w:ilvl w:val="1"/>
      </w:numPr>
      <w:spacing w:after="280" w:line="360" w:lineRule="atLeast"/>
      <w:ind w:left="851" w:hanging="360"/>
    </w:pPr>
    <w:rPr>
      <w:rFonts w:eastAsia="Arial"/>
      <w:color w:val="231F20"/>
      <w:szCs w:val="24"/>
    </w:rPr>
  </w:style>
  <w:style w:type="numbering" w:customStyle="1" w:styleId="NHSOutlineLevels">
    <w:name w:val="NHS Outline Levels"/>
    <w:basedOn w:val="NoList"/>
    <w:uiPriority w:val="99"/>
    <w:rsid w:val="00C47C12"/>
    <w:pPr>
      <w:numPr>
        <w:numId w:val="19"/>
      </w:numPr>
    </w:pPr>
  </w:style>
  <w:style w:type="character" w:customStyle="1" w:styleId="CommentTextChar">
    <w:name w:val="Comment Text Char"/>
    <w:link w:val="CommentText"/>
    <w:semiHidden/>
    <w:rsid w:val="001E7A62"/>
    <w:rPr>
      <w:rFonts w:ascii="Arial" w:hAnsi="Arial"/>
    </w:rPr>
  </w:style>
  <w:style w:type="character" w:styleId="UnresolvedMention">
    <w:name w:val="Unresolved Mention"/>
    <w:uiPriority w:val="99"/>
    <w:semiHidden/>
    <w:unhideWhenUsed/>
    <w:rsid w:val="00E21FC2"/>
    <w:rPr>
      <w:color w:val="605E5C"/>
      <w:shd w:val="clear" w:color="auto" w:fill="E1DFDD"/>
    </w:rPr>
  </w:style>
  <w:style w:type="character" w:customStyle="1" w:styleId="cit">
    <w:name w:val="cit"/>
    <w:rsid w:val="00BC0A7E"/>
  </w:style>
  <w:style w:type="character" w:customStyle="1" w:styleId="citation-doi">
    <w:name w:val="citation-doi"/>
    <w:rsid w:val="00BC0A7E"/>
  </w:style>
  <w:style w:type="table" w:customStyle="1" w:styleId="Style1">
    <w:name w:val="Style1"/>
    <w:basedOn w:val="TableNormal"/>
    <w:uiPriority w:val="99"/>
    <w:rsid w:val="001D2D8E"/>
    <w:rPr>
      <w:rFonts w:ascii="Arial" w:eastAsia="Times New Roman" w:hAnsi="Arial"/>
    </w:rPr>
    <w:tblPr/>
  </w:style>
  <w:style w:type="character" w:customStyle="1" w:styleId="Heading5Char">
    <w:name w:val="Heading 5 Char"/>
    <w:basedOn w:val="DefaultParagraphFont"/>
    <w:link w:val="Heading5"/>
    <w:uiPriority w:val="9"/>
    <w:semiHidden/>
    <w:rsid w:val="008761B6"/>
    <w:rPr>
      <w:rFonts w:asciiTheme="majorHAnsi" w:eastAsiaTheme="majorEastAsia" w:hAnsiTheme="majorHAnsi" w:cstheme="maj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4808">
      <w:bodyDiv w:val="1"/>
      <w:marLeft w:val="0"/>
      <w:marRight w:val="0"/>
      <w:marTop w:val="0"/>
      <w:marBottom w:val="0"/>
      <w:divBdr>
        <w:top w:val="none" w:sz="0" w:space="0" w:color="auto"/>
        <w:left w:val="none" w:sz="0" w:space="0" w:color="auto"/>
        <w:bottom w:val="none" w:sz="0" w:space="0" w:color="auto"/>
        <w:right w:val="none" w:sz="0" w:space="0" w:color="auto"/>
      </w:divBdr>
      <w:divsChild>
        <w:div w:id="1401634484">
          <w:marLeft w:val="0"/>
          <w:marRight w:val="0"/>
          <w:marTop w:val="0"/>
          <w:marBottom w:val="0"/>
          <w:divBdr>
            <w:top w:val="none" w:sz="0" w:space="0" w:color="auto"/>
            <w:left w:val="none" w:sz="0" w:space="0" w:color="auto"/>
            <w:bottom w:val="none" w:sz="0" w:space="0" w:color="auto"/>
            <w:right w:val="none" w:sz="0" w:space="0" w:color="auto"/>
          </w:divBdr>
          <w:divsChild>
            <w:div w:id="872426948">
              <w:marLeft w:val="0"/>
              <w:marRight w:val="0"/>
              <w:marTop w:val="0"/>
              <w:marBottom w:val="0"/>
              <w:divBdr>
                <w:top w:val="none" w:sz="0" w:space="0" w:color="auto"/>
                <w:left w:val="none" w:sz="0" w:space="0" w:color="auto"/>
                <w:bottom w:val="none" w:sz="0" w:space="0" w:color="auto"/>
                <w:right w:val="none" w:sz="0" w:space="0" w:color="auto"/>
              </w:divBdr>
              <w:divsChild>
                <w:div w:id="1602492379">
                  <w:marLeft w:val="0"/>
                  <w:marRight w:val="0"/>
                  <w:marTop w:val="0"/>
                  <w:marBottom w:val="0"/>
                  <w:divBdr>
                    <w:top w:val="none" w:sz="0" w:space="0" w:color="auto"/>
                    <w:left w:val="none" w:sz="0" w:space="0" w:color="auto"/>
                    <w:bottom w:val="none" w:sz="0" w:space="0" w:color="auto"/>
                    <w:right w:val="none" w:sz="0" w:space="0" w:color="auto"/>
                  </w:divBdr>
                  <w:divsChild>
                    <w:div w:id="1347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7544">
      <w:bodyDiv w:val="1"/>
      <w:marLeft w:val="0"/>
      <w:marRight w:val="0"/>
      <w:marTop w:val="0"/>
      <w:marBottom w:val="0"/>
      <w:divBdr>
        <w:top w:val="none" w:sz="0" w:space="0" w:color="auto"/>
        <w:left w:val="none" w:sz="0" w:space="0" w:color="auto"/>
        <w:bottom w:val="none" w:sz="0" w:space="0" w:color="auto"/>
        <w:right w:val="none" w:sz="0" w:space="0" w:color="auto"/>
      </w:divBdr>
    </w:div>
    <w:div w:id="889266183">
      <w:bodyDiv w:val="1"/>
      <w:marLeft w:val="0"/>
      <w:marRight w:val="0"/>
      <w:marTop w:val="0"/>
      <w:marBottom w:val="0"/>
      <w:divBdr>
        <w:top w:val="none" w:sz="0" w:space="0" w:color="auto"/>
        <w:left w:val="none" w:sz="0" w:space="0" w:color="auto"/>
        <w:bottom w:val="none" w:sz="0" w:space="0" w:color="auto"/>
        <w:right w:val="none" w:sz="0" w:space="0" w:color="auto"/>
      </w:divBdr>
      <w:divsChild>
        <w:div w:id="1392268645">
          <w:marLeft w:val="0"/>
          <w:marRight w:val="0"/>
          <w:marTop w:val="0"/>
          <w:marBottom w:val="0"/>
          <w:divBdr>
            <w:top w:val="none" w:sz="0" w:space="0" w:color="auto"/>
            <w:left w:val="none" w:sz="0" w:space="0" w:color="auto"/>
            <w:bottom w:val="none" w:sz="0" w:space="0" w:color="auto"/>
            <w:right w:val="none" w:sz="0" w:space="0" w:color="auto"/>
          </w:divBdr>
          <w:divsChild>
            <w:div w:id="338581529">
              <w:marLeft w:val="0"/>
              <w:marRight w:val="0"/>
              <w:marTop w:val="0"/>
              <w:marBottom w:val="0"/>
              <w:divBdr>
                <w:top w:val="none" w:sz="0" w:space="0" w:color="auto"/>
                <w:left w:val="none" w:sz="0" w:space="0" w:color="auto"/>
                <w:bottom w:val="none" w:sz="0" w:space="0" w:color="auto"/>
                <w:right w:val="none" w:sz="0" w:space="0" w:color="auto"/>
              </w:divBdr>
              <w:divsChild>
                <w:div w:id="713118403">
                  <w:marLeft w:val="0"/>
                  <w:marRight w:val="0"/>
                  <w:marTop w:val="0"/>
                  <w:marBottom w:val="0"/>
                  <w:divBdr>
                    <w:top w:val="none" w:sz="0" w:space="0" w:color="auto"/>
                    <w:left w:val="none" w:sz="0" w:space="0" w:color="auto"/>
                    <w:bottom w:val="none" w:sz="0" w:space="0" w:color="auto"/>
                    <w:right w:val="none" w:sz="0" w:space="0" w:color="auto"/>
                  </w:divBdr>
                  <w:divsChild>
                    <w:div w:id="7083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59996">
      <w:bodyDiv w:val="1"/>
      <w:marLeft w:val="0"/>
      <w:marRight w:val="0"/>
      <w:marTop w:val="0"/>
      <w:marBottom w:val="0"/>
      <w:divBdr>
        <w:top w:val="none" w:sz="0" w:space="0" w:color="auto"/>
        <w:left w:val="none" w:sz="0" w:space="0" w:color="auto"/>
        <w:bottom w:val="none" w:sz="0" w:space="0" w:color="auto"/>
        <w:right w:val="none" w:sz="0" w:space="0" w:color="auto"/>
      </w:divBdr>
      <w:divsChild>
        <w:div w:id="94910737">
          <w:marLeft w:val="0"/>
          <w:marRight w:val="0"/>
          <w:marTop w:val="0"/>
          <w:marBottom w:val="0"/>
          <w:divBdr>
            <w:top w:val="none" w:sz="0" w:space="0" w:color="auto"/>
            <w:left w:val="none" w:sz="0" w:space="0" w:color="auto"/>
            <w:bottom w:val="none" w:sz="0" w:space="0" w:color="auto"/>
            <w:right w:val="none" w:sz="0" w:space="0" w:color="auto"/>
          </w:divBdr>
          <w:divsChild>
            <w:div w:id="1917519542">
              <w:marLeft w:val="0"/>
              <w:marRight w:val="0"/>
              <w:marTop w:val="0"/>
              <w:marBottom w:val="0"/>
              <w:divBdr>
                <w:top w:val="none" w:sz="0" w:space="0" w:color="auto"/>
                <w:left w:val="none" w:sz="0" w:space="0" w:color="auto"/>
                <w:bottom w:val="none" w:sz="0" w:space="0" w:color="auto"/>
                <w:right w:val="none" w:sz="0" w:space="0" w:color="auto"/>
              </w:divBdr>
              <w:divsChild>
                <w:div w:id="454835664">
                  <w:marLeft w:val="0"/>
                  <w:marRight w:val="0"/>
                  <w:marTop w:val="0"/>
                  <w:marBottom w:val="0"/>
                  <w:divBdr>
                    <w:top w:val="none" w:sz="0" w:space="0" w:color="auto"/>
                    <w:left w:val="none" w:sz="0" w:space="0" w:color="auto"/>
                    <w:bottom w:val="none" w:sz="0" w:space="0" w:color="auto"/>
                    <w:right w:val="none" w:sz="0" w:space="0" w:color="auto"/>
                  </w:divBdr>
                  <w:divsChild>
                    <w:div w:id="1041053387">
                      <w:marLeft w:val="0"/>
                      <w:marRight w:val="0"/>
                      <w:marTop w:val="0"/>
                      <w:marBottom w:val="0"/>
                      <w:divBdr>
                        <w:top w:val="none" w:sz="0" w:space="0" w:color="auto"/>
                        <w:left w:val="none" w:sz="0" w:space="0" w:color="auto"/>
                        <w:bottom w:val="none" w:sz="0" w:space="0" w:color="auto"/>
                        <w:right w:val="none" w:sz="0" w:space="0" w:color="auto"/>
                      </w:divBdr>
                      <w:divsChild>
                        <w:div w:id="455220898">
                          <w:marLeft w:val="355"/>
                          <w:marRight w:val="69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cdn.ps.emap.com/wp-content/uploads/sites/3/2009/06/Investigation_into_Mid_Staffordshire_NHS_Foundation_Trust.pdf" TargetMode="External"/><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hyperlink" Target="https://www.england.nhs.uk/wp-content/uploads/2017/03/nqb-national-guidance-learning-from-deaths.pdf" TargetMode="External"/><Relationship Id="rId34" Type="http://schemas.openxmlformats.org/officeDocument/2006/relationships/hyperlink" Target="https://staff.ekhuft.nhs.uk/Interact/Pages/Content/Document.aspx?id=2205" TargetMode="External"/><Relationship Id="rId7" Type="http://schemas.openxmlformats.org/officeDocument/2006/relationships/styles" Target="styles.xml"/><Relationship Id="rId12" Type="http://schemas.openxmlformats.org/officeDocument/2006/relationships/hyperlink" Target="mailto:ekhuft.edi@nhs.net" TargetMode="External"/><Relationship Id="rId17" Type="http://schemas.openxmlformats.org/officeDocument/2006/relationships/hyperlink" Target="https://www.cqc.org.uk/sites/default/files/20161213-learning-candour-accountability-full-report.pdf" TargetMode="External"/><Relationship Id="rId25" Type="http://schemas.openxmlformats.org/officeDocument/2006/relationships/image" Target="media/image5.png"/><Relationship Id="rId33"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bmj.com/content/351/bmj.h3239/" TargetMode="External"/><Relationship Id="rId29"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ubmed.ncbi.nlm.nih.gov/22927487/" TargetMode="External"/><Relationship Id="rId31" Type="http://schemas.openxmlformats.org/officeDocument/2006/relationships/image" Target="media/image1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ngland.nhs.uk/wp-content/uploads/2020/08/190708_Patient_Safety_Strategy_for_website_v4.pdf%20"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www.england.nhs.uk/ourwork/patients/accessibleinf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78B937686CA47AFBF2A818596B9AB" ma:contentTypeVersion="0" ma:contentTypeDescription="Create a new document." ma:contentTypeScope="" ma:versionID="b793621c13949ef116e29137770673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F7F2-790A-4D66-9B9B-CAF070272A95}">
  <ds:schemaRefs>
    <ds:schemaRef ds:uri="http://schemas.microsoft.com/sharepoint/v3/contenttype/forms"/>
  </ds:schemaRefs>
</ds:datastoreItem>
</file>

<file path=customXml/itemProps2.xml><?xml version="1.0" encoding="utf-8"?>
<ds:datastoreItem xmlns:ds="http://schemas.openxmlformats.org/officeDocument/2006/customXml" ds:itemID="{37EAA4C8-2412-42B1-8E29-2AFB8DD33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9241F8-EB17-48FE-81DE-BFBB67922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A1A384-E1F8-4308-8FBF-A3A8909E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5052</Words>
  <Characters>28797</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Learning from Deaths policy for East Kent Hospitals</vt:lpstr>
    </vt:vector>
  </TitlesOfParts>
  <Company>East Kent Hospitals</Company>
  <LinksUpToDate>false</LinksUpToDate>
  <CharactersWithSpaces>33782</CharactersWithSpaces>
  <SharedDoc>false</SharedDoc>
  <HLinks>
    <vt:vector size="180" baseType="variant">
      <vt:variant>
        <vt:i4>4784222</vt:i4>
      </vt:variant>
      <vt:variant>
        <vt:i4>159</vt:i4>
      </vt:variant>
      <vt:variant>
        <vt:i4>0</vt:i4>
      </vt:variant>
      <vt:variant>
        <vt:i4>5</vt:i4>
      </vt:variant>
      <vt:variant>
        <vt:lpwstr>https://www.england.nhs.uk/wp-content/uploads/2020/08/190708_Patient_Safety_Strategy_for_website_v4.pdf</vt:lpwstr>
      </vt:variant>
      <vt:variant>
        <vt:lpwstr/>
      </vt:variant>
      <vt:variant>
        <vt:i4>5570639</vt:i4>
      </vt:variant>
      <vt:variant>
        <vt:i4>156</vt:i4>
      </vt:variant>
      <vt:variant>
        <vt:i4>0</vt:i4>
      </vt:variant>
      <vt:variant>
        <vt:i4>5</vt:i4>
      </vt:variant>
      <vt:variant>
        <vt:lpwstr>https://www.england.nhs.uk/wp-content/uploads/2017/03/nqb-national-guidance-learning-from-deaths.pdf</vt:lpwstr>
      </vt:variant>
      <vt:variant>
        <vt:lpwstr/>
      </vt:variant>
      <vt:variant>
        <vt:i4>6750259</vt:i4>
      </vt:variant>
      <vt:variant>
        <vt:i4>153</vt:i4>
      </vt:variant>
      <vt:variant>
        <vt:i4>0</vt:i4>
      </vt:variant>
      <vt:variant>
        <vt:i4>5</vt:i4>
      </vt:variant>
      <vt:variant>
        <vt:lpwstr>https://www.bmj.com/content/351/bmj.h3239/</vt:lpwstr>
      </vt:variant>
      <vt:variant>
        <vt:lpwstr/>
      </vt:variant>
      <vt:variant>
        <vt:i4>589827</vt:i4>
      </vt:variant>
      <vt:variant>
        <vt:i4>150</vt:i4>
      </vt:variant>
      <vt:variant>
        <vt:i4>0</vt:i4>
      </vt:variant>
      <vt:variant>
        <vt:i4>5</vt:i4>
      </vt:variant>
      <vt:variant>
        <vt:lpwstr>https://pubmed.ncbi.nlm.nih.gov/22927487/</vt:lpwstr>
      </vt:variant>
      <vt:variant>
        <vt:lpwstr/>
      </vt:variant>
      <vt:variant>
        <vt:i4>65542</vt:i4>
      </vt:variant>
      <vt:variant>
        <vt:i4>147</vt:i4>
      </vt:variant>
      <vt:variant>
        <vt:i4>0</vt:i4>
      </vt:variant>
      <vt:variant>
        <vt:i4>5</vt:i4>
      </vt:variant>
      <vt:variant>
        <vt:lpwstr>https://cdn.ps.emap.com/wp-content/uploads/sites/3/2009/06/Investigation_into_Mid_Staffordshire_NHS_Foundation_Trust.pdf</vt:lpwstr>
      </vt:variant>
      <vt:variant>
        <vt:lpwstr/>
      </vt:variant>
      <vt:variant>
        <vt:i4>8257660</vt:i4>
      </vt:variant>
      <vt:variant>
        <vt:i4>144</vt:i4>
      </vt:variant>
      <vt:variant>
        <vt:i4>0</vt:i4>
      </vt:variant>
      <vt:variant>
        <vt:i4>5</vt:i4>
      </vt:variant>
      <vt:variant>
        <vt:lpwstr>https://www.cqc.org.uk/sites/default/files/20161213-learning-candour-accountability-full-report.pdf</vt:lpwstr>
      </vt:variant>
      <vt:variant>
        <vt:lpwstr/>
      </vt:variant>
      <vt:variant>
        <vt:i4>2424888</vt:i4>
      </vt:variant>
      <vt:variant>
        <vt:i4>141</vt:i4>
      </vt:variant>
      <vt:variant>
        <vt:i4>0</vt:i4>
      </vt:variant>
      <vt:variant>
        <vt:i4>5</vt:i4>
      </vt:variant>
      <vt:variant>
        <vt:lpwstr>http://www.kssahsn.net/what-we-do/better-quality-and-safer-care/leadership-culture-capability/communities-of-practice/Pages/Mortality.aspx</vt:lpwstr>
      </vt:variant>
      <vt:variant>
        <vt:lpwstr/>
      </vt:variant>
      <vt:variant>
        <vt:i4>2359308</vt:i4>
      </vt:variant>
      <vt:variant>
        <vt:i4>134</vt:i4>
      </vt:variant>
      <vt:variant>
        <vt:i4>0</vt:i4>
      </vt:variant>
      <vt:variant>
        <vt:i4>5</vt:i4>
      </vt:variant>
      <vt:variant>
        <vt:lpwstr/>
      </vt:variant>
      <vt:variant>
        <vt:lpwstr>_Toc2693763</vt:lpwstr>
      </vt:variant>
      <vt:variant>
        <vt:i4>2359308</vt:i4>
      </vt:variant>
      <vt:variant>
        <vt:i4>128</vt:i4>
      </vt:variant>
      <vt:variant>
        <vt:i4>0</vt:i4>
      </vt:variant>
      <vt:variant>
        <vt:i4>5</vt:i4>
      </vt:variant>
      <vt:variant>
        <vt:lpwstr/>
      </vt:variant>
      <vt:variant>
        <vt:lpwstr>_Toc2693762</vt:lpwstr>
      </vt:variant>
      <vt:variant>
        <vt:i4>2359308</vt:i4>
      </vt:variant>
      <vt:variant>
        <vt:i4>122</vt:i4>
      </vt:variant>
      <vt:variant>
        <vt:i4>0</vt:i4>
      </vt:variant>
      <vt:variant>
        <vt:i4>5</vt:i4>
      </vt:variant>
      <vt:variant>
        <vt:lpwstr/>
      </vt:variant>
      <vt:variant>
        <vt:lpwstr>_Toc2693761</vt:lpwstr>
      </vt:variant>
      <vt:variant>
        <vt:i4>2359308</vt:i4>
      </vt:variant>
      <vt:variant>
        <vt:i4>116</vt:i4>
      </vt:variant>
      <vt:variant>
        <vt:i4>0</vt:i4>
      </vt:variant>
      <vt:variant>
        <vt:i4>5</vt:i4>
      </vt:variant>
      <vt:variant>
        <vt:lpwstr/>
      </vt:variant>
      <vt:variant>
        <vt:lpwstr>_Toc2693760</vt:lpwstr>
      </vt:variant>
      <vt:variant>
        <vt:i4>2555916</vt:i4>
      </vt:variant>
      <vt:variant>
        <vt:i4>110</vt:i4>
      </vt:variant>
      <vt:variant>
        <vt:i4>0</vt:i4>
      </vt:variant>
      <vt:variant>
        <vt:i4>5</vt:i4>
      </vt:variant>
      <vt:variant>
        <vt:lpwstr/>
      </vt:variant>
      <vt:variant>
        <vt:lpwstr>_Toc2693759</vt:lpwstr>
      </vt:variant>
      <vt:variant>
        <vt:i4>2555916</vt:i4>
      </vt:variant>
      <vt:variant>
        <vt:i4>104</vt:i4>
      </vt:variant>
      <vt:variant>
        <vt:i4>0</vt:i4>
      </vt:variant>
      <vt:variant>
        <vt:i4>5</vt:i4>
      </vt:variant>
      <vt:variant>
        <vt:lpwstr/>
      </vt:variant>
      <vt:variant>
        <vt:lpwstr>_Toc2693758</vt:lpwstr>
      </vt:variant>
      <vt:variant>
        <vt:i4>2555916</vt:i4>
      </vt:variant>
      <vt:variant>
        <vt:i4>98</vt:i4>
      </vt:variant>
      <vt:variant>
        <vt:i4>0</vt:i4>
      </vt:variant>
      <vt:variant>
        <vt:i4>5</vt:i4>
      </vt:variant>
      <vt:variant>
        <vt:lpwstr/>
      </vt:variant>
      <vt:variant>
        <vt:lpwstr>_Toc2693757</vt:lpwstr>
      </vt:variant>
      <vt:variant>
        <vt:i4>2555916</vt:i4>
      </vt:variant>
      <vt:variant>
        <vt:i4>92</vt:i4>
      </vt:variant>
      <vt:variant>
        <vt:i4>0</vt:i4>
      </vt:variant>
      <vt:variant>
        <vt:i4>5</vt:i4>
      </vt:variant>
      <vt:variant>
        <vt:lpwstr/>
      </vt:variant>
      <vt:variant>
        <vt:lpwstr>_Toc2693756</vt:lpwstr>
      </vt:variant>
      <vt:variant>
        <vt:i4>2555916</vt:i4>
      </vt:variant>
      <vt:variant>
        <vt:i4>86</vt:i4>
      </vt:variant>
      <vt:variant>
        <vt:i4>0</vt:i4>
      </vt:variant>
      <vt:variant>
        <vt:i4>5</vt:i4>
      </vt:variant>
      <vt:variant>
        <vt:lpwstr/>
      </vt:variant>
      <vt:variant>
        <vt:lpwstr>_Toc2693755</vt:lpwstr>
      </vt:variant>
      <vt:variant>
        <vt:i4>2555916</vt:i4>
      </vt:variant>
      <vt:variant>
        <vt:i4>80</vt:i4>
      </vt:variant>
      <vt:variant>
        <vt:i4>0</vt:i4>
      </vt:variant>
      <vt:variant>
        <vt:i4>5</vt:i4>
      </vt:variant>
      <vt:variant>
        <vt:lpwstr/>
      </vt:variant>
      <vt:variant>
        <vt:lpwstr>_Toc2693754</vt:lpwstr>
      </vt:variant>
      <vt:variant>
        <vt:i4>2555916</vt:i4>
      </vt:variant>
      <vt:variant>
        <vt:i4>74</vt:i4>
      </vt:variant>
      <vt:variant>
        <vt:i4>0</vt:i4>
      </vt:variant>
      <vt:variant>
        <vt:i4>5</vt:i4>
      </vt:variant>
      <vt:variant>
        <vt:lpwstr/>
      </vt:variant>
      <vt:variant>
        <vt:lpwstr>_Toc2693753</vt:lpwstr>
      </vt:variant>
      <vt:variant>
        <vt:i4>2555916</vt:i4>
      </vt:variant>
      <vt:variant>
        <vt:i4>68</vt:i4>
      </vt:variant>
      <vt:variant>
        <vt:i4>0</vt:i4>
      </vt:variant>
      <vt:variant>
        <vt:i4>5</vt:i4>
      </vt:variant>
      <vt:variant>
        <vt:lpwstr/>
      </vt:variant>
      <vt:variant>
        <vt:lpwstr>_Toc2693752</vt:lpwstr>
      </vt:variant>
      <vt:variant>
        <vt:i4>2555916</vt:i4>
      </vt:variant>
      <vt:variant>
        <vt:i4>62</vt:i4>
      </vt:variant>
      <vt:variant>
        <vt:i4>0</vt:i4>
      </vt:variant>
      <vt:variant>
        <vt:i4>5</vt:i4>
      </vt:variant>
      <vt:variant>
        <vt:lpwstr/>
      </vt:variant>
      <vt:variant>
        <vt:lpwstr>_Toc2693751</vt:lpwstr>
      </vt:variant>
      <vt:variant>
        <vt:i4>2555916</vt:i4>
      </vt:variant>
      <vt:variant>
        <vt:i4>56</vt:i4>
      </vt:variant>
      <vt:variant>
        <vt:i4>0</vt:i4>
      </vt:variant>
      <vt:variant>
        <vt:i4>5</vt:i4>
      </vt:variant>
      <vt:variant>
        <vt:lpwstr/>
      </vt:variant>
      <vt:variant>
        <vt:lpwstr>_Toc2693750</vt:lpwstr>
      </vt:variant>
      <vt:variant>
        <vt:i4>2490380</vt:i4>
      </vt:variant>
      <vt:variant>
        <vt:i4>50</vt:i4>
      </vt:variant>
      <vt:variant>
        <vt:i4>0</vt:i4>
      </vt:variant>
      <vt:variant>
        <vt:i4>5</vt:i4>
      </vt:variant>
      <vt:variant>
        <vt:lpwstr/>
      </vt:variant>
      <vt:variant>
        <vt:lpwstr>_Toc2693749</vt:lpwstr>
      </vt:variant>
      <vt:variant>
        <vt:i4>2490380</vt:i4>
      </vt:variant>
      <vt:variant>
        <vt:i4>44</vt:i4>
      </vt:variant>
      <vt:variant>
        <vt:i4>0</vt:i4>
      </vt:variant>
      <vt:variant>
        <vt:i4>5</vt:i4>
      </vt:variant>
      <vt:variant>
        <vt:lpwstr/>
      </vt:variant>
      <vt:variant>
        <vt:lpwstr>_Toc2693748</vt:lpwstr>
      </vt:variant>
      <vt:variant>
        <vt:i4>2490380</vt:i4>
      </vt:variant>
      <vt:variant>
        <vt:i4>38</vt:i4>
      </vt:variant>
      <vt:variant>
        <vt:i4>0</vt:i4>
      </vt:variant>
      <vt:variant>
        <vt:i4>5</vt:i4>
      </vt:variant>
      <vt:variant>
        <vt:lpwstr/>
      </vt:variant>
      <vt:variant>
        <vt:lpwstr>_Toc2693747</vt:lpwstr>
      </vt:variant>
      <vt:variant>
        <vt:i4>2490380</vt:i4>
      </vt:variant>
      <vt:variant>
        <vt:i4>32</vt:i4>
      </vt:variant>
      <vt:variant>
        <vt:i4>0</vt:i4>
      </vt:variant>
      <vt:variant>
        <vt:i4>5</vt:i4>
      </vt:variant>
      <vt:variant>
        <vt:lpwstr/>
      </vt:variant>
      <vt:variant>
        <vt:lpwstr>_Toc2693746</vt:lpwstr>
      </vt:variant>
      <vt:variant>
        <vt:i4>2490380</vt:i4>
      </vt:variant>
      <vt:variant>
        <vt:i4>26</vt:i4>
      </vt:variant>
      <vt:variant>
        <vt:i4>0</vt:i4>
      </vt:variant>
      <vt:variant>
        <vt:i4>5</vt:i4>
      </vt:variant>
      <vt:variant>
        <vt:lpwstr/>
      </vt:variant>
      <vt:variant>
        <vt:lpwstr>_Toc2693745</vt:lpwstr>
      </vt:variant>
      <vt:variant>
        <vt:i4>2490380</vt:i4>
      </vt:variant>
      <vt:variant>
        <vt:i4>20</vt:i4>
      </vt:variant>
      <vt:variant>
        <vt:i4>0</vt:i4>
      </vt:variant>
      <vt:variant>
        <vt:i4>5</vt:i4>
      </vt:variant>
      <vt:variant>
        <vt:lpwstr/>
      </vt:variant>
      <vt:variant>
        <vt:lpwstr>_Toc2693744</vt:lpwstr>
      </vt:variant>
      <vt:variant>
        <vt:i4>2490380</vt:i4>
      </vt:variant>
      <vt:variant>
        <vt:i4>14</vt:i4>
      </vt:variant>
      <vt:variant>
        <vt:i4>0</vt:i4>
      </vt:variant>
      <vt:variant>
        <vt:i4>5</vt:i4>
      </vt:variant>
      <vt:variant>
        <vt:lpwstr/>
      </vt:variant>
      <vt:variant>
        <vt:lpwstr>_Toc2693741</vt:lpwstr>
      </vt:variant>
      <vt:variant>
        <vt:i4>2490380</vt:i4>
      </vt:variant>
      <vt:variant>
        <vt:i4>8</vt:i4>
      </vt:variant>
      <vt:variant>
        <vt:i4>0</vt:i4>
      </vt:variant>
      <vt:variant>
        <vt:i4>5</vt:i4>
      </vt:variant>
      <vt:variant>
        <vt:lpwstr/>
      </vt:variant>
      <vt:variant>
        <vt:lpwstr>_Toc2693740</vt:lpwstr>
      </vt:variant>
      <vt:variant>
        <vt:i4>2162700</vt:i4>
      </vt:variant>
      <vt:variant>
        <vt:i4>2</vt:i4>
      </vt:variant>
      <vt:variant>
        <vt:i4>0</vt:i4>
      </vt:variant>
      <vt:variant>
        <vt:i4>5</vt:i4>
      </vt:variant>
      <vt:variant>
        <vt:lpwstr/>
      </vt:variant>
      <vt:variant>
        <vt:lpwstr>_Toc2693739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Deaths policy for East Kent Hospitals</dc:title>
  <dc:subject>Policy for East Kent Hospitals on Learning from Deaths</dc:subject>
  <dc:creator>NMALB</dc:creator>
  <cp:keywords>policy on policies, policy writing, procedural documents, organisation wide</cp:keywords>
  <cp:lastModifiedBy>Hollie Godwin</cp:lastModifiedBy>
  <cp:revision>3</cp:revision>
  <cp:lastPrinted>2022-02-22T17:04:00Z</cp:lastPrinted>
  <dcterms:created xsi:type="dcterms:W3CDTF">2023-08-07T14:33:00Z</dcterms:created>
  <dcterms:modified xsi:type="dcterms:W3CDTF">2024-08-13T11:17:00Z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0">
    <vt:lpwstr>Lesley Williams</vt:lpwstr>
  </property>
  <property fmtid="{D5CDD505-2E9C-101B-9397-08002B2CF9AE}" pid="3" name="FOI Class">
    <vt:lpwstr>;#Our policies and procedures;#</vt:lpwstr>
  </property>
  <property fmtid="{D5CDD505-2E9C-101B-9397-08002B2CF9AE}" pid="4" name="Date Issued">
    <vt:lpwstr>2018-09-11T00:00:00Z</vt:lpwstr>
  </property>
  <property fmtid="{D5CDD505-2E9C-101B-9397-08002B2CF9AE}" pid="5" name="Readership">
    <vt:lpwstr>All Staff</vt:lpwstr>
  </property>
  <property fmtid="{D5CDD505-2E9C-101B-9397-08002B2CF9AE}" pid="6" name="PIA Check">
    <vt:lpwstr>Yes</vt:lpwstr>
  </property>
  <property fmtid="{D5CDD505-2E9C-101B-9397-08002B2CF9AE}" pid="7" name="E&amp;D Check">
    <vt:lpwstr>Not Applicable</vt:lpwstr>
  </property>
  <property fmtid="{D5CDD505-2E9C-101B-9397-08002B2CF9AE}" pid="8" name="Document Status">
    <vt:lpwstr>Approved</vt:lpwstr>
  </property>
  <property fmtid="{D5CDD505-2E9C-101B-9397-08002B2CF9AE}" pid="9" name="EIA Full Assessment">
    <vt:lpwstr>No</vt:lpwstr>
  </property>
  <property fmtid="{D5CDD505-2E9C-101B-9397-08002B2CF9AE}" pid="10" name="Review Date">
    <vt:lpwstr/>
  </property>
  <property fmtid="{D5CDD505-2E9C-101B-9397-08002B2CF9AE}" pid="11" name="Origin">
    <vt:lpwstr>EKHT</vt:lpwstr>
  </property>
  <property fmtid="{D5CDD505-2E9C-101B-9397-08002B2CF9AE}" pid="12" name="Division0">
    <vt:lpwstr/>
  </property>
  <property fmtid="{D5CDD505-2E9C-101B-9397-08002B2CF9AE}" pid="13" name="Dept">
    <vt:lpwstr/>
  </property>
  <property fmtid="{D5CDD505-2E9C-101B-9397-08002B2CF9AE}" pid="14" name="_Version">
    <vt:lpwstr/>
  </property>
  <property fmtid="{D5CDD505-2E9C-101B-9397-08002B2CF9AE}" pid="15" name="IG Class">
    <vt:lpwstr>Not Protectively Marked</vt:lpwstr>
  </property>
  <property fmtid="{D5CDD505-2E9C-101B-9397-08002B2CF9AE}" pid="16" name="Date Ratified">
    <vt:lpwstr/>
  </property>
  <property fmtid="{D5CDD505-2E9C-101B-9397-08002B2CF9AE}" pid="17" name="Approving Body">
    <vt:lpwstr/>
  </property>
  <property fmtid="{D5CDD505-2E9C-101B-9397-08002B2CF9AE}" pid="18" name="EIA Screening0">
    <vt:lpwstr>Yes</vt:lpwstr>
  </property>
  <property fmtid="{D5CDD505-2E9C-101B-9397-08002B2CF9AE}" pid="19" name="More Work">
    <vt:lpwstr>0</vt:lpwstr>
  </property>
  <property fmtid="{D5CDD505-2E9C-101B-9397-08002B2CF9AE}" pid="20" name="Document Type">
    <vt:lpwstr>Policy</vt:lpwstr>
  </property>
  <property fmtid="{D5CDD505-2E9C-101B-9397-08002B2CF9AE}" pid="21" name="Template">
    <vt:lpwstr>0</vt:lpwstr>
  </property>
  <property fmtid="{D5CDD505-2E9C-101B-9397-08002B2CF9AE}" pid="22" name="ContentTypeId">
    <vt:lpwstr>0x01010082B78B937686CA47AFBF2A818596B9AB</vt:lpwstr>
  </property>
</Properties>
</file>