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C5C" w:rsidRDefault="00CB0C5C" w:rsidP="00CB0C5C">
      <w:pPr>
        <w:jc w:val="right"/>
        <w:rPr>
          <w:sz w:val="40"/>
          <w:szCs w:val="40"/>
        </w:rPr>
      </w:pPr>
      <w:r w:rsidRPr="00F02BD7">
        <w:rPr>
          <w:rFonts w:cs="Arial"/>
          <w:b/>
          <w:noProof/>
          <w:color w:val="0072C6"/>
        </w:rPr>
        <w:drawing>
          <wp:inline distT="0" distB="0" distL="0" distR="0" wp14:anchorId="43659519" wp14:editId="2B15CBC1">
            <wp:extent cx="1713230" cy="856004"/>
            <wp:effectExtent l="0" t="0" r="1270" b="1270"/>
            <wp:docPr id="19" name="Picture 19" descr="East Kent Hospitals University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 Kent Hospitals University NHS Foundation Trust RGB BLU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440" t="19522" r="7386" b="12836"/>
                    <a:stretch/>
                  </pic:blipFill>
                  <pic:spPr bwMode="auto">
                    <a:xfrm>
                      <a:off x="0" y="0"/>
                      <a:ext cx="1715559" cy="857168"/>
                    </a:xfrm>
                    <a:prstGeom prst="rect">
                      <a:avLst/>
                    </a:prstGeom>
                    <a:noFill/>
                    <a:ln>
                      <a:noFill/>
                    </a:ln>
                    <a:extLst>
                      <a:ext uri="{53640926-AAD7-44D8-BBD7-CCE9431645EC}">
                        <a14:shadowObscured xmlns:a14="http://schemas.microsoft.com/office/drawing/2010/main"/>
                      </a:ext>
                    </a:extLst>
                  </pic:spPr>
                </pic:pic>
              </a:graphicData>
            </a:graphic>
          </wp:inline>
        </w:drawing>
      </w:r>
    </w:p>
    <w:p w:rsidR="008970DA" w:rsidRDefault="0022378C" w:rsidP="005E51F4">
      <w:pPr>
        <w:jc w:val="center"/>
        <w:rPr>
          <w:sz w:val="40"/>
          <w:szCs w:val="40"/>
        </w:rPr>
      </w:pPr>
      <w:r>
        <w:rPr>
          <w:sz w:val="40"/>
          <w:szCs w:val="40"/>
        </w:rPr>
        <w:t>East Kent Hospitals University</w:t>
      </w:r>
    </w:p>
    <w:p w:rsidR="0022378C" w:rsidRDefault="0022378C" w:rsidP="00D85ED8">
      <w:pPr>
        <w:spacing w:before="200"/>
        <w:jc w:val="center"/>
        <w:rPr>
          <w:sz w:val="40"/>
          <w:szCs w:val="40"/>
        </w:rPr>
      </w:pPr>
      <w:r>
        <w:rPr>
          <w:sz w:val="40"/>
          <w:szCs w:val="40"/>
        </w:rPr>
        <w:t>NHS</w:t>
      </w:r>
      <w:r w:rsidR="008970DA">
        <w:rPr>
          <w:sz w:val="40"/>
          <w:szCs w:val="40"/>
        </w:rPr>
        <w:t xml:space="preserve"> </w:t>
      </w:r>
      <w:r>
        <w:rPr>
          <w:sz w:val="40"/>
          <w:szCs w:val="40"/>
        </w:rPr>
        <w:t>Foundation Trust</w:t>
      </w:r>
    </w:p>
    <w:p w:rsidR="00634FF6" w:rsidRPr="00130197" w:rsidRDefault="008259FE" w:rsidP="001141D6">
      <w:pPr>
        <w:spacing w:before="360"/>
        <w:jc w:val="center"/>
        <w:rPr>
          <w:b/>
          <w:sz w:val="28"/>
          <w:szCs w:val="32"/>
        </w:rPr>
      </w:pPr>
      <w:r w:rsidRPr="00130197">
        <w:rPr>
          <w:b/>
          <w:sz w:val="28"/>
          <w:szCs w:val="32"/>
        </w:rPr>
        <w:t xml:space="preserve">TRUST </w:t>
      </w:r>
      <w:r w:rsidR="001C60EF" w:rsidRPr="00130197">
        <w:rPr>
          <w:b/>
          <w:sz w:val="28"/>
          <w:szCs w:val="32"/>
        </w:rPr>
        <w:t>POLICY</w:t>
      </w:r>
      <w:r w:rsidR="0045239B" w:rsidRPr="00130197">
        <w:rPr>
          <w:b/>
          <w:sz w:val="28"/>
          <w:szCs w:val="32"/>
        </w:rPr>
        <w:t xml:space="preserve"> </w:t>
      </w:r>
    </w:p>
    <w:p w:rsidR="0022378C" w:rsidRPr="00C73508" w:rsidRDefault="00F71C84" w:rsidP="005E51F4">
      <w:pPr>
        <w:pStyle w:val="Title"/>
        <w:spacing w:after="360"/>
      </w:pPr>
      <w:r>
        <w:t>PATIENT SAFETY INCID</w:t>
      </w:r>
      <w:r w:rsidR="000D33ED">
        <w:t>E</w:t>
      </w:r>
      <w:r>
        <w:t>NT RESPONSE POLICY</w:t>
      </w:r>
    </w:p>
    <w:tbl>
      <w:tblPr>
        <w:tblStyle w:val="TableGrid"/>
        <w:tblW w:w="9639" w:type="dxa"/>
        <w:tblLayout w:type="fixed"/>
        <w:tblLook w:val="0620" w:firstRow="1" w:lastRow="0" w:firstColumn="0" w:lastColumn="0" w:noHBand="1" w:noVBand="1"/>
      </w:tblPr>
      <w:tblGrid>
        <w:gridCol w:w="5382"/>
        <w:gridCol w:w="4257"/>
      </w:tblGrid>
      <w:tr w:rsidR="00BC6BD1" w:rsidRPr="006F5BA6" w:rsidTr="00BC6BD1">
        <w:tc>
          <w:tcPr>
            <w:tcW w:w="5382" w:type="dxa"/>
          </w:tcPr>
          <w:p w:rsidR="00BC6BD1" w:rsidRPr="006F5BA6" w:rsidRDefault="00F56A43" w:rsidP="00EB1617">
            <w:pPr>
              <w:spacing w:before="80" w:after="80"/>
              <w:rPr>
                <w:b/>
                <w:szCs w:val="24"/>
              </w:rPr>
            </w:pPr>
            <w:r w:rsidRPr="006F5BA6">
              <w:rPr>
                <w:b/>
                <w:szCs w:val="24"/>
              </w:rPr>
              <w:t>Document properties:</w:t>
            </w:r>
          </w:p>
        </w:tc>
        <w:tc>
          <w:tcPr>
            <w:tcW w:w="4257" w:type="dxa"/>
          </w:tcPr>
          <w:p w:rsidR="00BC6BD1" w:rsidRPr="006F5BA6" w:rsidRDefault="00F56A43" w:rsidP="00EB1617">
            <w:pPr>
              <w:spacing w:before="80" w:after="80"/>
              <w:rPr>
                <w:b/>
                <w:szCs w:val="24"/>
              </w:rPr>
            </w:pPr>
            <w:r w:rsidRPr="006F5BA6">
              <w:rPr>
                <w:b/>
                <w:szCs w:val="24"/>
              </w:rPr>
              <w:t>Detail:</w:t>
            </w:r>
          </w:p>
        </w:tc>
      </w:tr>
      <w:tr w:rsidR="00EB1617" w:rsidRPr="006F5BA6" w:rsidTr="00BC6BD1">
        <w:tc>
          <w:tcPr>
            <w:tcW w:w="5382" w:type="dxa"/>
          </w:tcPr>
          <w:p w:rsidR="00EB1617" w:rsidRPr="006F5BA6" w:rsidRDefault="00EB1617" w:rsidP="00EB1617">
            <w:pPr>
              <w:spacing w:before="80" w:after="80"/>
              <w:rPr>
                <w:b/>
                <w:szCs w:val="24"/>
              </w:rPr>
            </w:pPr>
            <w:r w:rsidRPr="006F5BA6">
              <w:rPr>
                <w:b/>
                <w:szCs w:val="24"/>
              </w:rPr>
              <w:t>Version</w:t>
            </w:r>
          </w:p>
        </w:tc>
        <w:tc>
          <w:tcPr>
            <w:tcW w:w="4257" w:type="dxa"/>
          </w:tcPr>
          <w:p w:rsidR="00EB1617" w:rsidRPr="006F5BA6" w:rsidRDefault="00F71C84" w:rsidP="00EB1617">
            <w:pPr>
              <w:spacing w:before="80" w:after="80"/>
              <w:rPr>
                <w:szCs w:val="24"/>
              </w:rPr>
            </w:pPr>
            <w:r w:rsidRPr="006F5BA6">
              <w:rPr>
                <w:szCs w:val="24"/>
              </w:rPr>
              <w:t>1.0</w:t>
            </w:r>
          </w:p>
        </w:tc>
      </w:tr>
      <w:tr w:rsidR="00EB1617" w:rsidRPr="006F5BA6" w:rsidTr="00BC6BD1">
        <w:tc>
          <w:tcPr>
            <w:tcW w:w="5382" w:type="dxa"/>
          </w:tcPr>
          <w:p w:rsidR="00EB1617" w:rsidRPr="006F5BA6" w:rsidRDefault="00EB1617" w:rsidP="00EB1617">
            <w:pPr>
              <w:spacing w:before="80" w:after="80"/>
              <w:rPr>
                <w:b/>
                <w:szCs w:val="24"/>
              </w:rPr>
            </w:pPr>
            <w:r w:rsidRPr="006F5BA6">
              <w:rPr>
                <w:b/>
                <w:szCs w:val="24"/>
              </w:rPr>
              <w:t>Author</w:t>
            </w:r>
          </w:p>
        </w:tc>
        <w:tc>
          <w:tcPr>
            <w:tcW w:w="4257" w:type="dxa"/>
          </w:tcPr>
          <w:p w:rsidR="00EB1617" w:rsidRPr="006F5BA6" w:rsidRDefault="00EB6E4F" w:rsidP="00EB1617">
            <w:pPr>
              <w:spacing w:before="80" w:after="80"/>
              <w:rPr>
                <w:szCs w:val="24"/>
              </w:rPr>
            </w:pPr>
            <w:r w:rsidRPr="006F5BA6">
              <w:rPr>
                <w:szCs w:val="24"/>
              </w:rPr>
              <w:t>Deputy Director of Quality Governance</w:t>
            </w:r>
          </w:p>
        </w:tc>
      </w:tr>
      <w:tr w:rsidR="00F56A43" w:rsidRPr="006F5BA6" w:rsidTr="00DB5FBC">
        <w:tc>
          <w:tcPr>
            <w:tcW w:w="5382" w:type="dxa"/>
            <w:tcBorders>
              <w:top w:val="single" w:sz="4" w:space="0" w:color="auto"/>
              <w:left w:val="single" w:sz="4" w:space="0" w:color="auto"/>
              <w:bottom w:val="single" w:sz="4" w:space="0" w:color="auto"/>
              <w:right w:val="single" w:sz="4" w:space="0" w:color="auto"/>
            </w:tcBorders>
            <w:vAlign w:val="center"/>
          </w:tcPr>
          <w:p w:rsidR="00F56A43" w:rsidRPr="006F5BA6" w:rsidRDefault="00F56A43" w:rsidP="00F56A43">
            <w:pPr>
              <w:rPr>
                <w:b/>
                <w:szCs w:val="24"/>
              </w:rPr>
            </w:pPr>
            <w:r w:rsidRPr="006F5BA6">
              <w:rPr>
                <w:b/>
                <w:szCs w:val="24"/>
              </w:rPr>
              <w:t>Policy Owner</w:t>
            </w:r>
          </w:p>
        </w:tc>
        <w:tc>
          <w:tcPr>
            <w:tcW w:w="4257" w:type="dxa"/>
          </w:tcPr>
          <w:p w:rsidR="00F56A43" w:rsidRPr="006F5BA6" w:rsidRDefault="00546D51" w:rsidP="00F56A43">
            <w:pPr>
              <w:spacing w:before="80" w:after="80"/>
              <w:rPr>
                <w:szCs w:val="24"/>
              </w:rPr>
            </w:pPr>
            <w:r w:rsidRPr="006F5BA6">
              <w:rPr>
                <w:szCs w:val="24"/>
              </w:rPr>
              <w:t xml:space="preserve">Head of </w:t>
            </w:r>
            <w:r w:rsidR="00891C0E" w:rsidRPr="006F5BA6">
              <w:rPr>
                <w:szCs w:val="24"/>
              </w:rPr>
              <w:t>Patient</w:t>
            </w:r>
            <w:r w:rsidRPr="006F5BA6">
              <w:rPr>
                <w:szCs w:val="24"/>
              </w:rPr>
              <w:t xml:space="preserve"> </w:t>
            </w:r>
            <w:r w:rsidR="00891C0E" w:rsidRPr="006F5BA6">
              <w:rPr>
                <w:szCs w:val="24"/>
              </w:rPr>
              <w:t>S</w:t>
            </w:r>
            <w:r w:rsidRPr="006F5BA6">
              <w:rPr>
                <w:szCs w:val="24"/>
              </w:rPr>
              <w:t xml:space="preserve">afety and </w:t>
            </w:r>
            <w:r w:rsidR="00891C0E" w:rsidRPr="006F5BA6">
              <w:rPr>
                <w:szCs w:val="24"/>
              </w:rPr>
              <w:t>Improvement</w:t>
            </w:r>
          </w:p>
        </w:tc>
      </w:tr>
      <w:tr w:rsidR="00F56A43" w:rsidRPr="006F5BA6" w:rsidTr="00DB5FBC">
        <w:tc>
          <w:tcPr>
            <w:tcW w:w="5382" w:type="dxa"/>
            <w:tcBorders>
              <w:top w:val="single" w:sz="4" w:space="0" w:color="auto"/>
              <w:left w:val="single" w:sz="4" w:space="0" w:color="auto"/>
              <w:bottom w:val="single" w:sz="4" w:space="0" w:color="auto"/>
              <w:right w:val="single" w:sz="4" w:space="0" w:color="auto"/>
            </w:tcBorders>
            <w:vAlign w:val="center"/>
          </w:tcPr>
          <w:p w:rsidR="00F56A43" w:rsidRPr="006F5BA6" w:rsidRDefault="00F56A43" w:rsidP="00F56A43">
            <w:pPr>
              <w:rPr>
                <w:b/>
                <w:szCs w:val="24"/>
              </w:rPr>
            </w:pPr>
            <w:r w:rsidRPr="006F5BA6">
              <w:rPr>
                <w:b/>
                <w:szCs w:val="24"/>
              </w:rPr>
              <w:t>Executive Director Responsible for Policy</w:t>
            </w:r>
          </w:p>
        </w:tc>
        <w:tc>
          <w:tcPr>
            <w:tcW w:w="4257" w:type="dxa"/>
          </w:tcPr>
          <w:p w:rsidR="00F56A43" w:rsidRPr="006F5BA6" w:rsidRDefault="00F71C84" w:rsidP="00F56A43">
            <w:pPr>
              <w:spacing w:before="80" w:after="80"/>
              <w:rPr>
                <w:szCs w:val="24"/>
              </w:rPr>
            </w:pPr>
            <w:r w:rsidRPr="006F5BA6">
              <w:rPr>
                <w:szCs w:val="24"/>
              </w:rPr>
              <w:t>Chief Nursing and Midwifery Officer</w:t>
            </w:r>
          </w:p>
        </w:tc>
      </w:tr>
      <w:tr w:rsidR="00EB1617" w:rsidRPr="006F5BA6" w:rsidTr="00BC6BD1">
        <w:tc>
          <w:tcPr>
            <w:tcW w:w="5382" w:type="dxa"/>
          </w:tcPr>
          <w:p w:rsidR="00EB1617" w:rsidRPr="006F5BA6" w:rsidRDefault="00EB1617" w:rsidP="00EB1617">
            <w:pPr>
              <w:spacing w:before="80" w:after="80"/>
              <w:rPr>
                <w:b/>
                <w:szCs w:val="24"/>
              </w:rPr>
            </w:pPr>
            <w:r w:rsidRPr="006F5BA6">
              <w:rPr>
                <w:b/>
                <w:szCs w:val="24"/>
              </w:rPr>
              <w:t>Approving committee</w:t>
            </w:r>
          </w:p>
        </w:tc>
        <w:tc>
          <w:tcPr>
            <w:tcW w:w="4257" w:type="dxa"/>
          </w:tcPr>
          <w:p w:rsidR="00EB1617" w:rsidRPr="006F5BA6" w:rsidRDefault="0007344F" w:rsidP="00EB1617">
            <w:pPr>
              <w:spacing w:before="80" w:after="80"/>
              <w:rPr>
                <w:szCs w:val="24"/>
              </w:rPr>
            </w:pPr>
            <w:r w:rsidRPr="006F5BA6">
              <w:rPr>
                <w:szCs w:val="24"/>
              </w:rPr>
              <w:t xml:space="preserve">Quality </w:t>
            </w:r>
            <w:r w:rsidR="00B4189D" w:rsidRPr="006F5BA6">
              <w:rPr>
                <w:szCs w:val="24"/>
              </w:rPr>
              <w:t>and</w:t>
            </w:r>
            <w:r w:rsidRPr="006F5BA6">
              <w:rPr>
                <w:szCs w:val="24"/>
              </w:rPr>
              <w:t xml:space="preserve"> Safety Committee</w:t>
            </w:r>
          </w:p>
        </w:tc>
      </w:tr>
      <w:tr w:rsidR="00EB6E4F" w:rsidRPr="006F5BA6" w:rsidTr="00EB6E4F">
        <w:tc>
          <w:tcPr>
            <w:tcW w:w="5382" w:type="dxa"/>
          </w:tcPr>
          <w:p w:rsidR="00EB6E4F" w:rsidRPr="006F5BA6" w:rsidRDefault="00EB6E4F" w:rsidP="00EB6E4F">
            <w:pPr>
              <w:spacing w:before="80" w:after="80"/>
              <w:rPr>
                <w:b/>
                <w:szCs w:val="24"/>
              </w:rPr>
            </w:pPr>
            <w:r w:rsidRPr="006F5BA6">
              <w:rPr>
                <w:b/>
                <w:szCs w:val="24"/>
              </w:rPr>
              <w:t>Date approved</w:t>
            </w:r>
          </w:p>
        </w:tc>
        <w:tc>
          <w:tcPr>
            <w:tcW w:w="4257" w:type="dxa"/>
            <w:vAlign w:val="center"/>
          </w:tcPr>
          <w:p w:rsidR="00EB6E4F" w:rsidRPr="006F5BA6" w:rsidRDefault="00EB6E4F" w:rsidP="00EB6E4F">
            <w:pPr>
              <w:spacing w:before="80" w:after="80"/>
              <w:rPr>
                <w:szCs w:val="24"/>
              </w:rPr>
            </w:pPr>
            <w:r w:rsidRPr="006F5BA6">
              <w:rPr>
                <w:szCs w:val="24"/>
              </w:rPr>
              <w:t>04/04/2024</w:t>
            </w:r>
          </w:p>
        </w:tc>
      </w:tr>
      <w:tr w:rsidR="00EB6E4F" w:rsidRPr="006F5BA6" w:rsidTr="00EB6E4F">
        <w:tc>
          <w:tcPr>
            <w:tcW w:w="5382" w:type="dxa"/>
            <w:tcBorders>
              <w:bottom w:val="single" w:sz="4" w:space="0" w:color="auto"/>
            </w:tcBorders>
          </w:tcPr>
          <w:p w:rsidR="00EB6E4F" w:rsidRPr="006F5BA6" w:rsidRDefault="00EB6E4F" w:rsidP="00EB6E4F">
            <w:pPr>
              <w:spacing w:before="80" w:after="80"/>
              <w:rPr>
                <w:b/>
                <w:szCs w:val="24"/>
              </w:rPr>
            </w:pPr>
            <w:r w:rsidRPr="006F5BA6">
              <w:rPr>
                <w:b/>
                <w:szCs w:val="24"/>
              </w:rPr>
              <w:t>Date ratified by Policy Authorisation Group</w:t>
            </w:r>
          </w:p>
        </w:tc>
        <w:tc>
          <w:tcPr>
            <w:tcW w:w="4257" w:type="dxa"/>
            <w:tcBorders>
              <w:bottom w:val="single" w:sz="4" w:space="0" w:color="auto"/>
            </w:tcBorders>
            <w:vAlign w:val="center"/>
          </w:tcPr>
          <w:p w:rsidR="00EB6E4F" w:rsidRPr="006F5BA6" w:rsidRDefault="00EB6E4F" w:rsidP="00EB6E4F">
            <w:pPr>
              <w:spacing w:before="80" w:after="80"/>
              <w:rPr>
                <w:szCs w:val="24"/>
              </w:rPr>
            </w:pPr>
            <w:r w:rsidRPr="006F5BA6">
              <w:rPr>
                <w:szCs w:val="24"/>
              </w:rPr>
              <w:t>27/08/2024</w:t>
            </w:r>
          </w:p>
        </w:tc>
      </w:tr>
      <w:tr w:rsidR="00EB6E4F" w:rsidRPr="006F5BA6" w:rsidTr="00BC6BD1">
        <w:tc>
          <w:tcPr>
            <w:tcW w:w="5382" w:type="dxa"/>
            <w:tcBorders>
              <w:bottom w:val="single" w:sz="4" w:space="0" w:color="auto"/>
            </w:tcBorders>
          </w:tcPr>
          <w:p w:rsidR="00EB6E4F" w:rsidRPr="006F5BA6" w:rsidRDefault="00EB6E4F" w:rsidP="00EB6E4F">
            <w:pPr>
              <w:spacing w:before="80" w:after="80"/>
              <w:rPr>
                <w:b/>
                <w:szCs w:val="24"/>
              </w:rPr>
            </w:pPr>
            <w:r w:rsidRPr="006F5BA6">
              <w:rPr>
                <w:b/>
                <w:szCs w:val="24"/>
              </w:rPr>
              <w:t>Date issued</w:t>
            </w:r>
          </w:p>
        </w:tc>
        <w:tc>
          <w:tcPr>
            <w:tcW w:w="4257" w:type="dxa"/>
            <w:tcBorders>
              <w:bottom w:val="single" w:sz="4" w:space="0" w:color="auto"/>
            </w:tcBorders>
          </w:tcPr>
          <w:p w:rsidR="00EB6E4F" w:rsidRPr="006F5BA6" w:rsidRDefault="00CB0C5C" w:rsidP="00EB6E4F">
            <w:pPr>
              <w:spacing w:before="80" w:after="80"/>
              <w:rPr>
                <w:szCs w:val="24"/>
              </w:rPr>
            </w:pPr>
            <w:r>
              <w:rPr>
                <w:szCs w:val="24"/>
              </w:rPr>
              <w:t>03 October 2024</w:t>
            </w:r>
          </w:p>
        </w:tc>
      </w:tr>
      <w:tr w:rsidR="00EB6E4F" w:rsidRPr="006F5BA6" w:rsidTr="00BC6BD1">
        <w:tc>
          <w:tcPr>
            <w:tcW w:w="5382" w:type="dxa"/>
            <w:tcBorders>
              <w:bottom w:val="single" w:sz="4" w:space="0" w:color="auto"/>
            </w:tcBorders>
          </w:tcPr>
          <w:p w:rsidR="00EB6E4F" w:rsidRPr="006F5BA6" w:rsidRDefault="00EB6E4F" w:rsidP="00EB6E4F">
            <w:pPr>
              <w:spacing w:before="80" w:after="80"/>
              <w:rPr>
                <w:b/>
                <w:szCs w:val="24"/>
              </w:rPr>
            </w:pPr>
            <w:r w:rsidRPr="006F5BA6">
              <w:rPr>
                <w:b/>
                <w:szCs w:val="24"/>
              </w:rPr>
              <w:t>Next scheduled review date</w:t>
            </w:r>
          </w:p>
        </w:tc>
        <w:tc>
          <w:tcPr>
            <w:tcW w:w="4257" w:type="dxa"/>
            <w:tcBorders>
              <w:bottom w:val="single" w:sz="4" w:space="0" w:color="auto"/>
            </w:tcBorders>
          </w:tcPr>
          <w:p w:rsidR="00EB6E4F" w:rsidRPr="006F5BA6" w:rsidRDefault="003B4F56" w:rsidP="00EB6E4F">
            <w:pPr>
              <w:spacing w:before="80" w:after="80"/>
              <w:rPr>
                <w:szCs w:val="24"/>
              </w:rPr>
            </w:pPr>
            <w:r>
              <w:rPr>
                <w:szCs w:val="24"/>
              </w:rPr>
              <w:t>May 2025</w:t>
            </w:r>
          </w:p>
        </w:tc>
      </w:tr>
    </w:tbl>
    <w:p w:rsidR="00BC6BD1" w:rsidRDefault="00BC6BD1" w:rsidP="005E51F4"/>
    <w:tbl>
      <w:tblPr>
        <w:tblStyle w:val="TableGrid"/>
        <w:tblW w:w="9639" w:type="dxa"/>
        <w:tblLayout w:type="fixed"/>
        <w:tblLook w:val="0620" w:firstRow="1" w:lastRow="0" w:firstColumn="0" w:lastColumn="0" w:noHBand="1" w:noVBand="1"/>
      </w:tblPr>
      <w:tblGrid>
        <w:gridCol w:w="5382"/>
        <w:gridCol w:w="4257"/>
      </w:tblGrid>
      <w:tr w:rsidR="00BC6BD1" w:rsidRPr="006F5BA6" w:rsidTr="00BC6BD1">
        <w:tc>
          <w:tcPr>
            <w:tcW w:w="5382" w:type="dxa"/>
            <w:tcBorders>
              <w:top w:val="single" w:sz="4" w:space="0" w:color="auto"/>
            </w:tcBorders>
          </w:tcPr>
          <w:p w:rsidR="00814569" w:rsidRPr="006F5BA6" w:rsidRDefault="00BC6BD1" w:rsidP="00EB1617">
            <w:pPr>
              <w:spacing w:before="80" w:after="80"/>
              <w:rPr>
                <w:b/>
                <w:szCs w:val="24"/>
              </w:rPr>
            </w:pPr>
            <w:r w:rsidRPr="006F5BA6">
              <w:rPr>
                <w:b/>
                <w:szCs w:val="24"/>
              </w:rPr>
              <w:t>Applies to</w:t>
            </w:r>
            <w:r w:rsidR="00814569" w:rsidRPr="006F5BA6">
              <w:rPr>
                <w:b/>
                <w:szCs w:val="24"/>
              </w:rPr>
              <w:t>:</w:t>
            </w:r>
          </w:p>
        </w:tc>
        <w:tc>
          <w:tcPr>
            <w:tcW w:w="4257" w:type="dxa"/>
            <w:tcBorders>
              <w:top w:val="single" w:sz="4" w:space="0" w:color="auto"/>
            </w:tcBorders>
          </w:tcPr>
          <w:p w:rsidR="00BC6BD1" w:rsidRPr="006F5BA6" w:rsidRDefault="00F56A43" w:rsidP="00EB1617">
            <w:pPr>
              <w:spacing w:before="80" w:after="80"/>
              <w:rPr>
                <w:b/>
                <w:szCs w:val="24"/>
              </w:rPr>
            </w:pPr>
            <w:r w:rsidRPr="006F5BA6">
              <w:rPr>
                <w:b/>
                <w:szCs w:val="24"/>
              </w:rPr>
              <w:t>Yes/No</w:t>
            </w:r>
          </w:p>
        </w:tc>
      </w:tr>
      <w:tr w:rsidR="008259FE" w:rsidRPr="006F5BA6" w:rsidTr="00BC6BD1">
        <w:tc>
          <w:tcPr>
            <w:tcW w:w="5382" w:type="dxa"/>
          </w:tcPr>
          <w:p w:rsidR="008259FE" w:rsidRPr="006F5BA6" w:rsidRDefault="008259FE" w:rsidP="00962C20">
            <w:pPr>
              <w:spacing w:before="80" w:after="80"/>
              <w:rPr>
                <w:b/>
                <w:szCs w:val="24"/>
              </w:rPr>
            </w:pPr>
            <w:r w:rsidRPr="006F5BA6">
              <w:rPr>
                <w:b/>
                <w:szCs w:val="24"/>
              </w:rPr>
              <w:t>Trust staff (specify groups e.g</w:t>
            </w:r>
            <w:r w:rsidR="006C366E" w:rsidRPr="006F5BA6">
              <w:rPr>
                <w:b/>
                <w:szCs w:val="24"/>
              </w:rPr>
              <w:t xml:space="preserve">.  </w:t>
            </w:r>
            <w:r w:rsidRPr="006F5BA6">
              <w:rPr>
                <w:b/>
                <w:szCs w:val="24"/>
              </w:rPr>
              <w:t>clinical/non-clinical)</w:t>
            </w:r>
          </w:p>
        </w:tc>
        <w:tc>
          <w:tcPr>
            <w:tcW w:w="4257" w:type="dxa"/>
          </w:tcPr>
          <w:p w:rsidR="008259FE" w:rsidRPr="006F5BA6" w:rsidRDefault="009964CC" w:rsidP="00962C20">
            <w:pPr>
              <w:spacing w:before="80" w:after="80"/>
              <w:rPr>
                <w:szCs w:val="24"/>
              </w:rPr>
            </w:pPr>
            <w:r w:rsidRPr="006F5BA6">
              <w:rPr>
                <w:szCs w:val="24"/>
              </w:rPr>
              <w:t>All E</w:t>
            </w:r>
            <w:r w:rsidR="004D3B3B" w:rsidRPr="006F5BA6">
              <w:rPr>
                <w:szCs w:val="24"/>
              </w:rPr>
              <w:t>KHUFT</w:t>
            </w:r>
            <w:r w:rsidRPr="006F5BA6">
              <w:rPr>
                <w:szCs w:val="24"/>
              </w:rPr>
              <w:t xml:space="preserve"> Staff with regard to patient safety</w:t>
            </w:r>
          </w:p>
        </w:tc>
      </w:tr>
      <w:tr w:rsidR="00EB6E4F" w:rsidRPr="006F5BA6" w:rsidTr="00BC6BD1">
        <w:trPr>
          <w:trHeight w:val="485"/>
        </w:trPr>
        <w:tc>
          <w:tcPr>
            <w:tcW w:w="5382" w:type="dxa"/>
          </w:tcPr>
          <w:p w:rsidR="00EB6E4F" w:rsidRPr="006F5BA6" w:rsidRDefault="00EB6E4F" w:rsidP="00EB6E4F">
            <w:pPr>
              <w:spacing w:before="80" w:after="80"/>
              <w:rPr>
                <w:b/>
                <w:szCs w:val="24"/>
              </w:rPr>
            </w:pPr>
            <w:r w:rsidRPr="006F5BA6">
              <w:rPr>
                <w:b/>
                <w:szCs w:val="24"/>
              </w:rPr>
              <w:t>Subsidiaries</w:t>
            </w:r>
          </w:p>
        </w:tc>
        <w:tc>
          <w:tcPr>
            <w:tcW w:w="4257" w:type="dxa"/>
          </w:tcPr>
          <w:p w:rsidR="00EB6E4F" w:rsidRPr="006F5BA6" w:rsidRDefault="00EB6E4F" w:rsidP="00EB6E4F">
            <w:pPr>
              <w:spacing w:line="300" w:lineRule="auto"/>
              <w:rPr>
                <w:b/>
                <w:szCs w:val="24"/>
              </w:rPr>
            </w:pPr>
            <w:r w:rsidRPr="006F5BA6">
              <w:rPr>
                <w:szCs w:val="24"/>
              </w:rPr>
              <w:t>Spencer Private Hospitals</w:t>
            </w:r>
          </w:p>
        </w:tc>
      </w:tr>
      <w:tr w:rsidR="00EB6E4F" w:rsidRPr="006F5BA6" w:rsidTr="00BC6BD1">
        <w:tc>
          <w:tcPr>
            <w:tcW w:w="5382" w:type="dxa"/>
          </w:tcPr>
          <w:p w:rsidR="00EB6E4F" w:rsidRPr="006F5BA6" w:rsidRDefault="00EB6E4F" w:rsidP="00EB6E4F">
            <w:pPr>
              <w:spacing w:before="80" w:after="80"/>
              <w:rPr>
                <w:b/>
                <w:szCs w:val="24"/>
              </w:rPr>
            </w:pPr>
            <w:r w:rsidRPr="006F5BA6">
              <w:rPr>
                <w:b/>
                <w:szCs w:val="24"/>
              </w:rPr>
              <w:t>2gether Support Solutions Ltd.  as a service provider (hard and soft facilities services)</w:t>
            </w:r>
          </w:p>
        </w:tc>
        <w:tc>
          <w:tcPr>
            <w:tcW w:w="4257" w:type="dxa"/>
          </w:tcPr>
          <w:p w:rsidR="00EB6E4F" w:rsidRPr="006F5BA6" w:rsidRDefault="00EB6E4F" w:rsidP="00EB6E4F">
            <w:pPr>
              <w:spacing w:before="80" w:after="80"/>
              <w:rPr>
                <w:szCs w:val="24"/>
              </w:rPr>
            </w:pPr>
            <w:r w:rsidRPr="006F5BA6">
              <w:rPr>
                <w:szCs w:val="24"/>
              </w:rPr>
              <w:t>No</w:t>
            </w:r>
          </w:p>
        </w:tc>
      </w:tr>
    </w:tbl>
    <w:p w:rsidR="00814569" w:rsidRDefault="00814569" w:rsidP="005E51F4"/>
    <w:p w:rsidR="001141D6" w:rsidRPr="00EB6E4F" w:rsidRDefault="008259FE" w:rsidP="00633918">
      <w:pPr>
        <w:spacing w:before="200"/>
        <w:rPr>
          <w:szCs w:val="24"/>
        </w:rPr>
      </w:pPr>
      <w:r w:rsidRPr="00EB6E4F">
        <w:rPr>
          <w:b/>
          <w:szCs w:val="24"/>
        </w:rPr>
        <w:t>This policy is available in other formats, for example, in large print, Audio and Easy Read on request</w:t>
      </w:r>
      <w:r w:rsidR="006C366E" w:rsidRPr="00EB6E4F">
        <w:rPr>
          <w:b/>
          <w:szCs w:val="24"/>
        </w:rPr>
        <w:t xml:space="preserve">.  </w:t>
      </w:r>
      <w:r w:rsidRPr="00EB6E4F">
        <w:rPr>
          <w:b/>
          <w:szCs w:val="24"/>
        </w:rPr>
        <w:t>Please contact</w:t>
      </w:r>
      <w:r w:rsidR="000D6DD3" w:rsidRPr="00EB6E4F">
        <w:rPr>
          <w:b/>
          <w:szCs w:val="24"/>
        </w:rPr>
        <w:t xml:space="preserve"> </w:t>
      </w:r>
      <w:hyperlink r:id="rId10" w:history="1">
        <w:r w:rsidR="00EB6E4F" w:rsidRPr="005C6D2B">
          <w:rPr>
            <w:rStyle w:val="Hyperlink"/>
            <w:b/>
            <w:szCs w:val="24"/>
          </w:rPr>
          <w:t>ekhuft.psirf@nhs.net</w:t>
        </w:r>
      </w:hyperlink>
      <w:r w:rsidR="00EB6E4F">
        <w:rPr>
          <w:b/>
          <w:szCs w:val="24"/>
        </w:rPr>
        <w:t xml:space="preserve"> </w:t>
      </w:r>
    </w:p>
    <w:p w:rsidR="008259FE" w:rsidRPr="00273DE7" w:rsidRDefault="008259FE" w:rsidP="0071472D">
      <w:pPr>
        <w:pStyle w:val="SectionTitle"/>
        <w:keepNext/>
        <w:pageBreakBefore/>
        <w:rPr>
          <w:rFonts w:cs="Arial"/>
        </w:rPr>
      </w:pPr>
      <w:r w:rsidRPr="00273DE7">
        <w:rPr>
          <w:rFonts w:cs="Arial"/>
        </w:rPr>
        <w:lastRenderedPageBreak/>
        <w:t>Version Control Schedule</w:t>
      </w:r>
    </w:p>
    <w:tbl>
      <w:tblPr>
        <w:tblStyle w:val="TableGrid"/>
        <w:tblW w:w="9747" w:type="dxa"/>
        <w:tblLook w:val="0620" w:firstRow="1" w:lastRow="0" w:firstColumn="0" w:lastColumn="0" w:noHBand="1" w:noVBand="1"/>
      </w:tblPr>
      <w:tblGrid>
        <w:gridCol w:w="1125"/>
        <w:gridCol w:w="1644"/>
        <w:gridCol w:w="2463"/>
        <w:gridCol w:w="943"/>
        <w:gridCol w:w="3572"/>
      </w:tblGrid>
      <w:tr w:rsidR="008259FE" w:rsidRPr="006F5BA6" w:rsidTr="000E1A88">
        <w:tc>
          <w:tcPr>
            <w:tcW w:w="1125" w:type="dxa"/>
          </w:tcPr>
          <w:p w:rsidR="008259FE" w:rsidRPr="006F5BA6" w:rsidRDefault="008259FE" w:rsidP="0071385C">
            <w:pPr>
              <w:pStyle w:val="SectionTitle"/>
              <w:spacing w:before="0"/>
              <w:rPr>
                <w:rFonts w:cs="Arial"/>
                <w:sz w:val="24"/>
                <w:szCs w:val="24"/>
              </w:rPr>
            </w:pPr>
            <w:r w:rsidRPr="006F5BA6">
              <w:rPr>
                <w:rFonts w:cs="Arial"/>
                <w:sz w:val="24"/>
                <w:szCs w:val="24"/>
              </w:rPr>
              <w:t>Version</w:t>
            </w:r>
          </w:p>
        </w:tc>
        <w:tc>
          <w:tcPr>
            <w:tcW w:w="1644" w:type="dxa"/>
          </w:tcPr>
          <w:p w:rsidR="008259FE" w:rsidRPr="006F5BA6" w:rsidRDefault="008259FE" w:rsidP="0071385C">
            <w:pPr>
              <w:pStyle w:val="SectionTitle"/>
              <w:spacing w:before="0"/>
              <w:rPr>
                <w:rFonts w:cs="Arial"/>
                <w:sz w:val="24"/>
                <w:szCs w:val="24"/>
              </w:rPr>
            </w:pPr>
            <w:r w:rsidRPr="006F5BA6">
              <w:rPr>
                <w:rFonts w:cs="Arial"/>
                <w:sz w:val="24"/>
                <w:szCs w:val="24"/>
              </w:rPr>
              <w:t>Date</w:t>
            </w:r>
          </w:p>
        </w:tc>
        <w:tc>
          <w:tcPr>
            <w:tcW w:w="2463" w:type="dxa"/>
          </w:tcPr>
          <w:p w:rsidR="008259FE" w:rsidRPr="006F5BA6" w:rsidRDefault="008259FE" w:rsidP="0071385C">
            <w:pPr>
              <w:pStyle w:val="SectionTitle"/>
              <w:spacing w:before="0"/>
              <w:rPr>
                <w:rFonts w:cs="Arial"/>
                <w:sz w:val="24"/>
                <w:szCs w:val="24"/>
              </w:rPr>
            </w:pPr>
            <w:r w:rsidRPr="006F5BA6">
              <w:rPr>
                <w:rFonts w:cs="Arial"/>
                <w:sz w:val="24"/>
                <w:szCs w:val="24"/>
              </w:rPr>
              <w:t>Author</w:t>
            </w:r>
          </w:p>
        </w:tc>
        <w:tc>
          <w:tcPr>
            <w:tcW w:w="943" w:type="dxa"/>
          </w:tcPr>
          <w:p w:rsidR="008259FE" w:rsidRPr="006F5BA6" w:rsidRDefault="008259FE" w:rsidP="0071385C">
            <w:pPr>
              <w:pStyle w:val="SectionTitle"/>
              <w:spacing w:before="0"/>
              <w:rPr>
                <w:rFonts w:cs="Arial"/>
                <w:sz w:val="24"/>
                <w:szCs w:val="24"/>
              </w:rPr>
            </w:pPr>
            <w:r w:rsidRPr="006F5BA6">
              <w:rPr>
                <w:rFonts w:cs="Arial"/>
                <w:sz w:val="24"/>
                <w:szCs w:val="24"/>
              </w:rPr>
              <w:t>Status</w:t>
            </w:r>
          </w:p>
        </w:tc>
        <w:tc>
          <w:tcPr>
            <w:tcW w:w="3572" w:type="dxa"/>
          </w:tcPr>
          <w:p w:rsidR="008259FE" w:rsidRPr="006F5BA6" w:rsidRDefault="008259FE" w:rsidP="0071385C">
            <w:pPr>
              <w:pStyle w:val="SectionTitle"/>
              <w:spacing w:before="0"/>
              <w:rPr>
                <w:rFonts w:cs="Arial"/>
                <w:sz w:val="24"/>
                <w:szCs w:val="24"/>
              </w:rPr>
            </w:pPr>
            <w:r w:rsidRPr="006F5BA6">
              <w:rPr>
                <w:rFonts w:cs="Arial"/>
                <w:sz w:val="24"/>
                <w:szCs w:val="24"/>
              </w:rPr>
              <w:t>Comment</w:t>
            </w:r>
          </w:p>
        </w:tc>
      </w:tr>
      <w:tr w:rsidR="008259FE" w:rsidRPr="006F5BA6" w:rsidTr="000E1A88">
        <w:trPr>
          <w:trHeight w:val="20"/>
        </w:trPr>
        <w:tc>
          <w:tcPr>
            <w:tcW w:w="1125" w:type="dxa"/>
          </w:tcPr>
          <w:p w:rsidR="008259FE" w:rsidRPr="006F5BA6" w:rsidRDefault="00B66476" w:rsidP="00962C20">
            <w:pPr>
              <w:pStyle w:val="SectionTitle"/>
              <w:spacing w:before="120" w:after="120"/>
              <w:rPr>
                <w:rFonts w:cs="Arial"/>
                <w:b w:val="0"/>
                <w:sz w:val="24"/>
                <w:szCs w:val="24"/>
              </w:rPr>
            </w:pPr>
            <w:r w:rsidRPr="006F5BA6">
              <w:rPr>
                <w:rFonts w:cs="Arial"/>
                <w:b w:val="0"/>
                <w:sz w:val="24"/>
                <w:szCs w:val="24"/>
              </w:rPr>
              <w:t>1.0</w:t>
            </w:r>
          </w:p>
        </w:tc>
        <w:tc>
          <w:tcPr>
            <w:tcW w:w="1644" w:type="dxa"/>
          </w:tcPr>
          <w:p w:rsidR="008259FE" w:rsidRPr="006F5BA6" w:rsidRDefault="00830B26" w:rsidP="00962C20">
            <w:pPr>
              <w:pStyle w:val="SectionTitle"/>
              <w:spacing w:before="120" w:after="120"/>
              <w:rPr>
                <w:rFonts w:cs="Arial"/>
                <w:b w:val="0"/>
                <w:sz w:val="24"/>
                <w:szCs w:val="24"/>
              </w:rPr>
            </w:pPr>
            <w:r w:rsidRPr="006F5BA6">
              <w:rPr>
                <w:rFonts w:cs="Arial"/>
                <w:b w:val="0"/>
                <w:sz w:val="24"/>
                <w:szCs w:val="24"/>
              </w:rPr>
              <w:t>June</w:t>
            </w:r>
            <w:r w:rsidR="00273DE7" w:rsidRPr="006F5BA6">
              <w:rPr>
                <w:rFonts w:cs="Arial"/>
                <w:b w:val="0"/>
                <w:sz w:val="24"/>
                <w:szCs w:val="24"/>
              </w:rPr>
              <w:t xml:space="preserve"> </w:t>
            </w:r>
            <w:r w:rsidR="00B66476" w:rsidRPr="006F5BA6">
              <w:rPr>
                <w:rFonts w:cs="Arial"/>
                <w:b w:val="0"/>
                <w:sz w:val="24"/>
                <w:szCs w:val="24"/>
              </w:rPr>
              <w:t>2024</w:t>
            </w:r>
          </w:p>
        </w:tc>
        <w:tc>
          <w:tcPr>
            <w:tcW w:w="2463" w:type="dxa"/>
          </w:tcPr>
          <w:p w:rsidR="008259FE" w:rsidRPr="006F5BA6" w:rsidRDefault="002E0239" w:rsidP="00962C20">
            <w:pPr>
              <w:pStyle w:val="SectionTitle"/>
              <w:spacing w:before="120" w:after="120"/>
              <w:rPr>
                <w:rFonts w:cs="Arial"/>
                <w:b w:val="0"/>
                <w:sz w:val="24"/>
                <w:szCs w:val="24"/>
              </w:rPr>
            </w:pPr>
            <w:r w:rsidRPr="006F5BA6">
              <w:rPr>
                <w:rFonts w:cs="Arial"/>
                <w:b w:val="0"/>
                <w:sz w:val="24"/>
                <w:szCs w:val="24"/>
              </w:rPr>
              <w:t>Head of Patient Safety and Improvement</w:t>
            </w:r>
          </w:p>
        </w:tc>
        <w:tc>
          <w:tcPr>
            <w:tcW w:w="943" w:type="dxa"/>
          </w:tcPr>
          <w:p w:rsidR="008259FE" w:rsidRPr="006F5BA6" w:rsidRDefault="0007344F" w:rsidP="00962C20">
            <w:pPr>
              <w:pStyle w:val="SectionTitle"/>
              <w:spacing w:before="120" w:after="120"/>
              <w:rPr>
                <w:rFonts w:cs="Arial"/>
                <w:b w:val="0"/>
                <w:sz w:val="24"/>
                <w:szCs w:val="24"/>
              </w:rPr>
            </w:pPr>
            <w:r w:rsidRPr="006F5BA6">
              <w:rPr>
                <w:rFonts w:cs="Arial"/>
                <w:b w:val="0"/>
                <w:sz w:val="24"/>
                <w:szCs w:val="24"/>
              </w:rPr>
              <w:t>Final</w:t>
            </w:r>
          </w:p>
        </w:tc>
        <w:tc>
          <w:tcPr>
            <w:tcW w:w="3572" w:type="dxa"/>
          </w:tcPr>
          <w:p w:rsidR="008259FE" w:rsidRPr="006F5BA6" w:rsidRDefault="00B66476" w:rsidP="00962C20">
            <w:pPr>
              <w:pStyle w:val="SectionTitle"/>
              <w:spacing w:before="120" w:after="120"/>
              <w:rPr>
                <w:rFonts w:cs="Arial"/>
                <w:b w:val="0"/>
                <w:sz w:val="24"/>
                <w:szCs w:val="24"/>
              </w:rPr>
            </w:pPr>
            <w:r w:rsidRPr="006F5BA6">
              <w:rPr>
                <w:rFonts w:cs="Arial"/>
                <w:b w:val="0"/>
                <w:sz w:val="24"/>
                <w:szCs w:val="24"/>
              </w:rPr>
              <w:t>New Policy</w:t>
            </w:r>
          </w:p>
        </w:tc>
      </w:tr>
      <w:tr w:rsidR="00AE674D" w:rsidRPr="006F5BA6" w:rsidTr="000E1A88">
        <w:trPr>
          <w:trHeight w:val="20"/>
        </w:trPr>
        <w:tc>
          <w:tcPr>
            <w:tcW w:w="1125" w:type="dxa"/>
          </w:tcPr>
          <w:p w:rsidR="00AE674D" w:rsidRPr="006F5BA6" w:rsidRDefault="00AE674D" w:rsidP="00962C20">
            <w:pPr>
              <w:pStyle w:val="SectionTitle"/>
              <w:spacing w:before="120" w:after="120"/>
              <w:rPr>
                <w:rFonts w:cs="Arial"/>
                <w:b w:val="0"/>
                <w:sz w:val="24"/>
                <w:szCs w:val="24"/>
              </w:rPr>
            </w:pPr>
          </w:p>
        </w:tc>
        <w:tc>
          <w:tcPr>
            <w:tcW w:w="1644" w:type="dxa"/>
          </w:tcPr>
          <w:p w:rsidR="00AE674D" w:rsidRPr="006F5BA6" w:rsidRDefault="00AE674D" w:rsidP="00962C20">
            <w:pPr>
              <w:pStyle w:val="SectionTitle"/>
              <w:spacing w:before="120" w:after="120"/>
              <w:rPr>
                <w:rFonts w:cs="Arial"/>
                <w:b w:val="0"/>
                <w:sz w:val="24"/>
                <w:szCs w:val="24"/>
              </w:rPr>
            </w:pPr>
          </w:p>
        </w:tc>
        <w:tc>
          <w:tcPr>
            <w:tcW w:w="2463" w:type="dxa"/>
          </w:tcPr>
          <w:p w:rsidR="00AE674D" w:rsidRPr="006F5BA6" w:rsidRDefault="00AE674D" w:rsidP="00962C20">
            <w:pPr>
              <w:pStyle w:val="SectionTitle"/>
              <w:spacing w:before="120" w:after="120"/>
              <w:rPr>
                <w:rFonts w:cs="Arial"/>
                <w:b w:val="0"/>
                <w:sz w:val="24"/>
                <w:szCs w:val="24"/>
              </w:rPr>
            </w:pPr>
          </w:p>
        </w:tc>
        <w:tc>
          <w:tcPr>
            <w:tcW w:w="943" w:type="dxa"/>
          </w:tcPr>
          <w:p w:rsidR="00AE674D" w:rsidRPr="006F5BA6" w:rsidRDefault="00AE674D" w:rsidP="00962C20">
            <w:pPr>
              <w:pStyle w:val="SectionTitle"/>
              <w:spacing w:before="120" w:after="120"/>
              <w:rPr>
                <w:rFonts w:cs="Arial"/>
                <w:b w:val="0"/>
                <w:sz w:val="24"/>
                <w:szCs w:val="24"/>
              </w:rPr>
            </w:pPr>
          </w:p>
        </w:tc>
        <w:tc>
          <w:tcPr>
            <w:tcW w:w="3572" w:type="dxa"/>
          </w:tcPr>
          <w:p w:rsidR="00AE674D" w:rsidRPr="006F5BA6" w:rsidRDefault="00AE674D" w:rsidP="00962C20">
            <w:pPr>
              <w:pStyle w:val="SectionTitle"/>
              <w:spacing w:before="120" w:after="120"/>
              <w:rPr>
                <w:rFonts w:cs="Arial"/>
                <w:b w:val="0"/>
                <w:sz w:val="24"/>
                <w:szCs w:val="24"/>
              </w:rPr>
            </w:pPr>
          </w:p>
        </w:tc>
      </w:tr>
    </w:tbl>
    <w:p w:rsidR="008259FE" w:rsidRPr="00273DE7" w:rsidRDefault="008259FE" w:rsidP="008259FE">
      <w:pPr>
        <w:pStyle w:val="SectionTitle"/>
        <w:rPr>
          <w:rFonts w:cs="Arial"/>
        </w:rPr>
      </w:pPr>
      <w:r w:rsidRPr="00273DE7">
        <w:rPr>
          <w:rFonts w:cs="Arial"/>
        </w:rPr>
        <w:t>Policy Reviewers</w:t>
      </w:r>
    </w:p>
    <w:p w:rsidR="00F56A43" w:rsidRPr="006F5BA6" w:rsidRDefault="00F56A43" w:rsidP="00F56A43">
      <w:pPr>
        <w:rPr>
          <w:rFonts w:cs="Arial"/>
          <w:szCs w:val="24"/>
        </w:rPr>
      </w:pPr>
      <w:r w:rsidRPr="006F5BA6">
        <w:rPr>
          <w:rFonts w:cs="Arial"/>
          <w:szCs w:val="24"/>
        </w:rPr>
        <w:t>If policy references children/young people or includes references to medicines policy must be reviewed by the relevant group.</w:t>
      </w:r>
    </w:p>
    <w:tbl>
      <w:tblPr>
        <w:tblStyle w:val="TableGrid"/>
        <w:tblW w:w="9747" w:type="dxa"/>
        <w:tblLook w:val="0620" w:firstRow="1" w:lastRow="0" w:firstColumn="0" w:lastColumn="0" w:noHBand="1" w:noVBand="1"/>
      </w:tblPr>
      <w:tblGrid>
        <w:gridCol w:w="7366"/>
        <w:gridCol w:w="2381"/>
      </w:tblGrid>
      <w:tr w:rsidR="008259FE" w:rsidRPr="006F5BA6" w:rsidTr="0019207A">
        <w:trPr>
          <w:trHeight w:val="397"/>
        </w:trPr>
        <w:tc>
          <w:tcPr>
            <w:tcW w:w="7366" w:type="dxa"/>
          </w:tcPr>
          <w:p w:rsidR="008259FE" w:rsidRPr="006F5BA6" w:rsidRDefault="008259FE" w:rsidP="00CB0C5C">
            <w:pPr>
              <w:pStyle w:val="SectionTitle"/>
              <w:spacing w:before="120" w:after="120"/>
              <w:rPr>
                <w:rFonts w:cs="Arial"/>
                <w:sz w:val="24"/>
                <w:szCs w:val="24"/>
              </w:rPr>
            </w:pPr>
            <w:r w:rsidRPr="006F5BA6">
              <w:rPr>
                <w:rFonts w:cs="Arial"/>
                <w:sz w:val="24"/>
                <w:szCs w:val="24"/>
              </w:rPr>
              <w:t xml:space="preserve">Title and </w:t>
            </w:r>
            <w:r w:rsidR="00765EDD" w:rsidRPr="006F5BA6">
              <w:rPr>
                <w:rFonts w:cs="Arial"/>
                <w:sz w:val="24"/>
                <w:szCs w:val="24"/>
              </w:rPr>
              <w:t>Care Group</w:t>
            </w:r>
            <w:r w:rsidRPr="006F5BA6">
              <w:rPr>
                <w:rFonts w:cs="Arial"/>
                <w:sz w:val="24"/>
                <w:szCs w:val="24"/>
              </w:rPr>
              <w:t xml:space="preserve"> of Individual</w:t>
            </w:r>
          </w:p>
        </w:tc>
        <w:tc>
          <w:tcPr>
            <w:tcW w:w="2381" w:type="dxa"/>
          </w:tcPr>
          <w:p w:rsidR="008259FE" w:rsidRPr="006F5BA6" w:rsidRDefault="008259FE" w:rsidP="00CB0C5C">
            <w:pPr>
              <w:pStyle w:val="SectionTitle"/>
              <w:spacing w:before="120" w:after="120"/>
              <w:rPr>
                <w:rFonts w:cs="Arial"/>
                <w:sz w:val="24"/>
                <w:szCs w:val="24"/>
              </w:rPr>
            </w:pPr>
            <w:r w:rsidRPr="006F5BA6">
              <w:rPr>
                <w:rFonts w:cs="Arial"/>
                <w:sz w:val="24"/>
                <w:szCs w:val="24"/>
              </w:rPr>
              <w:t>Date Consulted</w:t>
            </w:r>
          </w:p>
        </w:tc>
      </w:tr>
      <w:tr w:rsidR="008259FE" w:rsidRPr="006F5BA6" w:rsidTr="0019207A">
        <w:trPr>
          <w:trHeight w:val="397"/>
        </w:trPr>
        <w:tc>
          <w:tcPr>
            <w:tcW w:w="7366" w:type="dxa"/>
          </w:tcPr>
          <w:p w:rsidR="008259FE" w:rsidRPr="006F5BA6" w:rsidRDefault="00B66476" w:rsidP="00CB0C5C">
            <w:pPr>
              <w:pStyle w:val="SectionTitle"/>
              <w:spacing w:before="120" w:after="120"/>
              <w:rPr>
                <w:rFonts w:cs="Arial"/>
                <w:b w:val="0"/>
                <w:sz w:val="24"/>
                <w:szCs w:val="24"/>
              </w:rPr>
            </w:pPr>
            <w:r w:rsidRPr="006F5BA6">
              <w:rPr>
                <w:rFonts w:cs="Arial"/>
                <w:b w:val="0"/>
                <w:sz w:val="24"/>
                <w:szCs w:val="24"/>
              </w:rPr>
              <w:t xml:space="preserve">Head of </w:t>
            </w:r>
            <w:r w:rsidR="009964CC" w:rsidRPr="006F5BA6">
              <w:rPr>
                <w:rFonts w:cs="Arial"/>
                <w:b w:val="0"/>
                <w:sz w:val="24"/>
                <w:szCs w:val="24"/>
              </w:rPr>
              <w:t>Patient</w:t>
            </w:r>
            <w:r w:rsidRPr="006F5BA6">
              <w:rPr>
                <w:rFonts w:cs="Arial"/>
                <w:b w:val="0"/>
                <w:sz w:val="24"/>
                <w:szCs w:val="24"/>
              </w:rPr>
              <w:t xml:space="preserve"> Safety </w:t>
            </w:r>
            <w:r w:rsidR="00B4189D" w:rsidRPr="006F5BA6">
              <w:rPr>
                <w:rFonts w:cs="Arial"/>
                <w:b w:val="0"/>
                <w:sz w:val="24"/>
                <w:szCs w:val="24"/>
              </w:rPr>
              <w:t>and</w:t>
            </w:r>
            <w:r w:rsidRPr="006F5BA6">
              <w:rPr>
                <w:rFonts w:cs="Arial"/>
                <w:b w:val="0"/>
                <w:sz w:val="24"/>
                <w:szCs w:val="24"/>
              </w:rPr>
              <w:t xml:space="preserve"> Improvement, Quality Governance Directorate</w:t>
            </w:r>
          </w:p>
        </w:tc>
        <w:tc>
          <w:tcPr>
            <w:tcW w:w="2381" w:type="dxa"/>
          </w:tcPr>
          <w:p w:rsidR="008259FE" w:rsidRPr="006F5BA6" w:rsidRDefault="009964CC" w:rsidP="00CB0C5C">
            <w:pPr>
              <w:pStyle w:val="SectionTitle"/>
              <w:spacing w:before="120" w:after="120"/>
              <w:rPr>
                <w:rFonts w:cs="Arial"/>
                <w:b w:val="0"/>
                <w:sz w:val="24"/>
                <w:szCs w:val="24"/>
              </w:rPr>
            </w:pPr>
            <w:r w:rsidRPr="006F5BA6">
              <w:rPr>
                <w:rFonts w:cs="Arial"/>
                <w:b w:val="0"/>
                <w:sz w:val="24"/>
                <w:szCs w:val="24"/>
              </w:rPr>
              <w:t>24/03/2024</w:t>
            </w:r>
          </w:p>
        </w:tc>
      </w:tr>
      <w:tr w:rsidR="0071472D" w:rsidRPr="006F5BA6" w:rsidTr="0019207A">
        <w:trPr>
          <w:trHeight w:val="397"/>
        </w:trPr>
        <w:tc>
          <w:tcPr>
            <w:tcW w:w="7366" w:type="dxa"/>
          </w:tcPr>
          <w:p w:rsidR="0071472D" w:rsidRPr="006F5BA6" w:rsidRDefault="009964CC" w:rsidP="00CB0C5C">
            <w:pPr>
              <w:pStyle w:val="SectionTitle"/>
              <w:spacing w:before="120" w:after="120"/>
              <w:rPr>
                <w:rFonts w:cs="Arial"/>
                <w:b w:val="0"/>
                <w:sz w:val="24"/>
                <w:szCs w:val="24"/>
              </w:rPr>
            </w:pPr>
            <w:r w:rsidRPr="006F5BA6">
              <w:rPr>
                <w:rFonts w:cs="Arial"/>
                <w:b w:val="0"/>
                <w:sz w:val="24"/>
                <w:szCs w:val="24"/>
              </w:rPr>
              <w:t>Director of Quality Governance</w:t>
            </w:r>
            <w:r w:rsidR="004D3B3B" w:rsidRPr="006F5BA6">
              <w:rPr>
                <w:rFonts w:cs="Arial"/>
                <w:b w:val="0"/>
                <w:sz w:val="24"/>
                <w:szCs w:val="24"/>
              </w:rPr>
              <w:t>, Quality Governance Directorate</w:t>
            </w:r>
          </w:p>
        </w:tc>
        <w:tc>
          <w:tcPr>
            <w:tcW w:w="2381" w:type="dxa"/>
          </w:tcPr>
          <w:p w:rsidR="0071472D" w:rsidRPr="006F5BA6" w:rsidRDefault="009964CC" w:rsidP="00CB0C5C">
            <w:pPr>
              <w:pStyle w:val="SectionTitle"/>
              <w:spacing w:before="120" w:after="120"/>
              <w:rPr>
                <w:rFonts w:cs="Arial"/>
                <w:b w:val="0"/>
                <w:sz w:val="24"/>
                <w:szCs w:val="24"/>
              </w:rPr>
            </w:pPr>
            <w:r w:rsidRPr="006F5BA6">
              <w:rPr>
                <w:rFonts w:cs="Arial"/>
                <w:b w:val="0"/>
                <w:sz w:val="24"/>
                <w:szCs w:val="24"/>
              </w:rPr>
              <w:t>29/03/2024</w:t>
            </w:r>
          </w:p>
        </w:tc>
      </w:tr>
      <w:tr w:rsidR="00B66476" w:rsidRPr="006F5BA6" w:rsidTr="0019207A">
        <w:trPr>
          <w:trHeight w:val="397"/>
        </w:trPr>
        <w:tc>
          <w:tcPr>
            <w:tcW w:w="7366" w:type="dxa"/>
          </w:tcPr>
          <w:p w:rsidR="00B66476" w:rsidRPr="006F5BA6" w:rsidRDefault="009964CC" w:rsidP="00CB0C5C">
            <w:pPr>
              <w:pStyle w:val="SectionTitle"/>
              <w:spacing w:before="120" w:after="120"/>
              <w:rPr>
                <w:rFonts w:cs="Arial"/>
                <w:b w:val="0"/>
                <w:sz w:val="24"/>
                <w:szCs w:val="24"/>
              </w:rPr>
            </w:pPr>
            <w:r w:rsidRPr="006F5BA6">
              <w:rPr>
                <w:rFonts w:cs="Arial"/>
                <w:b w:val="0"/>
                <w:sz w:val="24"/>
                <w:szCs w:val="24"/>
              </w:rPr>
              <w:t>Patient Safety Leads</w:t>
            </w:r>
          </w:p>
        </w:tc>
        <w:tc>
          <w:tcPr>
            <w:tcW w:w="2381" w:type="dxa"/>
          </w:tcPr>
          <w:p w:rsidR="00B66476" w:rsidRPr="006F5BA6" w:rsidRDefault="009964CC" w:rsidP="00CB0C5C">
            <w:pPr>
              <w:pStyle w:val="SectionTitle"/>
              <w:spacing w:before="120" w:after="120"/>
              <w:rPr>
                <w:rFonts w:cs="Arial"/>
                <w:b w:val="0"/>
                <w:sz w:val="24"/>
                <w:szCs w:val="24"/>
              </w:rPr>
            </w:pPr>
            <w:r w:rsidRPr="006F5BA6">
              <w:rPr>
                <w:rFonts w:cs="Arial"/>
                <w:b w:val="0"/>
                <w:sz w:val="24"/>
                <w:szCs w:val="24"/>
              </w:rPr>
              <w:t>22/02/2024</w:t>
            </w:r>
          </w:p>
        </w:tc>
      </w:tr>
      <w:tr w:rsidR="00B66476" w:rsidRPr="006F5BA6" w:rsidTr="0019207A">
        <w:trPr>
          <w:trHeight w:val="397"/>
        </w:trPr>
        <w:tc>
          <w:tcPr>
            <w:tcW w:w="7366" w:type="dxa"/>
          </w:tcPr>
          <w:p w:rsidR="00B66476" w:rsidRPr="006F5BA6" w:rsidRDefault="000D6DD3" w:rsidP="00CB0C5C">
            <w:pPr>
              <w:pStyle w:val="SectionTitle"/>
              <w:spacing w:before="120" w:after="120"/>
              <w:rPr>
                <w:rFonts w:cs="Arial"/>
                <w:b w:val="0"/>
                <w:sz w:val="24"/>
                <w:szCs w:val="24"/>
              </w:rPr>
            </w:pPr>
            <w:r w:rsidRPr="006F5BA6">
              <w:rPr>
                <w:rFonts w:cs="Arial"/>
                <w:b w:val="0"/>
                <w:sz w:val="24"/>
                <w:szCs w:val="24"/>
              </w:rPr>
              <w:t xml:space="preserve">Deputy Director of Quality and Governance </w:t>
            </w:r>
          </w:p>
        </w:tc>
        <w:tc>
          <w:tcPr>
            <w:tcW w:w="2381" w:type="dxa"/>
          </w:tcPr>
          <w:p w:rsidR="00B66476" w:rsidRPr="006F5BA6" w:rsidRDefault="000D6DD3" w:rsidP="00CB0C5C">
            <w:pPr>
              <w:pStyle w:val="SectionTitle"/>
              <w:spacing w:before="120" w:after="120"/>
              <w:rPr>
                <w:rFonts w:cs="Arial"/>
                <w:b w:val="0"/>
                <w:sz w:val="24"/>
                <w:szCs w:val="24"/>
              </w:rPr>
            </w:pPr>
            <w:r w:rsidRPr="006F5BA6">
              <w:rPr>
                <w:rFonts w:cs="Arial"/>
                <w:b w:val="0"/>
                <w:sz w:val="24"/>
                <w:szCs w:val="24"/>
              </w:rPr>
              <w:t>24/03/2024</w:t>
            </w:r>
          </w:p>
        </w:tc>
      </w:tr>
      <w:tr w:rsidR="000D6DD3" w:rsidRPr="006F5BA6" w:rsidTr="0019207A">
        <w:trPr>
          <w:trHeight w:val="397"/>
        </w:trPr>
        <w:tc>
          <w:tcPr>
            <w:tcW w:w="7366" w:type="dxa"/>
          </w:tcPr>
          <w:p w:rsidR="000D6DD3" w:rsidRPr="006F5BA6" w:rsidRDefault="000D6DD3" w:rsidP="00CB0C5C">
            <w:pPr>
              <w:pStyle w:val="SectionTitle"/>
              <w:spacing w:before="120" w:after="120"/>
              <w:rPr>
                <w:rFonts w:cs="Arial"/>
                <w:b w:val="0"/>
                <w:sz w:val="24"/>
                <w:szCs w:val="24"/>
              </w:rPr>
            </w:pPr>
            <w:r w:rsidRPr="006F5BA6">
              <w:rPr>
                <w:rFonts w:cs="Arial"/>
                <w:b w:val="0"/>
                <w:sz w:val="24"/>
                <w:szCs w:val="24"/>
              </w:rPr>
              <w:t>Associate Director of Safeguarding</w:t>
            </w:r>
          </w:p>
        </w:tc>
        <w:tc>
          <w:tcPr>
            <w:tcW w:w="2381" w:type="dxa"/>
          </w:tcPr>
          <w:p w:rsidR="000D6DD3" w:rsidRPr="006F5BA6" w:rsidRDefault="000D6DD3" w:rsidP="00CB0C5C">
            <w:pPr>
              <w:pStyle w:val="SectionTitle"/>
              <w:spacing w:before="120" w:after="120"/>
              <w:rPr>
                <w:rFonts w:cs="Arial"/>
                <w:b w:val="0"/>
                <w:sz w:val="24"/>
                <w:szCs w:val="24"/>
              </w:rPr>
            </w:pPr>
            <w:r w:rsidRPr="006F5BA6">
              <w:rPr>
                <w:rFonts w:cs="Arial"/>
                <w:b w:val="0"/>
                <w:sz w:val="24"/>
                <w:szCs w:val="24"/>
              </w:rPr>
              <w:t>24/06/2024</w:t>
            </w:r>
          </w:p>
        </w:tc>
      </w:tr>
    </w:tbl>
    <w:p w:rsidR="008259FE" w:rsidRPr="006F5BA6" w:rsidRDefault="008259FE" w:rsidP="00962C20">
      <w:pPr>
        <w:pStyle w:val="SectionTitle"/>
        <w:spacing w:before="0"/>
        <w:rPr>
          <w:rFonts w:cs="Arial"/>
          <w:sz w:val="24"/>
          <w:szCs w:val="24"/>
        </w:rPr>
      </w:pPr>
    </w:p>
    <w:tbl>
      <w:tblPr>
        <w:tblStyle w:val="TableGrid"/>
        <w:tblW w:w="9747" w:type="dxa"/>
        <w:tblLook w:val="0620" w:firstRow="1" w:lastRow="0" w:firstColumn="0" w:lastColumn="0" w:noHBand="1" w:noVBand="1"/>
      </w:tblPr>
      <w:tblGrid>
        <w:gridCol w:w="7366"/>
        <w:gridCol w:w="2381"/>
      </w:tblGrid>
      <w:tr w:rsidR="008259FE" w:rsidRPr="006F5BA6" w:rsidTr="0019207A">
        <w:trPr>
          <w:trHeight w:val="397"/>
        </w:trPr>
        <w:tc>
          <w:tcPr>
            <w:tcW w:w="7366" w:type="dxa"/>
          </w:tcPr>
          <w:p w:rsidR="008259FE" w:rsidRPr="006F5BA6" w:rsidRDefault="008259FE" w:rsidP="00CB0C5C">
            <w:pPr>
              <w:pStyle w:val="SectionTitle"/>
              <w:spacing w:before="120" w:after="120"/>
              <w:rPr>
                <w:rFonts w:cs="Arial"/>
                <w:sz w:val="24"/>
                <w:szCs w:val="24"/>
              </w:rPr>
            </w:pPr>
            <w:r w:rsidRPr="006F5BA6">
              <w:rPr>
                <w:rFonts w:cs="Arial"/>
                <w:sz w:val="24"/>
                <w:szCs w:val="24"/>
              </w:rPr>
              <w:t>Name of Committee</w:t>
            </w:r>
          </w:p>
        </w:tc>
        <w:tc>
          <w:tcPr>
            <w:tcW w:w="2381" w:type="dxa"/>
          </w:tcPr>
          <w:p w:rsidR="008259FE" w:rsidRPr="006F5BA6" w:rsidRDefault="008259FE" w:rsidP="00CB0C5C">
            <w:pPr>
              <w:pStyle w:val="SectionTitle"/>
              <w:spacing w:before="120" w:after="120"/>
              <w:rPr>
                <w:rFonts w:cs="Arial"/>
                <w:sz w:val="24"/>
                <w:szCs w:val="24"/>
              </w:rPr>
            </w:pPr>
            <w:r w:rsidRPr="006F5BA6">
              <w:rPr>
                <w:rFonts w:cs="Arial"/>
                <w:sz w:val="24"/>
                <w:szCs w:val="24"/>
              </w:rPr>
              <w:t>Date Reviewed</w:t>
            </w:r>
          </w:p>
        </w:tc>
      </w:tr>
      <w:tr w:rsidR="008259FE" w:rsidRPr="006F5BA6" w:rsidTr="0019207A">
        <w:trPr>
          <w:trHeight w:val="397"/>
        </w:trPr>
        <w:tc>
          <w:tcPr>
            <w:tcW w:w="7366" w:type="dxa"/>
          </w:tcPr>
          <w:p w:rsidR="008259FE" w:rsidRPr="006F5BA6" w:rsidRDefault="0007344F" w:rsidP="00CB0C5C">
            <w:pPr>
              <w:pStyle w:val="SectionTitle"/>
              <w:spacing w:before="120" w:after="120"/>
              <w:rPr>
                <w:rFonts w:cs="Arial"/>
                <w:b w:val="0"/>
                <w:sz w:val="24"/>
                <w:szCs w:val="24"/>
              </w:rPr>
            </w:pPr>
            <w:r w:rsidRPr="006F5BA6">
              <w:rPr>
                <w:rFonts w:cs="Arial"/>
                <w:b w:val="0"/>
                <w:sz w:val="24"/>
                <w:szCs w:val="24"/>
              </w:rPr>
              <w:t>Quality &amp; Safety Committee</w:t>
            </w:r>
          </w:p>
        </w:tc>
        <w:tc>
          <w:tcPr>
            <w:tcW w:w="2381" w:type="dxa"/>
          </w:tcPr>
          <w:p w:rsidR="008259FE" w:rsidRPr="006F5BA6" w:rsidRDefault="009964CC" w:rsidP="00CB0C5C">
            <w:pPr>
              <w:pStyle w:val="SectionTitle"/>
              <w:spacing w:before="120" w:after="120"/>
              <w:rPr>
                <w:rFonts w:cs="Arial"/>
                <w:b w:val="0"/>
                <w:sz w:val="24"/>
                <w:szCs w:val="24"/>
              </w:rPr>
            </w:pPr>
            <w:r w:rsidRPr="006F5BA6">
              <w:rPr>
                <w:rFonts w:cs="Arial"/>
                <w:b w:val="0"/>
                <w:sz w:val="24"/>
                <w:szCs w:val="24"/>
              </w:rPr>
              <w:t>02/04/2024</w:t>
            </w:r>
          </w:p>
        </w:tc>
      </w:tr>
      <w:tr w:rsidR="00B66476" w:rsidRPr="006F5BA6" w:rsidTr="0019207A">
        <w:trPr>
          <w:trHeight w:val="397"/>
        </w:trPr>
        <w:tc>
          <w:tcPr>
            <w:tcW w:w="7366" w:type="dxa"/>
          </w:tcPr>
          <w:p w:rsidR="00B66476" w:rsidRPr="006F5BA6" w:rsidRDefault="00B66476" w:rsidP="00CB0C5C">
            <w:pPr>
              <w:pStyle w:val="SectionTitle"/>
              <w:spacing w:before="120" w:after="120"/>
              <w:rPr>
                <w:rFonts w:cs="Arial"/>
                <w:b w:val="0"/>
                <w:sz w:val="24"/>
                <w:szCs w:val="24"/>
              </w:rPr>
            </w:pPr>
            <w:r w:rsidRPr="006F5BA6">
              <w:rPr>
                <w:rFonts w:cs="Arial"/>
                <w:b w:val="0"/>
                <w:sz w:val="24"/>
                <w:szCs w:val="24"/>
              </w:rPr>
              <w:t>Policy Authorisation Group</w:t>
            </w:r>
          </w:p>
        </w:tc>
        <w:tc>
          <w:tcPr>
            <w:tcW w:w="2381" w:type="dxa"/>
          </w:tcPr>
          <w:p w:rsidR="00B66476" w:rsidRPr="006F5BA6" w:rsidRDefault="00EB6E4F" w:rsidP="00CB0C5C">
            <w:pPr>
              <w:pStyle w:val="SectionTitle"/>
              <w:spacing w:before="120" w:after="120"/>
              <w:rPr>
                <w:rFonts w:cs="Arial"/>
                <w:b w:val="0"/>
                <w:sz w:val="24"/>
                <w:szCs w:val="24"/>
                <w:highlight w:val="yellow"/>
              </w:rPr>
            </w:pPr>
            <w:r w:rsidRPr="006F5BA6">
              <w:rPr>
                <w:b w:val="0"/>
                <w:sz w:val="24"/>
                <w:szCs w:val="24"/>
              </w:rPr>
              <w:t>27/08/2024</w:t>
            </w:r>
          </w:p>
        </w:tc>
      </w:tr>
    </w:tbl>
    <w:p w:rsidR="008259FE" w:rsidRPr="00273DE7" w:rsidRDefault="008259FE" w:rsidP="008259FE">
      <w:pPr>
        <w:pStyle w:val="SectionTitle"/>
        <w:rPr>
          <w:rFonts w:cs="Arial"/>
        </w:rPr>
      </w:pPr>
      <w:r w:rsidRPr="00273DE7">
        <w:rPr>
          <w:rFonts w:cs="Arial"/>
        </w:rPr>
        <w:t>Summary of Key Changes from Last Approved Version</w:t>
      </w:r>
    </w:p>
    <w:p w:rsidR="00962C20" w:rsidRPr="006F5BA6" w:rsidRDefault="00CB0C5C" w:rsidP="00147164">
      <w:pPr>
        <w:spacing w:before="120"/>
        <w:rPr>
          <w:rFonts w:cs="Arial"/>
          <w:szCs w:val="24"/>
        </w:rPr>
      </w:pPr>
      <w:r>
        <w:rPr>
          <w:rFonts w:cs="Arial"/>
          <w:szCs w:val="24"/>
        </w:rPr>
        <w:t xml:space="preserve">Not applicable - </w:t>
      </w:r>
      <w:r w:rsidR="00BA5345" w:rsidRPr="006F5BA6">
        <w:rPr>
          <w:rFonts w:cs="Arial"/>
          <w:szCs w:val="24"/>
        </w:rPr>
        <w:t>New policy</w:t>
      </w:r>
    </w:p>
    <w:p w:rsidR="008259FE" w:rsidRPr="00273DE7" w:rsidRDefault="008259FE" w:rsidP="0071385C">
      <w:pPr>
        <w:pStyle w:val="SectionTitle"/>
        <w:spacing w:before="360"/>
        <w:rPr>
          <w:rFonts w:cs="Arial"/>
        </w:rPr>
      </w:pPr>
      <w:r w:rsidRPr="00273DE7">
        <w:rPr>
          <w:rFonts w:cs="Arial"/>
        </w:rPr>
        <w:t>Associated Documentation</w:t>
      </w:r>
    </w:p>
    <w:p w:rsidR="00273DE7" w:rsidRPr="006F5BA6" w:rsidRDefault="00273DE7" w:rsidP="00273DE7">
      <w:pPr>
        <w:spacing w:before="80" w:after="80"/>
        <w:rPr>
          <w:rFonts w:cs="Arial"/>
          <w:szCs w:val="24"/>
        </w:rPr>
      </w:pPr>
      <w:r w:rsidRPr="006F5BA6">
        <w:rPr>
          <w:rFonts w:cs="Arial"/>
          <w:szCs w:val="24"/>
        </w:rPr>
        <w:t>Incident Management Policy</w:t>
      </w:r>
    </w:p>
    <w:p w:rsidR="009D7447" w:rsidRPr="006F5BA6" w:rsidRDefault="00BA5345" w:rsidP="00273DE7">
      <w:pPr>
        <w:spacing w:before="80" w:after="80"/>
        <w:rPr>
          <w:rFonts w:cs="Arial"/>
          <w:szCs w:val="24"/>
        </w:rPr>
      </w:pPr>
      <w:r w:rsidRPr="006F5BA6">
        <w:rPr>
          <w:rFonts w:cs="Arial"/>
          <w:szCs w:val="24"/>
        </w:rPr>
        <w:t>Complaints Management Policy</w:t>
      </w:r>
    </w:p>
    <w:p w:rsidR="00BA5345" w:rsidRPr="006F5BA6" w:rsidRDefault="00BA5345" w:rsidP="00273DE7">
      <w:pPr>
        <w:spacing w:before="80" w:after="80"/>
        <w:rPr>
          <w:rFonts w:cs="Arial"/>
          <w:szCs w:val="24"/>
        </w:rPr>
      </w:pPr>
      <w:r w:rsidRPr="006F5BA6">
        <w:rPr>
          <w:rFonts w:cs="Arial"/>
          <w:szCs w:val="24"/>
        </w:rPr>
        <w:t>Patient Safety Incident Response Plan</w:t>
      </w:r>
    </w:p>
    <w:p w:rsidR="00D00CD5" w:rsidRPr="00EB6E4F" w:rsidRDefault="00D40ED0" w:rsidP="001C1840">
      <w:pPr>
        <w:pStyle w:val="SectionTitle"/>
        <w:pageBreakBefore/>
        <w:spacing w:after="240"/>
        <w:rPr>
          <w:noProof/>
          <w:sz w:val="24"/>
          <w:szCs w:val="24"/>
        </w:rPr>
      </w:pPr>
      <w:r>
        <w:lastRenderedPageBreak/>
        <w:t>Contents</w:t>
      </w:r>
      <w:r w:rsidR="000A1E88" w:rsidRPr="00EB6E4F">
        <w:rPr>
          <w:sz w:val="24"/>
          <w:szCs w:val="24"/>
        </w:rPr>
        <w:fldChar w:fldCharType="begin"/>
      </w:r>
      <w:r w:rsidR="000A1E88" w:rsidRPr="00EB6E4F">
        <w:rPr>
          <w:sz w:val="24"/>
          <w:szCs w:val="24"/>
        </w:rPr>
        <w:instrText xml:space="preserve"> TOC \o "1-3" \h \z \u </w:instrText>
      </w:r>
      <w:r w:rsidR="000A1E88" w:rsidRPr="00EB6E4F">
        <w:rPr>
          <w:sz w:val="24"/>
          <w:szCs w:val="24"/>
        </w:rPr>
        <w:fldChar w:fldCharType="separate"/>
      </w:r>
    </w:p>
    <w:p w:rsidR="00D00CD5" w:rsidRPr="00EB6E4F" w:rsidRDefault="00E97DB2">
      <w:pPr>
        <w:pStyle w:val="TOC1"/>
        <w:rPr>
          <w:rFonts w:eastAsiaTheme="minorEastAsia"/>
          <w:noProof/>
          <w:szCs w:val="24"/>
          <w:lang w:eastAsia="en-GB"/>
        </w:rPr>
      </w:pPr>
      <w:hyperlink w:anchor="_Toc166674428" w:history="1">
        <w:r w:rsidR="00D00CD5" w:rsidRPr="00EB6E4F">
          <w:rPr>
            <w:rStyle w:val="Hyperlink"/>
            <w:noProof/>
            <w:szCs w:val="24"/>
          </w:rPr>
          <w:t>1.</w:t>
        </w:r>
        <w:r w:rsidR="00D00CD5" w:rsidRPr="00EB6E4F">
          <w:rPr>
            <w:rFonts w:eastAsiaTheme="minorEastAsia"/>
            <w:noProof/>
            <w:szCs w:val="24"/>
            <w:lang w:eastAsia="en-GB"/>
          </w:rPr>
          <w:tab/>
        </w:r>
        <w:r w:rsidR="00D00CD5" w:rsidRPr="00EB6E4F">
          <w:rPr>
            <w:rStyle w:val="Hyperlink"/>
            <w:noProof/>
            <w:szCs w:val="24"/>
          </w:rPr>
          <w:t>Policy Description</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_Toc166674428 \h </w:instrText>
        </w:r>
        <w:r w:rsidR="00D00CD5" w:rsidRPr="00EB6E4F">
          <w:rPr>
            <w:noProof/>
            <w:webHidden/>
            <w:szCs w:val="24"/>
          </w:rPr>
        </w:r>
        <w:r w:rsidR="00D00CD5" w:rsidRPr="00EB6E4F">
          <w:rPr>
            <w:noProof/>
            <w:webHidden/>
            <w:szCs w:val="24"/>
          </w:rPr>
          <w:fldChar w:fldCharType="separate"/>
        </w:r>
        <w:r w:rsidR="00166603">
          <w:rPr>
            <w:noProof/>
            <w:webHidden/>
            <w:szCs w:val="24"/>
          </w:rPr>
          <w:t>4</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29" w:history="1">
        <w:r w:rsidR="00D00CD5" w:rsidRPr="00EB6E4F">
          <w:rPr>
            <w:rStyle w:val="Hyperlink"/>
            <w:noProof/>
            <w:szCs w:val="24"/>
          </w:rPr>
          <w:t>2.</w:t>
        </w:r>
        <w:r w:rsidR="00D00CD5" w:rsidRPr="00EB6E4F">
          <w:rPr>
            <w:rFonts w:eastAsiaTheme="minorEastAsia"/>
            <w:noProof/>
            <w:szCs w:val="24"/>
            <w:lang w:eastAsia="en-GB"/>
          </w:rPr>
          <w:tab/>
        </w:r>
        <w:r w:rsidR="00D00CD5" w:rsidRPr="00EB6E4F">
          <w:rPr>
            <w:rStyle w:val="Hyperlink"/>
            <w:noProof/>
            <w:szCs w:val="24"/>
          </w:rPr>
          <w:t>Introduction</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_Toc166674429 \h </w:instrText>
        </w:r>
        <w:r w:rsidR="00D00CD5" w:rsidRPr="00EB6E4F">
          <w:rPr>
            <w:noProof/>
            <w:webHidden/>
            <w:szCs w:val="24"/>
          </w:rPr>
        </w:r>
        <w:r w:rsidR="00D00CD5" w:rsidRPr="00EB6E4F">
          <w:rPr>
            <w:noProof/>
            <w:webHidden/>
            <w:szCs w:val="24"/>
          </w:rPr>
          <w:fldChar w:fldCharType="separate"/>
        </w:r>
        <w:r w:rsidR="00166603">
          <w:rPr>
            <w:noProof/>
            <w:webHidden/>
            <w:szCs w:val="24"/>
          </w:rPr>
          <w:t>4</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30" w:history="1">
        <w:r w:rsidR="00D00CD5" w:rsidRPr="00EB6E4F">
          <w:rPr>
            <w:rStyle w:val="Hyperlink"/>
            <w:noProof/>
            <w:szCs w:val="24"/>
          </w:rPr>
          <w:t>3.</w:t>
        </w:r>
        <w:r w:rsidR="00D00CD5" w:rsidRPr="00EB6E4F">
          <w:rPr>
            <w:rFonts w:eastAsiaTheme="minorEastAsia"/>
            <w:noProof/>
            <w:szCs w:val="24"/>
            <w:lang w:eastAsia="en-GB"/>
          </w:rPr>
          <w:tab/>
        </w:r>
        <w:r w:rsidR="00D00CD5" w:rsidRPr="00EB6E4F">
          <w:rPr>
            <w:rStyle w:val="Hyperlink"/>
            <w:noProof/>
            <w:szCs w:val="24"/>
          </w:rPr>
          <w:t>Definitions</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_Toc166674430 \h </w:instrText>
        </w:r>
        <w:r w:rsidR="00D00CD5" w:rsidRPr="00EB6E4F">
          <w:rPr>
            <w:noProof/>
            <w:webHidden/>
            <w:szCs w:val="24"/>
          </w:rPr>
        </w:r>
        <w:r w:rsidR="00D00CD5" w:rsidRPr="00EB6E4F">
          <w:rPr>
            <w:noProof/>
            <w:webHidden/>
            <w:szCs w:val="24"/>
          </w:rPr>
          <w:fldChar w:fldCharType="separate"/>
        </w:r>
        <w:r w:rsidR="00166603">
          <w:rPr>
            <w:noProof/>
            <w:webHidden/>
            <w:szCs w:val="24"/>
          </w:rPr>
          <w:t>4</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31" w:history="1">
        <w:r w:rsidR="00D00CD5" w:rsidRPr="00EB6E4F">
          <w:rPr>
            <w:rStyle w:val="Hyperlink"/>
            <w:noProof/>
            <w:szCs w:val="24"/>
          </w:rPr>
          <w:t>4.</w:t>
        </w:r>
        <w:r w:rsidR="00D00CD5" w:rsidRPr="00EB6E4F">
          <w:rPr>
            <w:rFonts w:eastAsiaTheme="minorEastAsia"/>
            <w:noProof/>
            <w:szCs w:val="24"/>
            <w:lang w:eastAsia="en-GB"/>
          </w:rPr>
          <w:tab/>
        </w:r>
        <w:r w:rsidR="00D00CD5" w:rsidRPr="00EB6E4F">
          <w:rPr>
            <w:rStyle w:val="Hyperlink"/>
            <w:noProof/>
            <w:szCs w:val="24"/>
          </w:rPr>
          <w:t>Purpose and Scope</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_Toc166674431 \h </w:instrText>
        </w:r>
        <w:r w:rsidR="00D00CD5" w:rsidRPr="00EB6E4F">
          <w:rPr>
            <w:noProof/>
            <w:webHidden/>
            <w:szCs w:val="24"/>
          </w:rPr>
        </w:r>
        <w:r w:rsidR="00D00CD5" w:rsidRPr="00EB6E4F">
          <w:rPr>
            <w:noProof/>
            <w:webHidden/>
            <w:szCs w:val="24"/>
          </w:rPr>
          <w:fldChar w:fldCharType="separate"/>
        </w:r>
        <w:r w:rsidR="00166603">
          <w:rPr>
            <w:noProof/>
            <w:webHidden/>
            <w:szCs w:val="24"/>
          </w:rPr>
          <w:t>5</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32" w:history="1">
        <w:r w:rsidR="00D00CD5" w:rsidRPr="00EB6E4F">
          <w:rPr>
            <w:rStyle w:val="Hyperlink"/>
            <w:noProof/>
            <w:szCs w:val="24"/>
          </w:rPr>
          <w:t>5.</w:t>
        </w:r>
        <w:r w:rsidR="00D00CD5" w:rsidRPr="00EB6E4F">
          <w:rPr>
            <w:rFonts w:eastAsiaTheme="minorEastAsia"/>
            <w:noProof/>
            <w:szCs w:val="24"/>
            <w:lang w:eastAsia="en-GB"/>
          </w:rPr>
          <w:tab/>
        </w:r>
        <w:r w:rsidR="00D00CD5" w:rsidRPr="00EB6E4F">
          <w:rPr>
            <w:rStyle w:val="Hyperlink"/>
            <w:noProof/>
            <w:szCs w:val="24"/>
          </w:rPr>
          <w:t>Duties</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_Toc166674432 \h </w:instrText>
        </w:r>
        <w:r w:rsidR="00D00CD5" w:rsidRPr="00EB6E4F">
          <w:rPr>
            <w:noProof/>
            <w:webHidden/>
            <w:szCs w:val="24"/>
          </w:rPr>
        </w:r>
        <w:r w:rsidR="00D00CD5" w:rsidRPr="00EB6E4F">
          <w:rPr>
            <w:noProof/>
            <w:webHidden/>
            <w:szCs w:val="24"/>
          </w:rPr>
          <w:fldChar w:fldCharType="separate"/>
        </w:r>
        <w:r w:rsidR="00166603">
          <w:rPr>
            <w:noProof/>
            <w:webHidden/>
            <w:szCs w:val="24"/>
          </w:rPr>
          <w:t>5</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33" w:history="1">
        <w:r w:rsidR="00D00CD5" w:rsidRPr="00EB6E4F">
          <w:rPr>
            <w:rStyle w:val="Hyperlink"/>
            <w:noProof/>
            <w:szCs w:val="24"/>
          </w:rPr>
          <w:t>6.</w:t>
        </w:r>
        <w:r w:rsidR="00D00CD5" w:rsidRPr="00EB6E4F">
          <w:rPr>
            <w:rFonts w:eastAsiaTheme="minorEastAsia"/>
            <w:noProof/>
            <w:szCs w:val="24"/>
            <w:lang w:eastAsia="en-GB"/>
          </w:rPr>
          <w:tab/>
        </w:r>
        <w:r w:rsidR="00D00CD5" w:rsidRPr="00EB6E4F">
          <w:rPr>
            <w:rStyle w:val="Hyperlink"/>
            <w:noProof/>
            <w:szCs w:val="24"/>
          </w:rPr>
          <w:t>Patient Safety Culture</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_Toc166674433 \h </w:instrText>
        </w:r>
        <w:r w:rsidR="00D00CD5" w:rsidRPr="00EB6E4F">
          <w:rPr>
            <w:noProof/>
            <w:webHidden/>
            <w:szCs w:val="24"/>
          </w:rPr>
        </w:r>
        <w:r w:rsidR="00D00CD5" w:rsidRPr="00EB6E4F">
          <w:rPr>
            <w:noProof/>
            <w:webHidden/>
            <w:szCs w:val="24"/>
          </w:rPr>
          <w:fldChar w:fldCharType="separate"/>
        </w:r>
        <w:r w:rsidR="00166603">
          <w:rPr>
            <w:noProof/>
            <w:webHidden/>
            <w:szCs w:val="24"/>
          </w:rPr>
          <w:t>7</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34" w:history="1">
        <w:r w:rsidR="00D00CD5" w:rsidRPr="00EB6E4F">
          <w:rPr>
            <w:rStyle w:val="Hyperlink"/>
            <w:noProof/>
            <w:szCs w:val="24"/>
          </w:rPr>
          <w:t>7.</w:t>
        </w:r>
        <w:r w:rsidR="00D00CD5" w:rsidRPr="00EB6E4F">
          <w:rPr>
            <w:rFonts w:eastAsiaTheme="minorEastAsia"/>
            <w:noProof/>
            <w:szCs w:val="24"/>
            <w:lang w:eastAsia="en-GB"/>
          </w:rPr>
          <w:tab/>
        </w:r>
        <w:r w:rsidR="00D00CD5" w:rsidRPr="00EB6E4F">
          <w:rPr>
            <w:rStyle w:val="Hyperlink"/>
            <w:noProof/>
            <w:szCs w:val="24"/>
          </w:rPr>
          <w:t>Patient Safety Partners</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_Toc166674434 \h </w:instrText>
        </w:r>
        <w:r w:rsidR="00D00CD5" w:rsidRPr="00EB6E4F">
          <w:rPr>
            <w:noProof/>
            <w:webHidden/>
            <w:szCs w:val="24"/>
          </w:rPr>
        </w:r>
        <w:r w:rsidR="00D00CD5" w:rsidRPr="00EB6E4F">
          <w:rPr>
            <w:noProof/>
            <w:webHidden/>
            <w:szCs w:val="24"/>
          </w:rPr>
          <w:fldChar w:fldCharType="separate"/>
        </w:r>
        <w:r w:rsidR="00166603">
          <w:rPr>
            <w:noProof/>
            <w:webHidden/>
            <w:szCs w:val="24"/>
          </w:rPr>
          <w:t>8</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35" w:history="1">
        <w:r w:rsidR="00D00CD5" w:rsidRPr="00EB6E4F">
          <w:rPr>
            <w:rStyle w:val="Hyperlink"/>
            <w:noProof/>
            <w:szCs w:val="24"/>
          </w:rPr>
          <w:t>8.</w:t>
        </w:r>
        <w:r w:rsidR="00D00CD5" w:rsidRPr="00EB6E4F">
          <w:rPr>
            <w:rFonts w:eastAsiaTheme="minorEastAsia"/>
            <w:noProof/>
            <w:szCs w:val="24"/>
            <w:lang w:eastAsia="en-GB"/>
          </w:rPr>
          <w:tab/>
        </w:r>
        <w:r w:rsidR="00D00CD5" w:rsidRPr="00EB6E4F">
          <w:rPr>
            <w:rStyle w:val="Hyperlink"/>
            <w:noProof/>
            <w:szCs w:val="24"/>
          </w:rPr>
          <w:t>Addressing Health Inequalities</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_Toc166674435 \h </w:instrText>
        </w:r>
        <w:r w:rsidR="00D00CD5" w:rsidRPr="00EB6E4F">
          <w:rPr>
            <w:noProof/>
            <w:webHidden/>
            <w:szCs w:val="24"/>
          </w:rPr>
        </w:r>
        <w:r w:rsidR="00D00CD5" w:rsidRPr="00EB6E4F">
          <w:rPr>
            <w:noProof/>
            <w:webHidden/>
            <w:szCs w:val="24"/>
          </w:rPr>
          <w:fldChar w:fldCharType="separate"/>
        </w:r>
        <w:r w:rsidR="00166603">
          <w:rPr>
            <w:noProof/>
            <w:webHidden/>
            <w:szCs w:val="24"/>
          </w:rPr>
          <w:t>9</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36" w:history="1">
        <w:r w:rsidR="00D00CD5" w:rsidRPr="00EB6E4F">
          <w:rPr>
            <w:rStyle w:val="Hyperlink"/>
            <w:noProof/>
            <w:szCs w:val="24"/>
          </w:rPr>
          <w:t>9.</w:t>
        </w:r>
        <w:r w:rsidR="00D00CD5" w:rsidRPr="00EB6E4F">
          <w:rPr>
            <w:rFonts w:eastAsiaTheme="minorEastAsia"/>
            <w:noProof/>
            <w:szCs w:val="24"/>
            <w:lang w:eastAsia="en-GB"/>
          </w:rPr>
          <w:tab/>
        </w:r>
        <w:r w:rsidR="00D00CD5" w:rsidRPr="00EB6E4F">
          <w:rPr>
            <w:rStyle w:val="Hyperlink"/>
            <w:noProof/>
            <w:szCs w:val="24"/>
          </w:rPr>
          <w:t>Engaging and Involving Patients, Families and Staff Following a Patient Safety Incident</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_Toc166674436 \h </w:instrText>
        </w:r>
        <w:r w:rsidR="00D00CD5" w:rsidRPr="00EB6E4F">
          <w:rPr>
            <w:noProof/>
            <w:webHidden/>
            <w:szCs w:val="24"/>
          </w:rPr>
        </w:r>
        <w:r w:rsidR="00D00CD5" w:rsidRPr="00EB6E4F">
          <w:rPr>
            <w:noProof/>
            <w:webHidden/>
            <w:szCs w:val="24"/>
          </w:rPr>
          <w:fldChar w:fldCharType="separate"/>
        </w:r>
        <w:r w:rsidR="00166603">
          <w:rPr>
            <w:noProof/>
            <w:webHidden/>
            <w:szCs w:val="24"/>
          </w:rPr>
          <w:t>10</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37" w:history="1">
        <w:r w:rsidR="00D00CD5" w:rsidRPr="00EB6E4F">
          <w:rPr>
            <w:rStyle w:val="Hyperlink"/>
            <w:noProof/>
            <w:szCs w:val="24"/>
          </w:rPr>
          <w:t>10.</w:t>
        </w:r>
        <w:r w:rsidR="00D00CD5" w:rsidRPr="00EB6E4F">
          <w:rPr>
            <w:rFonts w:eastAsiaTheme="minorEastAsia"/>
            <w:noProof/>
            <w:szCs w:val="24"/>
            <w:lang w:eastAsia="en-GB"/>
          </w:rPr>
          <w:tab/>
        </w:r>
        <w:r w:rsidR="00D00CD5" w:rsidRPr="00EB6E4F">
          <w:rPr>
            <w:rStyle w:val="Hyperlink"/>
            <w:noProof/>
            <w:szCs w:val="24"/>
          </w:rPr>
          <w:t>Patient Safety Incident Response Planning</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_Toc166674437 \h </w:instrText>
        </w:r>
        <w:r w:rsidR="00D00CD5" w:rsidRPr="00EB6E4F">
          <w:rPr>
            <w:noProof/>
            <w:webHidden/>
            <w:szCs w:val="24"/>
          </w:rPr>
        </w:r>
        <w:r w:rsidR="00D00CD5" w:rsidRPr="00EB6E4F">
          <w:rPr>
            <w:noProof/>
            <w:webHidden/>
            <w:szCs w:val="24"/>
          </w:rPr>
          <w:fldChar w:fldCharType="separate"/>
        </w:r>
        <w:r w:rsidR="00166603">
          <w:rPr>
            <w:noProof/>
            <w:webHidden/>
            <w:szCs w:val="24"/>
          </w:rPr>
          <w:t>11</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38" w:history="1">
        <w:r w:rsidR="00D00CD5" w:rsidRPr="00EB6E4F">
          <w:rPr>
            <w:rStyle w:val="Hyperlink"/>
            <w:noProof/>
            <w:szCs w:val="24"/>
          </w:rPr>
          <w:t>11.</w:t>
        </w:r>
        <w:r w:rsidR="00D00CD5" w:rsidRPr="00EB6E4F">
          <w:rPr>
            <w:rFonts w:eastAsiaTheme="minorEastAsia"/>
            <w:noProof/>
            <w:szCs w:val="24"/>
            <w:lang w:eastAsia="en-GB"/>
          </w:rPr>
          <w:tab/>
        </w:r>
        <w:r w:rsidR="00D00CD5" w:rsidRPr="00EB6E4F">
          <w:rPr>
            <w:rStyle w:val="Hyperlink"/>
            <w:noProof/>
            <w:szCs w:val="24"/>
          </w:rPr>
          <w:t>Responding to Patient Safety Incidents</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_Toc166674438 \h </w:instrText>
        </w:r>
        <w:r w:rsidR="00D00CD5" w:rsidRPr="00EB6E4F">
          <w:rPr>
            <w:noProof/>
            <w:webHidden/>
            <w:szCs w:val="24"/>
          </w:rPr>
        </w:r>
        <w:r w:rsidR="00D00CD5" w:rsidRPr="00EB6E4F">
          <w:rPr>
            <w:noProof/>
            <w:webHidden/>
            <w:szCs w:val="24"/>
          </w:rPr>
          <w:fldChar w:fldCharType="separate"/>
        </w:r>
        <w:r w:rsidR="00166603">
          <w:rPr>
            <w:noProof/>
            <w:webHidden/>
            <w:szCs w:val="24"/>
          </w:rPr>
          <w:t>15</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39" w:history="1">
        <w:r w:rsidR="00D00CD5" w:rsidRPr="00EB6E4F">
          <w:rPr>
            <w:rStyle w:val="Hyperlink"/>
            <w:noProof/>
            <w:szCs w:val="24"/>
          </w:rPr>
          <w:t>12.</w:t>
        </w:r>
        <w:r w:rsidR="00D00CD5" w:rsidRPr="00EB6E4F">
          <w:rPr>
            <w:rFonts w:eastAsiaTheme="minorEastAsia"/>
            <w:noProof/>
            <w:szCs w:val="24"/>
            <w:lang w:eastAsia="en-GB"/>
          </w:rPr>
          <w:tab/>
        </w:r>
        <w:r w:rsidR="00D00CD5" w:rsidRPr="00EB6E4F">
          <w:rPr>
            <w:rStyle w:val="Hyperlink"/>
            <w:noProof/>
            <w:szCs w:val="24"/>
          </w:rPr>
          <w:t>Quality Review</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_Toc166674439 \h </w:instrText>
        </w:r>
        <w:r w:rsidR="00D00CD5" w:rsidRPr="00EB6E4F">
          <w:rPr>
            <w:noProof/>
            <w:webHidden/>
            <w:szCs w:val="24"/>
          </w:rPr>
        </w:r>
        <w:r w:rsidR="00D00CD5" w:rsidRPr="00EB6E4F">
          <w:rPr>
            <w:noProof/>
            <w:webHidden/>
            <w:szCs w:val="24"/>
          </w:rPr>
          <w:fldChar w:fldCharType="separate"/>
        </w:r>
        <w:r w:rsidR="00166603">
          <w:rPr>
            <w:noProof/>
            <w:webHidden/>
            <w:szCs w:val="24"/>
          </w:rPr>
          <w:t>21</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40" w:history="1">
        <w:r w:rsidR="00D00CD5" w:rsidRPr="00EB6E4F">
          <w:rPr>
            <w:rStyle w:val="Hyperlink"/>
            <w:noProof/>
            <w:szCs w:val="24"/>
          </w:rPr>
          <w:t>13.</w:t>
        </w:r>
        <w:r w:rsidR="00D00CD5" w:rsidRPr="00EB6E4F">
          <w:rPr>
            <w:rFonts w:eastAsiaTheme="minorEastAsia"/>
            <w:noProof/>
            <w:szCs w:val="24"/>
            <w:lang w:eastAsia="en-GB"/>
          </w:rPr>
          <w:tab/>
        </w:r>
        <w:r w:rsidR="00D00CD5" w:rsidRPr="00EB6E4F">
          <w:rPr>
            <w:rStyle w:val="Hyperlink"/>
            <w:noProof/>
            <w:szCs w:val="24"/>
          </w:rPr>
          <w:t>Complaints and Appeals</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_Toc166674440 \h </w:instrText>
        </w:r>
        <w:r w:rsidR="00D00CD5" w:rsidRPr="00EB6E4F">
          <w:rPr>
            <w:noProof/>
            <w:webHidden/>
            <w:szCs w:val="24"/>
          </w:rPr>
        </w:r>
        <w:r w:rsidR="00D00CD5" w:rsidRPr="00EB6E4F">
          <w:rPr>
            <w:noProof/>
            <w:webHidden/>
            <w:szCs w:val="24"/>
          </w:rPr>
          <w:fldChar w:fldCharType="separate"/>
        </w:r>
        <w:r w:rsidR="00166603">
          <w:rPr>
            <w:noProof/>
            <w:webHidden/>
            <w:szCs w:val="24"/>
          </w:rPr>
          <w:t>21</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41" w:history="1">
        <w:r w:rsidR="00D00CD5" w:rsidRPr="00EB6E4F">
          <w:rPr>
            <w:rStyle w:val="Hyperlink"/>
            <w:noProof/>
            <w:szCs w:val="24"/>
          </w:rPr>
          <w:t>14.</w:t>
        </w:r>
        <w:r w:rsidR="00D00CD5" w:rsidRPr="00EB6E4F">
          <w:rPr>
            <w:rFonts w:eastAsiaTheme="minorEastAsia"/>
            <w:noProof/>
            <w:szCs w:val="24"/>
            <w:lang w:eastAsia="en-GB"/>
          </w:rPr>
          <w:tab/>
        </w:r>
        <w:r w:rsidR="00D00CD5" w:rsidRPr="00EB6E4F">
          <w:rPr>
            <w:rStyle w:val="Hyperlink"/>
            <w:noProof/>
            <w:szCs w:val="24"/>
          </w:rPr>
          <w:t>Policy Development, Approval and Authorisation</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_Toc166674441 \h </w:instrText>
        </w:r>
        <w:r w:rsidR="00D00CD5" w:rsidRPr="00EB6E4F">
          <w:rPr>
            <w:noProof/>
            <w:webHidden/>
            <w:szCs w:val="24"/>
          </w:rPr>
        </w:r>
        <w:r w:rsidR="00D00CD5" w:rsidRPr="00EB6E4F">
          <w:rPr>
            <w:noProof/>
            <w:webHidden/>
            <w:szCs w:val="24"/>
          </w:rPr>
          <w:fldChar w:fldCharType="separate"/>
        </w:r>
        <w:r w:rsidR="00166603">
          <w:rPr>
            <w:noProof/>
            <w:webHidden/>
            <w:szCs w:val="24"/>
          </w:rPr>
          <w:t>21</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42" w:history="1">
        <w:r w:rsidR="00D00CD5" w:rsidRPr="00EB6E4F">
          <w:rPr>
            <w:rStyle w:val="Hyperlink"/>
            <w:noProof/>
            <w:szCs w:val="24"/>
          </w:rPr>
          <w:t>15.</w:t>
        </w:r>
        <w:r w:rsidR="00D00CD5" w:rsidRPr="00EB6E4F">
          <w:rPr>
            <w:rFonts w:eastAsiaTheme="minorEastAsia"/>
            <w:noProof/>
            <w:szCs w:val="24"/>
            <w:lang w:eastAsia="en-GB"/>
          </w:rPr>
          <w:tab/>
        </w:r>
        <w:r w:rsidR="00D00CD5" w:rsidRPr="00EB6E4F">
          <w:rPr>
            <w:rStyle w:val="Hyperlink"/>
            <w:noProof/>
            <w:szCs w:val="24"/>
          </w:rPr>
          <w:t>Review and Revision Arrangements</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_Toc166674442 \h </w:instrText>
        </w:r>
        <w:r w:rsidR="00D00CD5" w:rsidRPr="00EB6E4F">
          <w:rPr>
            <w:noProof/>
            <w:webHidden/>
            <w:szCs w:val="24"/>
          </w:rPr>
        </w:r>
        <w:r w:rsidR="00D00CD5" w:rsidRPr="00EB6E4F">
          <w:rPr>
            <w:noProof/>
            <w:webHidden/>
            <w:szCs w:val="24"/>
          </w:rPr>
          <w:fldChar w:fldCharType="separate"/>
        </w:r>
        <w:r w:rsidR="00166603">
          <w:rPr>
            <w:noProof/>
            <w:webHidden/>
            <w:szCs w:val="24"/>
          </w:rPr>
          <w:t>22</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43" w:history="1">
        <w:r w:rsidR="00D00CD5" w:rsidRPr="00EB6E4F">
          <w:rPr>
            <w:rStyle w:val="Hyperlink"/>
            <w:noProof/>
            <w:szCs w:val="24"/>
          </w:rPr>
          <w:t>16.</w:t>
        </w:r>
        <w:r w:rsidR="00D00CD5" w:rsidRPr="00EB6E4F">
          <w:rPr>
            <w:rFonts w:eastAsiaTheme="minorEastAsia"/>
            <w:noProof/>
            <w:szCs w:val="24"/>
            <w:lang w:eastAsia="en-GB"/>
          </w:rPr>
          <w:tab/>
        </w:r>
        <w:r w:rsidR="00D00CD5" w:rsidRPr="00EB6E4F">
          <w:rPr>
            <w:rStyle w:val="Hyperlink"/>
            <w:noProof/>
            <w:szCs w:val="24"/>
          </w:rPr>
          <w:t>Policy Implementation</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_Toc166674443 \h </w:instrText>
        </w:r>
        <w:r w:rsidR="00D00CD5" w:rsidRPr="00EB6E4F">
          <w:rPr>
            <w:noProof/>
            <w:webHidden/>
            <w:szCs w:val="24"/>
          </w:rPr>
        </w:r>
        <w:r w:rsidR="00D00CD5" w:rsidRPr="00EB6E4F">
          <w:rPr>
            <w:noProof/>
            <w:webHidden/>
            <w:szCs w:val="24"/>
          </w:rPr>
          <w:fldChar w:fldCharType="separate"/>
        </w:r>
        <w:r w:rsidR="00166603">
          <w:rPr>
            <w:noProof/>
            <w:webHidden/>
            <w:szCs w:val="24"/>
          </w:rPr>
          <w:t>22</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44" w:history="1">
        <w:r w:rsidR="00D00CD5" w:rsidRPr="00EB6E4F">
          <w:rPr>
            <w:rStyle w:val="Hyperlink"/>
            <w:noProof/>
            <w:szCs w:val="24"/>
          </w:rPr>
          <w:t>17.</w:t>
        </w:r>
        <w:r w:rsidR="00D00CD5" w:rsidRPr="00EB6E4F">
          <w:rPr>
            <w:rFonts w:eastAsiaTheme="minorEastAsia"/>
            <w:noProof/>
            <w:szCs w:val="24"/>
            <w:lang w:eastAsia="en-GB"/>
          </w:rPr>
          <w:tab/>
        </w:r>
        <w:r w:rsidR="00D00CD5" w:rsidRPr="00EB6E4F">
          <w:rPr>
            <w:rStyle w:val="Hyperlink"/>
            <w:noProof/>
            <w:szCs w:val="24"/>
          </w:rPr>
          <w:t>Document Control including Archiving Arrangements</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_Toc166674444 \h </w:instrText>
        </w:r>
        <w:r w:rsidR="00D00CD5" w:rsidRPr="00EB6E4F">
          <w:rPr>
            <w:noProof/>
            <w:webHidden/>
            <w:szCs w:val="24"/>
          </w:rPr>
        </w:r>
        <w:r w:rsidR="00D00CD5" w:rsidRPr="00EB6E4F">
          <w:rPr>
            <w:noProof/>
            <w:webHidden/>
            <w:szCs w:val="24"/>
          </w:rPr>
          <w:fldChar w:fldCharType="separate"/>
        </w:r>
        <w:r w:rsidR="00166603">
          <w:rPr>
            <w:noProof/>
            <w:webHidden/>
            <w:szCs w:val="24"/>
          </w:rPr>
          <w:t>22</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45" w:history="1">
        <w:r w:rsidR="00D00CD5" w:rsidRPr="00EB6E4F">
          <w:rPr>
            <w:rStyle w:val="Hyperlink"/>
            <w:noProof/>
            <w:szCs w:val="24"/>
          </w:rPr>
          <w:t>18.</w:t>
        </w:r>
        <w:r w:rsidR="00D00CD5" w:rsidRPr="00EB6E4F">
          <w:rPr>
            <w:rFonts w:eastAsiaTheme="minorEastAsia"/>
            <w:noProof/>
            <w:szCs w:val="24"/>
            <w:lang w:eastAsia="en-GB"/>
          </w:rPr>
          <w:tab/>
        </w:r>
        <w:r w:rsidR="00D00CD5" w:rsidRPr="00EB6E4F">
          <w:rPr>
            <w:rStyle w:val="Hyperlink"/>
            <w:noProof/>
            <w:szCs w:val="24"/>
          </w:rPr>
          <w:t>Monitoring and Assurance</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_Toc166674445 \h </w:instrText>
        </w:r>
        <w:r w:rsidR="00D00CD5" w:rsidRPr="00EB6E4F">
          <w:rPr>
            <w:noProof/>
            <w:webHidden/>
            <w:szCs w:val="24"/>
          </w:rPr>
        </w:r>
        <w:r w:rsidR="00D00CD5" w:rsidRPr="00EB6E4F">
          <w:rPr>
            <w:noProof/>
            <w:webHidden/>
            <w:szCs w:val="24"/>
          </w:rPr>
          <w:fldChar w:fldCharType="separate"/>
        </w:r>
        <w:r w:rsidR="00166603">
          <w:rPr>
            <w:noProof/>
            <w:webHidden/>
            <w:szCs w:val="24"/>
          </w:rPr>
          <w:t>22</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46" w:history="1">
        <w:r w:rsidR="00D00CD5" w:rsidRPr="00EB6E4F">
          <w:rPr>
            <w:rStyle w:val="Hyperlink"/>
            <w:noProof/>
            <w:szCs w:val="24"/>
          </w:rPr>
          <w:t>19.</w:t>
        </w:r>
        <w:r w:rsidR="00D00CD5" w:rsidRPr="00EB6E4F">
          <w:rPr>
            <w:rFonts w:eastAsiaTheme="minorEastAsia"/>
            <w:noProof/>
            <w:szCs w:val="24"/>
            <w:lang w:eastAsia="en-GB"/>
          </w:rPr>
          <w:tab/>
        </w:r>
        <w:r w:rsidR="00D00CD5" w:rsidRPr="00EB6E4F">
          <w:rPr>
            <w:rStyle w:val="Hyperlink"/>
            <w:noProof/>
            <w:szCs w:val="24"/>
          </w:rPr>
          <w:t>References</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_Toc166674446 \h </w:instrText>
        </w:r>
        <w:r w:rsidR="00D00CD5" w:rsidRPr="00EB6E4F">
          <w:rPr>
            <w:noProof/>
            <w:webHidden/>
            <w:szCs w:val="24"/>
          </w:rPr>
        </w:r>
        <w:r w:rsidR="00D00CD5" w:rsidRPr="00EB6E4F">
          <w:rPr>
            <w:noProof/>
            <w:webHidden/>
            <w:szCs w:val="24"/>
          </w:rPr>
          <w:fldChar w:fldCharType="separate"/>
        </w:r>
        <w:r w:rsidR="00166603">
          <w:rPr>
            <w:noProof/>
            <w:webHidden/>
            <w:szCs w:val="24"/>
          </w:rPr>
          <w:t>23</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47" w:history="1">
        <w:r w:rsidR="00D00CD5" w:rsidRPr="00EB6E4F">
          <w:rPr>
            <w:rStyle w:val="Hyperlink"/>
            <w:noProof/>
            <w:szCs w:val="24"/>
          </w:rPr>
          <w:t>Appendix 1: Safety Action Development Process</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_Toc166674447 \h </w:instrText>
        </w:r>
        <w:r w:rsidR="00D00CD5" w:rsidRPr="00EB6E4F">
          <w:rPr>
            <w:noProof/>
            <w:webHidden/>
            <w:szCs w:val="24"/>
          </w:rPr>
        </w:r>
        <w:r w:rsidR="00D00CD5" w:rsidRPr="00EB6E4F">
          <w:rPr>
            <w:noProof/>
            <w:webHidden/>
            <w:szCs w:val="24"/>
          </w:rPr>
          <w:fldChar w:fldCharType="separate"/>
        </w:r>
        <w:r w:rsidR="00166603">
          <w:rPr>
            <w:noProof/>
            <w:webHidden/>
            <w:szCs w:val="24"/>
          </w:rPr>
          <w:t>24</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48" w:history="1">
        <w:r w:rsidR="00D00CD5" w:rsidRPr="00EB6E4F">
          <w:rPr>
            <w:rStyle w:val="Hyperlink"/>
            <w:noProof/>
            <w:szCs w:val="24"/>
          </w:rPr>
          <w:t>Appendix 2: Incident Response Decision Making Flowchart</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_Toc166674448 \h </w:instrText>
        </w:r>
        <w:r w:rsidR="00D00CD5" w:rsidRPr="00EB6E4F">
          <w:rPr>
            <w:noProof/>
            <w:webHidden/>
            <w:szCs w:val="24"/>
          </w:rPr>
        </w:r>
        <w:r w:rsidR="00D00CD5" w:rsidRPr="00EB6E4F">
          <w:rPr>
            <w:noProof/>
            <w:webHidden/>
            <w:szCs w:val="24"/>
          </w:rPr>
          <w:fldChar w:fldCharType="separate"/>
        </w:r>
        <w:r w:rsidR="00166603">
          <w:rPr>
            <w:noProof/>
            <w:webHidden/>
            <w:szCs w:val="24"/>
          </w:rPr>
          <w:t>25</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49" w:history="1">
        <w:r w:rsidR="00D00CD5" w:rsidRPr="00EB6E4F">
          <w:rPr>
            <w:rStyle w:val="Hyperlink"/>
            <w:noProof/>
            <w:szCs w:val="24"/>
          </w:rPr>
          <w:t>Appendix 3: Quality Governance Structure Chart</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_Toc166674449 \h </w:instrText>
        </w:r>
        <w:r w:rsidR="00D00CD5" w:rsidRPr="00EB6E4F">
          <w:rPr>
            <w:noProof/>
            <w:webHidden/>
            <w:szCs w:val="24"/>
          </w:rPr>
        </w:r>
        <w:r w:rsidR="00D00CD5" w:rsidRPr="00EB6E4F">
          <w:rPr>
            <w:noProof/>
            <w:webHidden/>
            <w:szCs w:val="24"/>
          </w:rPr>
          <w:fldChar w:fldCharType="separate"/>
        </w:r>
        <w:r w:rsidR="00166603">
          <w:rPr>
            <w:noProof/>
            <w:webHidden/>
            <w:szCs w:val="24"/>
          </w:rPr>
          <w:t>26</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50" w:history="1">
        <w:r w:rsidR="00D00CD5" w:rsidRPr="00EB6E4F">
          <w:rPr>
            <w:rStyle w:val="Hyperlink"/>
            <w:noProof/>
            <w:szCs w:val="24"/>
          </w:rPr>
          <w:t>Appendix 4: Equality Analysis</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_Toc166674450 \h </w:instrText>
        </w:r>
        <w:r w:rsidR="00D00CD5" w:rsidRPr="00EB6E4F">
          <w:rPr>
            <w:noProof/>
            <w:webHidden/>
            <w:szCs w:val="24"/>
          </w:rPr>
        </w:r>
        <w:r w:rsidR="00D00CD5" w:rsidRPr="00EB6E4F">
          <w:rPr>
            <w:noProof/>
            <w:webHidden/>
            <w:szCs w:val="24"/>
          </w:rPr>
          <w:fldChar w:fldCharType="separate"/>
        </w:r>
        <w:r w:rsidR="00166603">
          <w:rPr>
            <w:noProof/>
            <w:webHidden/>
            <w:szCs w:val="24"/>
          </w:rPr>
          <w:t>27</w:t>
        </w:r>
        <w:r w:rsidR="00D00CD5" w:rsidRPr="00EB6E4F">
          <w:rPr>
            <w:noProof/>
            <w:webHidden/>
            <w:szCs w:val="24"/>
          </w:rPr>
          <w:fldChar w:fldCharType="end"/>
        </w:r>
      </w:hyperlink>
    </w:p>
    <w:p w:rsidR="00D00CD5" w:rsidRPr="00EB6E4F" w:rsidRDefault="00E97DB2">
      <w:pPr>
        <w:pStyle w:val="TOC1"/>
        <w:rPr>
          <w:rFonts w:eastAsiaTheme="minorEastAsia"/>
          <w:noProof/>
          <w:szCs w:val="24"/>
          <w:lang w:eastAsia="en-GB"/>
        </w:rPr>
      </w:pPr>
      <w:hyperlink w:anchor="_Toc166674451" w:history="1">
        <w:r w:rsidR="00D00CD5" w:rsidRPr="00EB6E4F">
          <w:rPr>
            <w:rStyle w:val="Hyperlink"/>
            <w:noProof/>
            <w:szCs w:val="24"/>
          </w:rPr>
          <w:t>Appendix 5: Policy Implementation Plan</w:t>
        </w:r>
        <w:r w:rsidR="00D00CD5" w:rsidRPr="00EB6E4F">
          <w:rPr>
            <w:noProof/>
            <w:webHidden/>
            <w:szCs w:val="24"/>
          </w:rPr>
          <w:tab/>
        </w:r>
        <w:r w:rsidR="00D00CD5" w:rsidRPr="00EB6E4F">
          <w:rPr>
            <w:noProof/>
            <w:webHidden/>
            <w:szCs w:val="24"/>
          </w:rPr>
          <w:fldChar w:fldCharType="begin"/>
        </w:r>
        <w:r w:rsidR="00D00CD5" w:rsidRPr="00EB6E4F">
          <w:rPr>
            <w:noProof/>
            <w:webHidden/>
            <w:szCs w:val="24"/>
          </w:rPr>
          <w:instrText xml:space="preserve"> PAGEREF _Toc166674451 \h </w:instrText>
        </w:r>
        <w:r w:rsidR="00D00CD5" w:rsidRPr="00EB6E4F">
          <w:rPr>
            <w:noProof/>
            <w:webHidden/>
            <w:szCs w:val="24"/>
          </w:rPr>
        </w:r>
        <w:r w:rsidR="00D00CD5" w:rsidRPr="00EB6E4F">
          <w:rPr>
            <w:noProof/>
            <w:webHidden/>
            <w:szCs w:val="24"/>
          </w:rPr>
          <w:fldChar w:fldCharType="separate"/>
        </w:r>
        <w:r w:rsidR="00166603">
          <w:rPr>
            <w:noProof/>
            <w:webHidden/>
            <w:szCs w:val="24"/>
          </w:rPr>
          <w:t>30</w:t>
        </w:r>
        <w:r w:rsidR="00D00CD5" w:rsidRPr="00EB6E4F">
          <w:rPr>
            <w:noProof/>
            <w:webHidden/>
            <w:szCs w:val="24"/>
          </w:rPr>
          <w:fldChar w:fldCharType="end"/>
        </w:r>
      </w:hyperlink>
    </w:p>
    <w:p w:rsidR="00C004A5" w:rsidRPr="00EB6E4F" w:rsidRDefault="000A1E88" w:rsidP="00AA5B3B">
      <w:pPr>
        <w:rPr>
          <w:noProof/>
          <w:szCs w:val="24"/>
        </w:rPr>
      </w:pPr>
      <w:r w:rsidRPr="00EB6E4F">
        <w:rPr>
          <w:noProof/>
          <w:szCs w:val="24"/>
        </w:rPr>
        <w:fldChar w:fldCharType="end"/>
      </w:r>
    </w:p>
    <w:p w:rsidR="005B39AA" w:rsidRDefault="004F139F" w:rsidP="006F5BA6">
      <w:pPr>
        <w:pStyle w:val="Policyheader"/>
      </w:pPr>
      <w:r w:rsidRPr="00EB6E4F">
        <w:rPr>
          <w:sz w:val="24"/>
          <w:szCs w:val="24"/>
        </w:rPr>
        <w:br w:type="page"/>
      </w:r>
      <w:bookmarkStart w:id="0" w:name="_Toc523986721"/>
      <w:bookmarkStart w:id="1" w:name="_Toc166674428"/>
      <w:r w:rsidR="00717CAE" w:rsidRPr="00E83D92">
        <w:lastRenderedPageBreak/>
        <w:t>Policy</w:t>
      </w:r>
      <w:r w:rsidR="00486418" w:rsidRPr="005B39AA">
        <w:t xml:space="preserve"> </w:t>
      </w:r>
      <w:bookmarkEnd w:id="0"/>
      <w:r w:rsidR="00095C83" w:rsidRPr="007E7332">
        <w:t>Description</w:t>
      </w:r>
      <w:bookmarkEnd w:id="1"/>
    </w:p>
    <w:p w:rsidR="00E225CB" w:rsidRPr="00EB6E4F" w:rsidRDefault="00B66476" w:rsidP="006F5BA6">
      <w:pPr>
        <w:pStyle w:val="Policybulletlevel2"/>
        <w:rPr>
          <w:szCs w:val="24"/>
        </w:rPr>
      </w:pPr>
      <w:r w:rsidRPr="00EB6E4F">
        <w:rPr>
          <w:szCs w:val="24"/>
        </w:rPr>
        <w:t xml:space="preserve">The aim of this policy is to </w:t>
      </w:r>
      <w:r w:rsidR="00DC5965" w:rsidRPr="00EB6E4F">
        <w:rPr>
          <w:szCs w:val="24"/>
        </w:rPr>
        <w:t>support the requirements of the Patient Safety Incident Response Framework (PSIRF)</w:t>
      </w:r>
      <w:r w:rsidR="007F02F7" w:rsidRPr="00EB6E4F">
        <w:rPr>
          <w:szCs w:val="24"/>
        </w:rPr>
        <w:t>.</w:t>
      </w:r>
    </w:p>
    <w:p w:rsidR="00D00CD5" w:rsidRPr="006F5BA6" w:rsidRDefault="000A45BE" w:rsidP="006F5BA6">
      <w:pPr>
        <w:pStyle w:val="Policybulletlevel2"/>
        <w:rPr>
          <w:szCs w:val="24"/>
        </w:rPr>
      </w:pPr>
      <w:r w:rsidRPr="00EB6E4F">
        <w:rPr>
          <w:szCs w:val="24"/>
        </w:rPr>
        <w:t>This document</w:t>
      </w:r>
      <w:r w:rsidR="00DC5965" w:rsidRPr="00EB6E4F">
        <w:rPr>
          <w:szCs w:val="24"/>
        </w:rPr>
        <w:t xml:space="preserve"> sets out East Kent Hospitals </w:t>
      </w:r>
      <w:r w:rsidR="00B4189D" w:rsidRPr="00EB6E4F">
        <w:rPr>
          <w:szCs w:val="24"/>
        </w:rPr>
        <w:t xml:space="preserve">University NHS </w:t>
      </w:r>
      <w:r w:rsidR="00DC5965" w:rsidRPr="00EB6E4F">
        <w:rPr>
          <w:szCs w:val="24"/>
        </w:rPr>
        <w:t>Foundation Trust</w:t>
      </w:r>
      <w:r w:rsidR="00236157" w:rsidRPr="00EB6E4F">
        <w:rPr>
          <w:szCs w:val="24"/>
        </w:rPr>
        <w:t>’</w:t>
      </w:r>
      <w:r w:rsidR="00DC5965" w:rsidRPr="00EB6E4F">
        <w:rPr>
          <w:szCs w:val="24"/>
        </w:rPr>
        <w:t xml:space="preserve">s approach to developing and maintaining effective systems and processes for responding to patient safety incidents. The purpose of which is to ensure learning and </w:t>
      </w:r>
      <w:r w:rsidR="003C2187" w:rsidRPr="00EB6E4F">
        <w:rPr>
          <w:szCs w:val="24"/>
        </w:rPr>
        <w:t xml:space="preserve">improvement </w:t>
      </w:r>
      <w:r w:rsidR="00EB2B08" w:rsidRPr="00EB6E4F">
        <w:rPr>
          <w:szCs w:val="24"/>
        </w:rPr>
        <w:t xml:space="preserve">in </w:t>
      </w:r>
      <w:r w:rsidR="00DC5965" w:rsidRPr="00EB6E4F">
        <w:rPr>
          <w:szCs w:val="24"/>
        </w:rPr>
        <w:t>patient safety.</w:t>
      </w:r>
    </w:p>
    <w:p w:rsidR="00DB00E3" w:rsidRDefault="00DB00E3" w:rsidP="006F5BA6">
      <w:pPr>
        <w:pStyle w:val="Policyheader"/>
      </w:pPr>
      <w:bookmarkStart w:id="2" w:name="_Toc166674429"/>
      <w:r>
        <w:t>Introduction</w:t>
      </w:r>
      <w:bookmarkEnd w:id="2"/>
    </w:p>
    <w:p w:rsidR="00DC5965" w:rsidRPr="00EB6E4F" w:rsidRDefault="00DC5965" w:rsidP="006F5BA6">
      <w:pPr>
        <w:pStyle w:val="Policybulletlevel2"/>
        <w:rPr>
          <w:szCs w:val="24"/>
        </w:rPr>
      </w:pPr>
      <w:r w:rsidRPr="00EB6E4F">
        <w:rPr>
          <w:szCs w:val="24"/>
        </w:rPr>
        <w:t xml:space="preserve">The PSIRF advocates a co-ordinated and data-driven response to patient safety incidents. It embeds patient safety incident response within a wider system of improvement and prompts a significant cultural shift towards systematic patient safety management. </w:t>
      </w:r>
    </w:p>
    <w:p w:rsidR="00DC5965" w:rsidRPr="00EB6E4F" w:rsidRDefault="00DC5965" w:rsidP="006F5BA6">
      <w:pPr>
        <w:pStyle w:val="Policybulletlevel2"/>
        <w:rPr>
          <w:szCs w:val="24"/>
        </w:rPr>
      </w:pPr>
      <w:bookmarkStart w:id="3" w:name="_Hlk163195380"/>
      <w:r w:rsidRPr="00EB6E4F">
        <w:rPr>
          <w:szCs w:val="24"/>
        </w:rPr>
        <w:t xml:space="preserve">This policy supports </w:t>
      </w:r>
      <w:r w:rsidR="003C2187" w:rsidRPr="00EB6E4F">
        <w:rPr>
          <w:szCs w:val="24"/>
        </w:rPr>
        <w:t xml:space="preserve">the </w:t>
      </w:r>
      <w:r w:rsidRPr="00EB6E4F">
        <w:rPr>
          <w:szCs w:val="24"/>
        </w:rPr>
        <w:t>development and maintenance of an effective patient safety incident response system that integrates the four key aims of the PSIRF:</w:t>
      </w:r>
    </w:p>
    <w:p w:rsidR="00DC5965" w:rsidRPr="00EB6E4F" w:rsidRDefault="00DC5965" w:rsidP="006F5BA6">
      <w:pPr>
        <w:pStyle w:val="ListParagraph"/>
        <w:numPr>
          <w:ilvl w:val="0"/>
          <w:numId w:val="7"/>
        </w:numPr>
        <w:spacing w:after="50" w:line="360" w:lineRule="atLeast"/>
        <w:ind w:left="1418" w:right="119" w:hanging="567"/>
        <w:contextualSpacing w:val="0"/>
        <w:rPr>
          <w:szCs w:val="24"/>
        </w:rPr>
      </w:pPr>
      <w:r w:rsidRPr="00EB6E4F">
        <w:rPr>
          <w:szCs w:val="24"/>
        </w:rPr>
        <w:t xml:space="preserve">compassionate engagement and involvement of those affected by patient safety incidents </w:t>
      </w:r>
    </w:p>
    <w:p w:rsidR="00DC5965" w:rsidRPr="00EB6E4F" w:rsidRDefault="00DC5965" w:rsidP="006F5BA6">
      <w:pPr>
        <w:pStyle w:val="ListParagraph"/>
        <w:numPr>
          <w:ilvl w:val="0"/>
          <w:numId w:val="7"/>
        </w:numPr>
        <w:spacing w:after="50" w:line="360" w:lineRule="atLeast"/>
        <w:ind w:left="1418" w:right="119" w:hanging="567"/>
        <w:contextualSpacing w:val="0"/>
        <w:rPr>
          <w:szCs w:val="24"/>
        </w:rPr>
      </w:pPr>
      <w:r w:rsidRPr="00EB6E4F">
        <w:rPr>
          <w:szCs w:val="24"/>
        </w:rPr>
        <w:t xml:space="preserve">application of a range of system-based approaches to learning from patient safety incidents </w:t>
      </w:r>
    </w:p>
    <w:p w:rsidR="00DC5965" w:rsidRPr="00EB6E4F" w:rsidRDefault="00DC5965" w:rsidP="006F5BA6">
      <w:pPr>
        <w:pStyle w:val="ListParagraph"/>
        <w:numPr>
          <w:ilvl w:val="0"/>
          <w:numId w:val="7"/>
        </w:numPr>
        <w:spacing w:after="50" w:line="360" w:lineRule="atLeast"/>
        <w:ind w:left="1418" w:right="119" w:hanging="567"/>
        <w:contextualSpacing w:val="0"/>
        <w:rPr>
          <w:szCs w:val="24"/>
        </w:rPr>
      </w:pPr>
      <w:r w:rsidRPr="00EB6E4F">
        <w:rPr>
          <w:szCs w:val="24"/>
        </w:rPr>
        <w:t xml:space="preserve">considered and proportionate responses to patient safety incidents and safety issues </w:t>
      </w:r>
    </w:p>
    <w:p w:rsidR="00EC38E3" w:rsidRPr="006F5BA6" w:rsidRDefault="00DC5965" w:rsidP="006F5BA6">
      <w:pPr>
        <w:pStyle w:val="ListParagraph"/>
        <w:numPr>
          <w:ilvl w:val="0"/>
          <w:numId w:val="7"/>
        </w:numPr>
        <w:spacing w:after="50" w:line="360" w:lineRule="atLeast"/>
        <w:ind w:left="1418" w:right="119" w:hanging="567"/>
        <w:contextualSpacing w:val="0"/>
        <w:rPr>
          <w:szCs w:val="24"/>
        </w:rPr>
      </w:pPr>
      <w:r w:rsidRPr="00EB6E4F">
        <w:rPr>
          <w:szCs w:val="24"/>
        </w:rPr>
        <w:t>supportive oversight focused on strengthening response system functioning and improvement.</w:t>
      </w:r>
    </w:p>
    <w:p w:rsidR="00EB1617" w:rsidRDefault="00EB1617" w:rsidP="006F5BA6">
      <w:pPr>
        <w:pStyle w:val="Policyheader"/>
      </w:pPr>
      <w:bookmarkStart w:id="4" w:name="_Toc166674430"/>
      <w:bookmarkEnd w:id="3"/>
      <w:r>
        <w:t>Definitions</w:t>
      </w:r>
      <w:bookmarkEnd w:id="4"/>
    </w:p>
    <w:p w:rsidR="00A71794" w:rsidRPr="00EB6E4F" w:rsidRDefault="001B04DD" w:rsidP="006F5BA6">
      <w:pPr>
        <w:pStyle w:val="Policybulletlevel2"/>
        <w:rPr>
          <w:szCs w:val="24"/>
        </w:rPr>
      </w:pPr>
      <w:r w:rsidRPr="00EB6E4F">
        <w:rPr>
          <w:b/>
          <w:bCs/>
          <w:szCs w:val="24"/>
        </w:rPr>
        <w:t>Patient Safety Partner</w:t>
      </w:r>
      <w:r w:rsidRPr="00EB6E4F">
        <w:rPr>
          <w:szCs w:val="24"/>
        </w:rPr>
        <w:t xml:space="preserve"> roles within a Trust </w:t>
      </w:r>
      <w:r w:rsidR="003C2187" w:rsidRPr="00EB6E4F">
        <w:rPr>
          <w:szCs w:val="24"/>
        </w:rPr>
        <w:t>are</w:t>
      </w:r>
      <w:r w:rsidRPr="00EB6E4F">
        <w:rPr>
          <w:szCs w:val="24"/>
        </w:rPr>
        <w:t xml:space="preserve"> one of many approaches to involving patients, carers, families and the wider public in the development of safer </w:t>
      </w:r>
      <w:r w:rsidR="003C2187" w:rsidRPr="00EB6E4F">
        <w:rPr>
          <w:szCs w:val="24"/>
        </w:rPr>
        <w:t>organisations</w:t>
      </w:r>
      <w:r w:rsidRPr="00EB6E4F">
        <w:rPr>
          <w:szCs w:val="24"/>
        </w:rPr>
        <w:t>. These voluntary roles</w:t>
      </w:r>
      <w:r w:rsidR="00085E0F" w:rsidRPr="00EB6E4F">
        <w:rPr>
          <w:szCs w:val="24"/>
        </w:rPr>
        <w:t xml:space="preserve"> will work</w:t>
      </w:r>
      <w:r w:rsidRPr="00EB6E4F">
        <w:rPr>
          <w:szCs w:val="24"/>
        </w:rPr>
        <w:t xml:space="preserve"> across the Trust </w:t>
      </w:r>
      <w:r w:rsidR="00085E0F" w:rsidRPr="00EB6E4F">
        <w:rPr>
          <w:szCs w:val="24"/>
        </w:rPr>
        <w:t>and</w:t>
      </w:r>
      <w:r w:rsidRPr="00EB6E4F">
        <w:rPr>
          <w:szCs w:val="24"/>
        </w:rPr>
        <w:t xml:space="preserve"> </w:t>
      </w:r>
      <w:r w:rsidR="00085E0F" w:rsidRPr="00EB6E4F">
        <w:rPr>
          <w:szCs w:val="24"/>
        </w:rPr>
        <w:t>form</w:t>
      </w:r>
      <w:r w:rsidRPr="00EB6E4F">
        <w:rPr>
          <w:szCs w:val="24"/>
        </w:rPr>
        <w:t xml:space="preserve"> part</w:t>
      </w:r>
      <w:r w:rsidR="000A45BE" w:rsidRPr="00EB6E4F">
        <w:rPr>
          <w:szCs w:val="24"/>
        </w:rPr>
        <w:t xml:space="preserve"> of the</w:t>
      </w:r>
      <w:r w:rsidRPr="00EB6E4F">
        <w:rPr>
          <w:szCs w:val="24"/>
        </w:rPr>
        <w:t xml:space="preserve"> Corporate </w:t>
      </w:r>
      <w:r w:rsidR="00E35DF7" w:rsidRPr="00EB6E4F">
        <w:rPr>
          <w:szCs w:val="24"/>
        </w:rPr>
        <w:t>Patient Safety Team</w:t>
      </w:r>
      <w:r w:rsidR="00085E0F" w:rsidRPr="00EB6E4F">
        <w:rPr>
          <w:szCs w:val="24"/>
        </w:rPr>
        <w:t>.  T</w:t>
      </w:r>
      <w:r w:rsidRPr="00EB6E4F">
        <w:rPr>
          <w:szCs w:val="24"/>
        </w:rPr>
        <w:t xml:space="preserve">hey will be involved in safety at all levels of the Trust. </w:t>
      </w:r>
      <w:r w:rsidR="000D6DD3" w:rsidRPr="00EB6E4F">
        <w:rPr>
          <w:szCs w:val="24"/>
        </w:rPr>
        <w:t>(see section 7 for further information)</w:t>
      </w:r>
    </w:p>
    <w:p w:rsidR="001B04DD" w:rsidRPr="00EB6E4F" w:rsidRDefault="00520A65" w:rsidP="006F5BA6">
      <w:pPr>
        <w:pStyle w:val="Policybulletlevel2"/>
        <w:rPr>
          <w:szCs w:val="24"/>
        </w:rPr>
      </w:pPr>
      <w:r w:rsidRPr="00EB6E4F">
        <w:rPr>
          <w:b/>
          <w:bCs/>
          <w:szCs w:val="24"/>
        </w:rPr>
        <w:t>Patient Safety Specialists</w:t>
      </w:r>
      <w:r w:rsidR="00C93A27" w:rsidRPr="00EB6E4F">
        <w:rPr>
          <w:szCs w:val="24"/>
        </w:rPr>
        <w:t xml:space="preserve"> are professionals who work within the Trust to ensure that patients</w:t>
      </w:r>
      <w:r w:rsidR="00706247" w:rsidRPr="00EB6E4F">
        <w:rPr>
          <w:szCs w:val="24"/>
        </w:rPr>
        <w:t xml:space="preserve"> receive</w:t>
      </w:r>
      <w:r w:rsidR="00C93A27" w:rsidRPr="00EB6E4F">
        <w:rPr>
          <w:szCs w:val="24"/>
        </w:rPr>
        <w:t xml:space="preserve"> </w:t>
      </w:r>
      <w:r w:rsidR="00706247" w:rsidRPr="00EB6E4F">
        <w:rPr>
          <w:szCs w:val="24"/>
        </w:rPr>
        <w:t xml:space="preserve">an excellent standard of care whilst </w:t>
      </w:r>
      <w:r w:rsidR="00EC5D77" w:rsidRPr="00EB6E4F">
        <w:rPr>
          <w:szCs w:val="24"/>
        </w:rPr>
        <w:t>minimising</w:t>
      </w:r>
      <w:r w:rsidR="0075605A" w:rsidRPr="00EB6E4F">
        <w:rPr>
          <w:szCs w:val="24"/>
        </w:rPr>
        <w:t xml:space="preserve"> potential risk</w:t>
      </w:r>
      <w:r w:rsidR="00EC5D77" w:rsidRPr="00EB6E4F">
        <w:rPr>
          <w:szCs w:val="24"/>
        </w:rPr>
        <w:t>.</w:t>
      </w:r>
    </w:p>
    <w:p w:rsidR="00F6376C" w:rsidRPr="0071472D" w:rsidRDefault="00F6376C" w:rsidP="00F6376C">
      <w:pPr>
        <w:pStyle w:val="Policybulletlevel2"/>
        <w:numPr>
          <w:ilvl w:val="0"/>
          <w:numId w:val="0"/>
        </w:numPr>
        <w:ind w:left="567"/>
      </w:pPr>
    </w:p>
    <w:p w:rsidR="00EB1617" w:rsidRDefault="00EB1617" w:rsidP="006F5BA6">
      <w:pPr>
        <w:pStyle w:val="Policyheader"/>
      </w:pPr>
      <w:bookmarkStart w:id="5" w:name="_Toc166674431"/>
      <w:r>
        <w:t>Purpose and Scope</w:t>
      </w:r>
      <w:bookmarkEnd w:id="5"/>
    </w:p>
    <w:p w:rsidR="00D77D37" w:rsidRPr="00EB6E4F" w:rsidRDefault="00D77D37" w:rsidP="006F5BA6">
      <w:pPr>
        <w:pStyle w:val="Policybulletlevel2"/>
        <w:rPr>
          <w:szCs w:val="24"/>
        </w:rPr>
      </w:pPr>
      <w:r w:rsidRPr="00EB6E4F">
        <w:rPr>
          <w:szCs w:val="24"/>
        </w:rPr>
        <w:t>This policy is specific to patient safety incident responses conducted solely for the purpose of learning and improvement across all areas of this organisation.</w:t>
      </w:r>
    </w:p>
    <w:p w:rsidR="00C77695" w:rsidRPr="00EB6E4F" w:rsidRDefault="00D77D37" w:rsidP="006F5BA6">
      <w:pPr>
        <w:pStyle w:val="Policybulletlevel2"/>
        <w:rPr>
          <w:szCs w:val="24"/>
        </w:rPr>
      </w:pPr>
      <w:r w:rsidRPr="00EB6E4F">
        <w:rPr>
          <w:szCs w:val="24"/>
        </w:rPr>
        <w:t xml:space="preserve">Responses under this policy follow a systems-based approach. This recognises that patient safety is an emergent property of the healthcare system: that is, safety is provided by </w:t>
      </w:r>
      <w:r w:rsidRPr="00EB6E4F">
        <w:rPr>
          <w:szCs w:val="24"/>
        </w:rPr>
        <w:lastRenderedPageBreak/>
        <w:t>interactions between components and not from a single component. Learning responses do not take a ‘person-focused’ approach where the actions or inactions of people</w:t>
      </w:r>
      <w:r w:rsidR="002B7292" w:rsidRPr="00EB6E4F">
        <w:rPr>
          <w:szCs w:val="24"/>
        </w:rPr>
        <w:t xml:space="preserve"> </w:t>
      </w:r>
      <w:r w:rsidR="009111C9" w:rsidRPr="00EB6E4F">
        <w:rPr>
          <w:szCs w:val="24"/>
        </w:rPr>
        <w:t>are the focus of an investigation</w:t>
      </w:r>
      <w:r w:rsidR="002B7292" w:rsidRPr="00EB6E4F">
        <w:rPr>
          <w:szCs w:val="24"/>
        </w:rPr>
        <w:t>,</w:t>
      </w:r>
      <w:r w:rsidR="009111C9" w:rsidRPr="00EB6E4F">
        <w:rPr>
          <w:szCs w:val="24"/>
        </w:rPr>
        <w:t xml:space="preserve"> but where compassionate engagement with the involvement of those affected by an incident </w:t>
      </w:r>
      <w:r w:rsidR="002B7292" w:rsidRPr="00EB6E4F">
        <w:rPr>
          <w:szCs w:val="24"/>
        </w:rPr>
        <w:t xml:space="preserve">can provide learning </w:t>
      </w:r>
      <w:r w:rsidR="003C2187" w:rsidRPr="00EB6E4F">
        <w:rPr>
          <w:szCs w:val="24"/>
        </w:rPr>
        <w:t>and</w:t>
      </w:r>
      <w:r w:rsidR="002B7292" w:rsidRPr="00EB6E4F">
        <w:rPr>
          <w:szCs w:val="24"/>
        </w:rPr>
        <w:t xml:space="preserve"> supportive oversight. </w:t>
      </w:r>
    </w:p>
    <w:p w:rsidR="00D77D37" w:rsidRPr="00EB6E4F" w:rsidRDefault="00D77D37" w:rsidP="006F5BA6">
      <w:pPr>
        <w:pStyle w:val="Policybulletlevel2"/>
        <w:rPr>
          <w:szCs w:val="24"/>
        </w:rPr>
      </w:pPr>
      <w:r w:rsidRPr="00EB6E4F">
        <w:rPr>
          <w:szCs w:val="24"/>
        </w:rPr>
        <w:t xml:space="preserve">There is no remit to apportion blame or determine liability, preventability, or cause of death in a response conducted for the purpose of learning and improvement. Other processes, such as claims handling, human resources investigations into employment concerns, professional standards investigations, </w:t>
      </w:r>
      <w:r w:rsidR="003C2187" w:rsidRPr="00EB6E4F">
        <w:rPr>
          <w:szCs w:val="24"/>
        </w:rPr>
        <w:t>c</w:t>
      </w:r>
      <w:r w:rsidRPr="00EB6E4F">
        <w:rPr>
          <w:szCs w:val="24"/>
        </w:rPr>
        <w:t>oronial inquests, and criminal investigations, exist for that purpose. The principle aims of each of these responses differ from those of a patient safety response and are outside the scope of this policy.</w:t>
      </w:r>
    </w:p>
    <w:p w:rsidR="003C2187" w:rsidRPr="006F5BA6" w:rsidRDefault="00D77D37" w:rsidP="006F5BA6">
      <w:pPr>
        <w:pStyle w:val="Policybulletlevel2"/>
        <w:rPr>
          <w:szCs w:val="24"/>
        </w:rPr>
      </w:pPr>
      <w:r w:rsidRPr="00EB6E4F">
        <w:rPr>
          <w:szCs w:val="24"/>
        </w:rPr>
        <w:t>Information from a patient safety response process can be shared with those leading other types of responses, but other processes should not influence the remit of a patient safety incident response.</w:t>
      </w:r>
    </w:p>
    <w:p w:rsidR="00EB1617" w:rsidRDefault="00EB1617" w:rsidP="006F5BA6">
      <w:pPr>
        <w:pStyle w:val="Policyheader"/>
      </w:pPr>
      <w:bookmarkStart w:id="6" w:name="_Toc166674432"/>
      <w:r>
        <w:t>Duties</w:t>
      </w:r>
      <w:bookmarkEnd w:id="6"/>
    </w:p>
    <w:p w:rsidR="005A35E5" w:rsidRPr="00EB6E4F" w:rsidRDefault="005A35E5" w:rsidP="006F5BA6">
      <w:pPr>
        <w:pStyle w:val="Policybulletlevel2"/>
        <w:rPr>
          <w:szCs w:val="24"/>
        </w:rPr>
      </w:pPr>
      <w:r w:rsidRPr="00EB6E4F">
        <w:rPr>
          <w:b/>
          <w:szCs w:val="24"/>
        </w:rPr>
        <w:t>Trust Board</w:t>
      </w:r>
      <w:r w:rsidRPr="00EB6E4F">
        <w:rPr>
          <w:szCs w:val="24"/>
        </w:rPr>
        <w:t xml:space="preserve"> has responsibility to assure themselves that the </w:t>
      </w:r>
      <w:r w:rsidR="00B4189D" w:rsidRPr="00EB6E4F">
        <w:rPr>
          <w:szCs w:val="24"/>
        </w:rPr>
        <w:t>Patient Safety Incident Response (</w:t>
      </w:r>
      <w:r w:rsidRPr="00EB6E4F">
        <w:rPr>
          <w:szCs w:val="24"/>
        </w:rPr>
        <w:t>PSIR</w:t>
      </w:r>
      <w:r w:rsidR="00B4189D" w:rsidRPr="00EB6E4F">
        <w:rPr>
          <w:szCs w:val="24"/>
        </w:rPr>
        <w:t>)</w:t>
      </w:r>
      <w:r w:rsidRPr="00EB6E4F">
        <w:rPr>
          <w:szCs w:val="24"/>
        </w:rPr>
        <w:t xml:space="preserve"> Policy and Plan is being implemented, that </w:t>
      </w:r>
      <w:r w:rsidR="00E00035" w:rsidRPr="00EB6E4F">
        <w:rPr>
          <w:szCs w:val="24"/>
        </w:rPr>
        <w:t xml:space="preserve">learning to address </w:t>
      </w:r>
      <w:r w:rsidRPr="00EB6E4F">
        <w:rPr>
          <w:szCs w:val="24"/>
        </w:rPr>
        <w:t xml:space="preserve">areas of weakness </w:t>
      </w:r>
      <w:r w:rsidR="00E00035" w:rsidRPr="00EB6E4F">
        <w:rPr>
          <w:szCs w:val="24"/>
        </w:rPr>
        <w:t xml:space="preserve">has occurred and improvements </w:t>
      </w:r>
      <w:r w:rsidRPr="00EB6E4F">
        <w:rPr>
          <w:szCs w:val="24"/>
        </w:rPr>
        <w:t>are being</w:t>
      </w:r>
      <w:r w:rsidR="00E00035" w:rsidRPr="00EB6E4F">
        <w:rPr>
          <w:szCs w:val="24"/>
        </w:rPr>
        <w:t xml:space="preserve"> embedded</w:t>
      </w:r>
      <w:r w:rsidRPr="00EB6E4F">
        <w:rPr>
          <w:szCs w:val="24"/>
        </w:rPr>
        <w:t>. Part of this responsibility includes the assurance regarding the Trust</w:t>
      </w:r>
      <w:r w:rsidR="00825252" w:rsidRPr="00EB6E4F">
        <w:rPr>
          <w:szCs w:val="24"/>
        </w:rPr>
        <w:t>’</w:t>
      </w:r>
      <w:r w:rsidRPr="00EB6E4F">
        <w:rPr>
          <w:szCs w:val="24"/>
        </w:rPr>
        <w:t xml:space="preserve">s safety culture relating to blame and openness so that </w:t>
      </w:r>
      <w:r w:rsidR="00E00035" w:rsidRPr="00EB6E4F">
        <w:rPr>
          <w:szCs w:val="24"/>
        </w:rPr>
        <w:t xml:space="preserve">a just and </w:t>
      </w:r>
      <w:r w:rsidRPr="00EB6E4F">
        <w:rPr>
          <w:szCs w:val="24"/>
        </w:rPr>
        <w:t xml:space="preserve">learning </w:t>
      </w:r>
      <w:r w:rsidR="00E00035" w:rsidRPr="00EB6E4F">
        <w:rPr>
          <w:szCs w:val="24"/>
        </w:rPr>
        <w:t xml:space="preserve">culture </w:t>
      </w:r>
      <w:r w:rsidRPr="00EB6E4F">
        <w:rPr>
          <w:szCs w:val="24"/>
        </w:rPr>
        <w:t>can be achieved and patient engagement is meaningful. Once a quarter</w:t>
      </w:r>
      <w:r w:rsidR="00825252" w:rsidRPr="00EB6E4F">
        <w:rPr>
          <w:szCs w:val="24"/>
        </w:rPr>
        <w:t>,</w:t>
      </w:r>
      <w:r w:rsidRPr="00EB6E4F">
        <w:rPr>
          <w:szCs w:val="24"/>
        </w:rPr>
        <w:t xml:space="preserve"> the </w:t>
      </w:r>
      <w:r w:rsidR="00B4189D" w:rsidRPr="00EB6E4F">
        <w:rPr>
          <w:szCs w:val="24"/>
        </w:rPr>
        <w:t>Trust B</w:t>
      </w:r>
      <w:r w:rsidRPr="00EB6E4F">
        <w:rPr>
          <w:szCs w:val="24"/>
        </w:rPr>
        <w:t xml:space="preserve">oard </w:t>
      </w:r>
      <w:r w:rsidR="00942AAC" w:rsidRPr="00EB6E4F">
        <w:rPr>
          <w:szCs w:val="24"/>
        </w:rPr>
        <w:t xml:space="preserve">will be provided with an investigation report as part of the assurance </w:t>
      </w:r>
      <w:r w:rsidRPr="00EB6E4F">
        <w:rPr>
          <w:szCs w:val="24"/>
        </w:rPr>
        <w:t>proces</w:t>
      </w:r>
      <w:r w:rsidR="00691DE3" w:rsidRPr="00EB6E4F">
        <w:rPr>
          <w:szCs w:val="24"/>
        </w:rPr>
        <w:t>s</w:t>
      </w:r>
      <w:r w:rsidRPr="00EB6E4F">
        <w:rPr>
          <w:szCs w:val="24"/>
        </w:rPr>
        <w:t>.</w:t>
      </w:r>
      <w:r w:rsidR="0017168D" w:rsidRPr="00EB6E4F">
        <w:rPr>
          <w:szCs w:val="24"/>
        </w:rPr>
        <w:t xml:space="preserve">  PSIR progress </w:t>
      </w:r>
      <w:r w:rsidR="00002651" w:rsidRPr="00EB6E4F">
        <w:rPr>
          <w:szCs w:val="24"/>
        </w:rPr>
        <w:t xml:space="preserve">monitoring will be </w:t>
      </w:r>
      <w:r w:rsidR="0017168D" w:rsidRPr="00EB6E4F">
        <w:rPr>
          <w:szCs w:val="24"/>
        </w:rPr>
        <w:t>via</w:t>
      </w:r>
      <w:r w:rsidR="00002651" w:rsidRPr="00EB6E4F">
        <w:rPr>
          <w:szCs w:val="24"/>
        </w:rPr>
        <w:t xml:space="preserve"> the monthly Quality Governance reports reviewed at the </w:t>
      </w:r>
      <w:r w:rsidR="0017168D" w:rsidRPr="00EB6E4F">
        <w:rPr>
          <w:szCs w:val="24"/>
        </w:rPr>
        <w:t>Patient Safety Committee and Clinical Executive Management Group</w:t>
      </w:r>
      <w:r w:rsidR="00002651" w:rsidRPr="00EB6E4F">
        <w:rPr>
          <w:szCs w:val="24"/>
        </w:rPr>
        <w:t xml:space="preserve">, and updates provided via </w:t>
      </w:r>
      <w:r w:rsidR="0017168D" w:rsidRPr="00EB6E4F">
        <w:rPr>
          <w:szCs w:val="24"/>
        </w:rPr>
        <w:t>the Quality and Safety Committee</w:t>
      </w:r>
      <w:r w:rsidR="00002651" w:rsidRPr="00EB6E4F">
        <w:rPr>
          <w:szCs w:val="24"/>
        </w:rPr>
        <w:t xml:space="preserve"> onward to the Board.</w:t>
      </w:r>
    </w:p>
    <w:p w:rsidR="005A35E5" w:rsidRPr="00EB6E4F" w:rsidRDefault="005A35E5" w:rsidP="006F5BA6">
      <w:pPr>
        <w:pStyle w:val="Policybulletlevel2"/>
        <w:rPr>
          <w:szCs w:val="24"/>
        </w:rPr>
      </w:pPr>
      <w:r w:rsidRPr="00EB6E4F">
        <w:rPr>
          <w:b/>
          <w:szCs w:val="24"/>
        </w:rPr>
        <w:t>Chief Executive</w:t>
      </w:r>
      <w:r w:rsidRPr="00EB6E4F">
        <w:rPr>
          <w:szCs w:val="24"/>
        </w:rPr>
        <w:t xml:space="preserve"> is responsible for the provision of appropriate policies and procedures to ensure the safety of patients, staff and visitors. They are ultimately responsible for ensuring that all investigations are dealt with effectively and appropriately.  </w:t>
      </w:r>
    </w:p>
    <w:p w:rsidR="007418CB" w:rsidRPr="00EB6E4F" w:rsidRDefault="007418CB" w:rsidP="006F5BA6">
      <w:pPr>
        <w:pStyle w:val="Policybulletlevel2"/>
        <w:rPr>
          <w:szCs w:val="24"/>
        </w:rPr>
      </w:pPr>
      <w:r w:rsidRPr="00EB6E4F">
        <w:rPr>
          <w:b/>
          <w:szCs w:val="24"/>
        </w:rPr>
        <w:t>Chief Nursing and Midwifery Officer</w:t>
      </w:r>
      <w:r w:rsidR="00037A45" w:rsidRPr="00EB6E4F">
        <w:rPr>
          <w:b/>
          <w:szCs w:val="24"/>
        </w:rPr>
        <w:t xml:space="preserve"> </w:t>
      </w:r>
      <w:r w:rsidR="00A95DA0" w:rsidRPr="00EB6E4F">
        <w:rPr>
          <w:b/>
          <w:szCs w:val="24"/>
        </w:rPr>
        <w:t>(</w:t>
      </w:r>
      <w:r w:rsidR="005A35E5" w:rsidRPr="00EB6E4F">
        <w:rPr>
          <w:b/>
          <w:szCs w:val="24"/>
        </w:rPr>
        <w:t>CNMO)</w:t>
      </w:r>
      <w:r w:rsidR="005A35E5" w:rsidRPr="00EB6E4F">
        <w:rPr>
          <w:szCs w:val="24"/>
        </w:rPr>
        <w:t xml:space="preserve"> has delegated responsibly by the Board for the implementation of PSIRF. The CNMO is responsible for the approval of all </w:t>
      </w:r>
      <w:r w:rsidR="00825252" w:rsidRPr="00EB6E4F">
        <w:rPr>
          <w:szCs w:val="24"/>
        </w:rPr>
        <w:t>Patient Safety Incident Investigations (</w:t>
      </w:r>
      <w:r w:rsidR="005A35E5" w:rsidRPr="00EB6E4F">
        <w:rPr>
          <w:szCs w:val="24"/>
        </w:rPr>
        <w:t>PSIIs</w:t>
      </w:r>
      <w:r w:rsidR="00825252" w:rsidRPr="00EB6E4F">
        <w:rPr>
          <w:szCs w:val="24"/>
        </w:rPr>
        <w:t>)</w:t>
      </w:r>
      <w:r w:rsidR="005A35E5" w:rsidRPr="00EB6E4F">
        <w:rPr>
          <w:szCs w:val="24"/>
        </w:rPr>
        <w:t>.</w:t>
      </w:r>
      <w:r w:rsidR="00520A65" w:rsidRPr="00EB6E4F">
        <w:rPr>
          <w:szCs w:val="24"/>
        </w:rPr>
        <w:t xml:space="preserve"> The CNMO will be supported closely by the Trust</w:t>
      </w:r>
      <w:r w:rsidR="00825252" w:rsidRPr="00EB6E4F">
        <w:rPr>
          <w:szCs w:val="24"/>
        </w:rPr>
        <w:t>’</w:t>
      </w:r>
      <w:r w:rsidR="00520A65" w:rsidRPr="00EB6E4F">
        <w:rPr>
          <w:szCs w:val="24"/>
        </w:rPr>
        <w:t>s Patient Safety Specialists (PSS).</w:t>
      </w:r>
      <w:r w:rsidR="00691DE3" w:rsidRPr="00EB6E4F">
        <w:rPr>
          <w:szCs w:val="24"/>
        </w:rPr>
        <w:t xml:space="preserve">  </w:t>
      </w:r>
      <w:r w:rsidR="00942AAC" w:rsidRPr="00EB6E4F">
        <w:rPr>
          <w:szCs w:val="24"/>
        </w:rPr>
        <w:t xml:space="preserve">The </w:t>
      </w:r>
      <w:r w:rsidR="00691DE3" w:rsidRPr="00EB6E4F">
        <w:rPr>
          <w:szCs w:val="24"/>
        </w:rPr>
        <w:t>T</w:t>
      </w:r>
      <w:r w:rsidR="00942AAC" w:rsidRPr="00EB6E4F">
        <w:rPr>
          <w:szCs w:val="24"/>
        </w:rPr>
        <w:t xml:space="preserve">rust will have at least four Patient Safety Specialists. </w:t>
      </w:r>
    </w:p>
    <w:p w:rsidR="00A95DA0" w:rsidRPr="00EB6E4F" w:rsidRDefault="00A95DA0" w:rsidP="006F5BA6">
      <w:pPr>
        <w:pStyle w:val="Policybulletlevel2"/>
        <w:rPr>
          <w:szCs w:val="24"/>
        </w:rPr>
      </w:pPr>
      <w:r w:rsidRPr="00EB6E4F">
        <w:rPr>
          <w:b/>
          <w:szCs w:val="24"/>
        </w:rPr>
        <w:t>Chief Medical Officer (CMO)</w:t>
      </w:r>
      <w:r w:rsidRPr="00EB6E4F">
        <w:rPr>
          <w:szCs w:val="24"/>
        </w:rPr>
        <w:t xml:space="preserve"> will provide temporary oversight and approval of PSIIs, if the CNMO is not available.</w:t>
      </w:r>
    </w:p>
    <w:p w:rsidR="005A35E5" w:rsidRPr="00EB6E4F" w:rsidRDefault="005A35E5" w:rsidP="006F5BA6">
      <w:pPr>
        <w:pStyle w:val="Policybulletlevel2"/>
        <w:rPr>
          <w:szCs w:val="24"/>
        </w:rPr>
      </w:pPr>
      <w:r w:rsidRPr="00EB6E4F">
        <w:rPr>
          <w:b/>
          <w:szCs w:val="24"/>
        </w:rPr>
        <w:t>Director of Quality Governance</w:t>
      </w:r>
      <w:r w:rsidR="00A95DA0" w:rsidRPr="00EB6E4F">
        <w:rPr>
          <w:szCs w:val="24"/>
        </w:rPr>
        <w:t xml:space="preserve"> will support the CNMO in the strategic oversight of the implementation of PSIRF</w:t>
      </w:r>
      <w:r w:rsidR="00F7026F" w:rsidRPr="00EB6E4F">
        <w:rPr>
          <w:szCs w:val="24"/>
        </w:rPr>
        <w:t>.</w:t>
      </w:r>
    </w:p>
    <w:p w:rsidR="00D77D37" w:rsidRPr="00EB6E4F" w:rsidRDefault="00D77D37" w:rsidP="006F5BA6">
      <w:pPr>
        <w:pStyle w:val="Policybulletlevel2"/>
        <w:rPr>
          <w:szCs w:val="24"/>
        </w:rPr>
      </w:pPr>
      <w:r w:rsidRPr="00EB6E4F">
        <w:rPr>
          <w:b/>
          <w:bCs/>
          <w:szCs w:val="24"/>
        </w:rPr>
        <w:t>Deputy Director of Quality Governance</w:t>
      </w:r>
      <w:r w:rsidR="001B04DD" w:rsidRPr="00EB6E4F">
        <w:rPr>
          <w:b/>
          <w:bCs/>
          <w:szCs w:val="24"/>
        </w:rPr>
        <w:t xml:space="preserve"> </w:t>
      </w:r>
      <w:r w:rsidR="00C93A27" w:rsidRPr="00EB6E4F">
        <w:rPr>
          <w:szCs w:val="24"/>
        </w:rPr>
        <w:t xml:space="preserve">will provide leadership in the design and development of new systems and processes to support the effective implementation of PSIRF. </w:t>
      </w:r>
    </w:p>
    <w:p w:rsidR="00D77D37" w:rsidRPr="00EB6E4F" w:rsidRDefault="00D77D37" w:rsidP="006F5BA6">
      <w:pPr>
        <w:pStyle w:val="Policybulletlevel2"/>
        <w:rPr>
          <w:b/>
          <w:szCs w:val="24"/>
        </w:rPr>
      </w:pPr>
      <w:r w:rsidRPr="00EB6E4F">
        <w:rPr>
          <w:b/>
          <w:bCs/>
          <w:szCs w:val="24"/>
        </w:rPr>
        <w:lastRenderedPageBreak/>
        <w:t xml:space="preserve">Head of </w:t>
      </w:r>
      <w:r w:rsidR="00742CA2" w:rsidRPr="00EB6E4F">
        <w:rPr>
          <w:b/>
          <w:bCs/>
          <w:szCs w:val="24"/>
        </w:rPr>
        <w:t>Patient</w:t>
      </w:r>
      <w:r w:rsidRPr="00EB6E4F">
        <w:rPr>
          <w:b/>
          <w:bCs/>
          <w:szCs w:val="24"/>
        </w:rPr>
        <w:t xml:space="preserve"> Safety and Improvement</w:t>
      </w:r>
      <w:r w:rsidR="00DC3E6F" w:rsidRPr="00EB6E4F">
        <w:rPr>
          <w:szCs w:val="24"/>
        </w:rPr>
        <w:t xml:space="preserve"> </w:t>
      </w:r>
      <w:r w:rsidR="00C93A27" w:rsidRPr="00EB6E4F">
        <w:rPr>
          <w:szCs w:val="24"/>
        </w:rPr>
        <w:t>will provide</w:t>
      </w:r>
      <w:r w:rsidR="00B8385F" w:rsidRPr="00EB6E4F">
        <w:rPr>
          <w:szCs w:val="24"/>
        </w:rPr>
        <w:t xml:space="preserve"> </w:t>
      </w:r>
      <w:r w:rsidR="00C93A27" w:rsidRPr="00EB6E4F">
        <w:rPr>
          <w:szCs w:val="24"/>
        </w:rPr>
        <w:t xml:space="preserve">leadership to the </w:t>
      </w:r>
      <w:r w:rsidR="00825252" w:rsidRPr="00EB6E4F">
        <w:rPr>
          <w:szCs w:val="24"/>
        </w:rPr>
        <w:t xml:space="preserve">Corporate </w:t>
      </w:r>
      <w:r w:rsidR="00C93A27" w:rsidRPr="00EB6E4F">
        <w:rPr>
          <w:szCs w:val="24"/>
        </w:rPr>
        <w:t xml:space="preserve">Patient Safety Team and wider </w:t>
      </w:r>
      <w:r w:rsidR="00F7026F" w:rsidRPr="00EB6E4F">
        <w:rPr>
          <w:szCs w:val="24"/>
        </w:rPr>
        <w:t xml:space="preserve">organisation </w:t>
      </w:r>
      <w:r w:rsidR="00C93A27" w:rsidRPr="00EB6E4F">
        <w:rPr>
          <w:szCs w:val="24"/>
        </w:rPr>
        <w:t>in the design, development</w:t>
      </w:r>
      <w:r w:rsidR="000A3B0B" w:rsidRPr="00EB6E4F">
        <w:rPr>
          <w:szCs w:val="24"/>
        </w:rPr>
        <w:t xml:space="preserve"> and </w:t>
      </w:r>
      <w:r w:rsidR="00C93A27" w:rsidRPr="00EB6E4F">
        <w:rPr>
          <w:szCs w:val="24"/>
        </w:rPr>
        <w:t>embedding of the new systems</w:t>
      </w:r>
      <w:r w:rsidR="000A3B0B" w:rsidRPr="00EB6E4F">
        <w:rPr>
          <w:szCs w:val="24"/>
        </w:rPr>
        <w:t xml:space="preserve"> and processes</w:t>
      </w:r>
      <w:r w:rsidR="00825252" w:rsidRPr="00EB6E4F">
        <w:rPr>
          <w:szCs w:val="24"/>
        </w:rPr>
        <w:t xml:space="preserve"> including education and training</w:t>
      </w:r>
      <w:r w:rsidR="000A3B0B" w:rsidRPr="00EB6E4F">
        <w:rPr>
          <w:szCs w:val="24"/>
        </w:rPr>
        <w:t>. A</w:t>
      </w:r>
      <w:r w:rsidR="00C93A27" w:rsidRPr="00EB6E4F">
        <w:rPr>
          <w:szCs w:val="24"/>
        </w:rPr>
        <w:t>s well as identifying where redesign is required to enhance the effectiveness of our learning responses</w:t>
      </w:r>
      <w:r w:rsidR="000A3B0B" w:rsidRPr="00EB6E4F">
        <w:rPr>
          <w:szCs w:val="24"/>
        </w:rPr>
        <w:t>.</w:t>
      </w:r>
      <w:r w:rsidR="0031734B" w:rsidRPr="00EB6E4F">
        <w:rPr>
          <w:szCs w:val="24"/>
        </w:rPr>
        <w:t xml:space="preserve"> The</w:t>
      </w:r>
      <w:r w:rsidR="00825252" w:rsidRPr="00EB6E4F">
        <w:rPr>
          <w:szCs w:val="24"/>
        </w:rPr>
        <w:t>y</w:t>
      </w:r>
      <w:r w:rsidR="0031734B" w:rsidRPr="00EB6E4F">
        <w:rPr>
          <w:szCs w:val="24"/>
        </w:rPr>
        <w:t xml:space="preserve"> also manage the Quality Governance Business Partne</w:t>
      </w:r>
      <w:r w:rsidR="00167054" w:rsidRPr="00EB6E4F">
        <w:rPr>
          <w:szCs w:val="24"/>
        </w:rPr>
        <w:t>rs (QGBP</w:t>
      </w:r>
      <w:r w:rsidR="00825252" w:rsidRPr="00EB6E4F">
        <w:rPr>
          <w:szCs w:val="24"/>
        </w:rPr>
        <w:t>s) (</w:t>
      </w:r>
      <w:r w:rsidR="00167054" w:rsidRPr="00EB6E4F">
        <w:rPr>
          <w:szCs w:val="24"/>
        </w:rPr>
        <w:t>see 5.1</w:t>
      </w:r>
      <w:r w:rsidR="001C1840" w:rsidRPr="00EB6E4F">
        <w:rPr>
          <w:szCs w:val="24"/>
        </w:rPr>
        <w:t>1</w:t>
      </w:r>
      <w:r w:rsidR="00167054" w:rsidRPr="00EB6E4F">
        <w:rPr>
          <w:szCs w:val="24"/>
        </w:rPr>
        <w:t>)</w:t>
      </w:r>
      <w:r w:rsidR="00825252" w:rsidRPr="00EB6E4F">
        <w:rPr>
          <w:szCs w:val="24"/>
        </w:rPr>
        <w:t>.</w:t>
      </w:r>
    </w:p>
    <w:p w:rsidR="00860734" w:rsidRPr="00EB6E4F" w:rsidRDefault="00860734" w:rsidP="006F5BA6">
      <w:pPr>
        <w:pStyle w:val="Policybulletlevel2"/>
        <w:rPr>
          <w:szCs w:val="24"/>
        </w:rPr>
      </w:pPr>
      <w:r w:rsidRPr="00EB6E4F">
        <w:rPr>
          <w:b/>
          <w:bCs/>
          <w:szCs w:val="24"/>
        </w:rPr>
        <w:t xml:space="preserve">Patient Safety Specialist </w:t>
      </w:r>
      <w:r w:rsidR="00CB5719" w:rsidRPr="00EB6E4F">
        <w:rPr>
          <w:bCs/>
          <w:szCs w:val="24"/>
        </w:rPr>
        <w:t>will provide a specialist knowledge and expertise</w:t>
      </w:r>
      <w:r w:rsidR="00825252" w:rsidRPr="00EB6E4F">
        <w:rPr>
          <w:bCs/>
          <w:szCs w:val="24"/>
        </w:rPr>
        <w:t>,</w:t>
      </w:r>
      <w:r w:rsidR="00CB5719" w:rsidRPr="00EB6E4F">
        <w:rPr>
          <w:bCs/>
          <w:szCs w:val="24"/>
        </w:rPr>
        <w:t xml:space="preserve"> when required</w:t>
      </w:r>
      <w:r w:rsidR="00825252" w:rsidRPr="00EB6E4F">
        <w:rPr>
          <w:bCs/>
          <w:szCs w:val="24"/>
        </w:rPr>
        <w:t>,</w:t>
      </w:r>
      <w:r w:rsidR="00CB5719" w:rsidRPr="00EB6E4F">
        <w:rPr>
          <w:bCs/>
          <w:szCs w:val="24"/>
        </w:rPr>
        <w:t xml:space="preserve"> in response to an incident or theme. They will </w:t>
      </w:r>
      <w:r w:rsidR="00CB5719" w:rsidRPr="00EB6E4F">
        <w:rPr>
          <w:szCs w:val="24"/>
        </w:rPr>
        <w:t>also</w:t>
      </w:r>
      <w:r w:rsidR="00CB5719" w:rsidRPr="00EB6E4F">
        <w:rPr>
          <w:bCs/>
          <w:szCs w:val="24"/>
        </w:rPr>
        <w:t xml:space="preserve"> take a leading role in the Trust</w:t>
      </w:r>
      <w:r w:rsidR="00825252" w:rsidRPr="00EB6E4F">
        <w:rPr>
          <w:bCs/>
          <w:szCs w:val="24"/>
        </w:rPr>
        <w:t>’</w:t>
      </w:r>
      <w:r w:rsidR="00CB5719" w:rsidRPr="00EB6E4F">
        <w:rPr>
          <w:bCs/>
          <w:szCs w:val="24"/>
        </w:rPr>
        <w:t xml:space="preserve">s four key themes providing oversight and </w:t>
      </w:r>
      <w:r w:rsidR="00CB5719" w:rsidRPr="006F5BA6">
        <w:rPr>
          <w:szCs w:val="24"/>
        </w:rPr>
        <w:t>leadership</w:t>
      </w:r>
      <w:r w:rsidR="00CB5719" w:rsidRPr="00EB6E4F">
        <w:rPr>
          <w:bCs/>
          <w:szCs w:val="24"/>
        </w:rPr>
        <w:t xml:space="preserve"> in how these are </w:t>
      </w:r>
      <w:r w:rsidR="00CB5719" w:rsidRPr="00EB6E4F">
        <w:rPr>
          <w:szCs w:val="24"/>
        </w:rPr>
        <w:t>managed</w:t>
      </w:r>
      <w:r w:rsidR="00CB5719" w:rsidRPr="00EB6E4F">
        <w:rPr>
          <w:bCs/>
          <w:szCs w:val="24"/>
        </w:rPr>
        <w:t xml:space="preserve"> and overseen ensuring a robust design</w:t>
      </w:r>
      <w:r w:rsidR="00825252" w:rsidRPr="00EB6E4F">
        <w:rPr>
          <w:bCs/>
          <w:szCs w:val="24"/>
        </w:rPr>
        <w:t xml:space="preserve"> methodology</w:t>
      </w:r>
      <w:r w:rsidR="00CB5719" w:rsidRPr="00EB6E4F">
        <w:rPr>
          <w:bCs/>
          <w:szCs w:val="24"/>
        </w:rPr>
        <w:t xml:space="preserve"> and consistent improvement.  </w:t>
      </w:r>
    </w:p>
    <w:p w:rsidR="00D77D37" w:rsidRPr="00EB6E4F" w:rsidRDefault="00D77D37" w:rsidP="006F5BA6">
      <w:pPr>
        <w:pStyle w:val="Policybulletlevel2"/>
        <w:rPr>
          <w:szCs w:val="24"/>
        </w:rPr>
      </w:pPr>
      <w:r w:rsidRPr="00EB6E4F">
        <w:rPr>
          <w:b/>
          <w:bCs/>
          <w:szCs w:val="24"/>
        </w:rPr>
        <w:t xml:space="preserve">Deputy Head of </w:t>
      </w:r>
      <w:r w:rsidR="00345ACA" w:rsidRPr="00EB6E4F">
        <w:rPr>
          <w:b/>
          <w:bCs/>
          <w:szCs w:val="24"/>
        </w:rPr>
        <w:t>Patient</w:t>
      </w:r>
      <w:r w:rsidRPr="00EB6E4F">
        <w:rPr>
          <w:b/>
          <w:bCs/>
          <w:szCs w:val="24"/>
        </w:rPr>
        <w:t xml:space="preserve"> </w:t>
      </w:r>
      <w:r w:rsidR="00345ACA" w:rsidRPr="00EB6E4F">
        <w:rPr>
          <w:b/>
          <w:bCs/>
          <w:szCs w:val="24"/>
        </w:rPr>
        <w:t>S</w:t>
      </w:r>
      <w:r w:rsidRPr="00EB6E4F">
        <w:rPr>
          <w:b/>
          <w:bCs/>
          <w:szCs w:val="24"/>
        </w:rPr>
        <w:t xml:space="preserve">afety </w:t>
      </w:r>
      <w:r w:rsidR="00825252" w:rsidRPr="00EB6E4F">
        <w:rPr>
          <w:b/>
          <w:bCs/>
          <w:szCs w:val="24"/>
        </w:rPr>
        <w:t>and</w:t>
      </w:r>
      <w:r w:rsidRPr="00EB6E4F">
        <w:rPr>
          <w:b/>
          <w:bCs/>
          <w:szCs w:val="24"/>
        </w:rPr>
        <w:t xml:space="preserve"> Improvement</w:t>
      </w:r>
      <w:r w:rsidR="00DC3E6F" w:rsidRPr="00EB6E4F">
        <w:rPr>
          <w:szCs w:val="24"/>
        </w:rPr>
        <w:t xml:space="preserve"> is responsible for </w:t>
      </w:r>
      <w:r w:rsidR="00F7026F" w:rsidRPr="00EB6E4F">
        <w:rPr>
          <w:szCs w:val="24"/>
        </w:rPr>
        <w:t xml:space="preserve">leadership across the organisation in relation to embedding PSIRF, </w:t>
      </w:r>
      <w:r w:rsidR="00825252" w:rsidRPr="00EB6E4F">
        <w:rPr>
          <w:szCs w:val="24"/>
        </w:rPr>
        <w:t>learning response</w:t>
      </w:r>
      <w:r w:rsidR="00F7026F" w:rsidRPr="00EB6E4F">
        <w:rPr>
          <w:szCs w:val="24"/>
        </w:rPr>
        <w:t xml:space="preserve"> methodology</w:t>
      </w:r>
      <w:r w:rsidR="00825252" w:rsidRPr="00EB6E4F">
        <w:rPr>
          <w:szCs w:val="24"/>
        </w:rPr>
        <w:t xml:space="preserve"> and the</w:t>
      </w:r>
      <w:r w:rsidR="00F7026F" w:rsidRPr="00EB6E4F">
        <w:rPr>
          <w:szCs w:val="24"/>
        </w:rPr>
        <w:t xml:space="preserve"> System Engineering </w:t>
      </w:r>
      <w:r w:rsidR="00F7026F" w:rsidRPr="006F5BA6">
        <w:rPr>
          <w:bCs/>
          <w:szCs w:val="24"/>
        </w:rPr>
        <w:t>Initiative</w:t>
      </w:r>
      <w:r w:rsidR="00F7026F" w:rsidRPr="00EB6E4F">
        <w:rPr>
          <w:szCs w:val="24"/>
        </w:rPr>
        <w:t xml:space="preserve"> for Patient Safety (SEIPS)</w:t>
      </w:r>
      <w:r w:rsidR="00825252" w:rsidRPr="00EB6E4F">
        <w:rPr>
          <w:szCs w:val="24"/>
        </w:rPr>
        <w:t xml:space="preserve"> framework</w:t>
      </w:r>
      <w:r w:rsidR="00F7026F" w:rsidRPr="00EB6E4F">
        <w:rPr>
          <w:szCs w:val="24"/>
        </w:rPr>
        <w:t xml:space="preserve">. </w:t>
      </w:r>
      <w:r w:rsidR="00825252" w:rsidRPr="00EB6E4F">
        <w:rPr>
          <w:szCs w:val="24"/>
        </w:rPr>
        <w:t xml:space="preserve">Supporting the development and delivery of </w:t>
      </w:r>
      <w:r w:rsidR="00F7026F" w:rsidRPr="00EB6E4F">
        <w:rPr>
          <w:bCs/>
          <w:szCs w:val="24"/>
        </w:rPr>
        <w:t>training</w:t>
      </w:r>
      <w:r w:rsidR="00F7026F" w:rsidRPr="00EB6E4F">
        <w:rPr>
          <w:szCs w:val="24"/>
        </w:rPr>
        <w:t xml:space="preserve"> for the Trust in relation to both improvement and investigation methodology and tools provided by NHS</w:t>
      </w:r>
      <w:r w:rsidR="00BC13CA" w:rsidRPr="00EB6E4F">
        <w:rPr>
          <w:szCs w:val="24"/>
        </w:rPr>
        <w:t xml:space="preserve"> </w:t>
      </w:r>
      <w:r w:rsidR="00F7026F" w:rsidRPr="00EB6E4F">
        <w:rPr>
          <w:szCs w:val="24"/>
        </w:rPr>
        <w:t>E</w:t>
      </w:r>
      <w:r w:rsidR="00BC13CA" w:rsidRPr="00EB6E4F">
        <w:rPr>
          <w:szCs w:val="24"/>
        </w:rPr>
        <w:t>ngland</w:t>
      </w:r>
      <w:r w:rsidR="00F7026F" w:rsidRPr="00EB6E4F">
        <w:rPr>
          <w:szCs w:val="24"/>
        </w:rPr>
        <w:t xml:space="preserve"> for use with PSIRF. This role will provide oversight of the team that provides the </w:t>
      </w:r>
      <w:r w:rsidR="00C93A27" w:rsidRPr="00EB6E4F">
        <w:rPr>
          <w:szCs w:val="24"/>
        </w:rPr>
        <w:t>day-to-day</w:t>
      </w:r>
      <w:r w:rsidR="00F7026F" w:rsidRPr="00EB6E4F">
        <w:rPr>
          <w:szCs w:val="24"/>
        </w:rPr>
        <w:t xml:space="preserve"> management of our learning responses as well as the </w:t>
      </w:r>
      <w:r w:rsidR="00FA3D31" w:rsidRPr="00EB6E4F">
        <w:rPr>
          <w:szCs w:val="24"/>
        </w:rPr>
        <w:t>management of the Incident Management System</w:t>
      </w:r>
      <w:r w:rsidR="00F7026F" w:rsidRPr="00EB6E4F">
        <w:rPr>
          <w:szCs w:val="24"/>
        </w:rPr>
        <w:t xml:space="preserve"> Team, </w:t>
      </w:r>
      <w:r w:rsidR="00576CDA" w:rsidRPr="00EB6E4F">
        <w:rPr>
          <w:szCs w:val="24"/>
        </w:rPr>
        <w:t>Learning from Deaths Facilitators, Clinical Guidance and Alerts</w:t>
      </w:r>
      <w:r w:rsidR="00F7026F" w:rsidRPr="00EB6E4F">
        <w:rPr>
          <w:szCs w:val="24"/>
        </w:rPr>
        <w:t xml:space="preserve"> and Patient Safety Lead</w:t>
      </w:r>
      <w:r w:rsidR="0060663A" w:rsidRPr="00EB6E4F">
        <w:rPr>
          <w:szCs w:val="24"/>
        </w:rPr>
        <w:t>s</w:t>
      </w:r>
      <w:r w:rsidR="00F7026F" w:rsidRPr="00EB6E4F">
        <w:rPr>
          <w:szCs w:val="24"/>
        </w:rPr>
        <w:t xml:space="preserve">. </w:t>
      </w:r>
    </w:p>
    <w:p w:rsidR="007418CB" w:rsidRPr="00EB6E4F" w:rsidRDefault="007418CB" w:rsidP="006F5BA6">
      <w:pPr>
        <w:pStyle w:val="Policybulletlevel2"/>
        <w:rPr>
          <w:szCs w:val="24"/>
        </w:rPr>
      </w:pPr>
      <w:r w:rsidRPr="00EB6E4F">
        <w:rPr>
          <w:b/>
          <w:bCs/>
          <w:szCs w:val="24"/>
        </w:rPr>
        <w:t>Patient Safety Lead</w:t>
      </w:r>
      <w:r w:rsidR="0060663A" w:rsidRPr="00EB6E4F">
        <w:rPr>
          <w:b/>
          <w:bCs/>
          <w:szCs w:val="24"/>
        </w:rPr>
        <w:t>s</w:t>
      </w:r>
      <w:r w:rsidR="00405557" w:rsidRPr="00EB6E4F">
        <w:rPr>
          <w:szCs w:val="24"/>
        </w:rPr>
        <w:t xml:space="preserve"> </w:t>
      </w:r>
      <w:r w:rsidR="00D23DF1" w:rsidRPr="00EB6E4F">
        <w:rPr>
          <w:szCs w:val="24"/>
        </w:rPr>
        <w:t>are</w:t>
      </w:r>
      <w:r w:rsidR="00DC3E6F" w:rsidRPr="00EB6E4F">
        <w:rPr>
          <w:szCs w:val="24"/>
        </w:rPr>
        <w:t xml:space="preserve"> responsible for providing coaching </w:t>
      </w:r>
      <w:r w:rsidR="00F7026F" w:rsidRPr="00EB6E4F">
        <w:rPr>
          <w:szCs w:val="24"/>
        </w:rPr>
        <w:t>to</w:t>
      </w:r>
      <w:r w:rsidR="00DC3E6F" w:rsidRPr="00EB6E4F">
        <w:rPr>
          <w:szCs w:val="24"/>
        </w:rPr>
        <w:t xml:space="preserve"> the </w:t>
      </w:r>
      <w:r w:rsidR="00BC13CA" w:rsidRPr="00EB6E4F">
        <w:rPr>
          <w:szCs w:val="24"/>
        </w:rPr>
        <w:t>Quality Governance Business Partners (</w:t>
      </w:r>
      <w:r w:rsidR="00DC3E6F" w:rsidRPr="00EB6E4F">
        <w:rPr>
          <w:szCs w:val="24"/>
        </w:rPr>
        <w:t>QGBP</w:t>
      </w:r>
      <w:r w:rsidR="00BC13CA" w:rsidRPr="00EB6E4F">
        <w:rPr>
          <w:szCs w:val="24"/>
        </w:rPr>
        <w:t>)</w:t>
      </w:r>
      <w:r w:rsidR="00DC3E6F" w:rsidRPr="00EB6E4F">
        <w:rPr>
          <w:szCs w:val="24"/>
        </w:rPr>
        <w:t xml:space="preserve"> on investigation methodologies and techniques, as well as undertaking PSIIs themselves that relate to the four key themes that have been selected for that year.</w:t>
      </w:r>
    </w:p>
    <w:p w:rsidR="00DC3E6F" w:rsidRPr="00EB6E4F" w:rsidRDefault="007418CB" w:rsidP="006F5BA6">
      <w:pPr>
        <w:pStyle w:val="Policybulletlevel2"/>
        <w:rPr>
          <w:szCs w:val="24"/>
        </w:rPr>
      </w:pPr>
      <w:r w:rsidRPr="00EB6E4F">
        <w:rPr>
          <w:b/>
          <w:szCs w:val="24"/>
        </w:rPr>
        <w:t xml:space="preserve">Quality </w:t>
      </w:r>
      <w:r w:rsidR="00D77D37" w:rsidRPr="00EB6E4F">
        <w:rPr>
          <w:b/>
          <w:szCs w:val="24"/>
        </w:rPr>
        <w:t>Governance Business Partners (QGBP)</w:t>
      </w:r>
      <w:r w:rsidR="00742CA2" w:rsidRPr="00EB6E4F">
        <w:rPr>
          <w:szCs w:val="24"/>
        </w:rPr>
        <w:t xml:space="preserve"> </w:t>
      </w:r>
      <w:r w:rsidR="00DC3E6F" w:rsidRPr="00EB6E4F">
        <w:rPr>
          <w:szCs w:val="24"/>
        </w:rPr>
        <w:t xml:space="preserve">will oversee patient safety activity, supporting and advising the Care Group during the learning response process. They will also take the lead role, supported by the Corporate </w:t>
      </w:r>
      <w:r w:rsidR="0060663A" w:rsidRPr="00EB6E4F">
        <w:rPr>
          <w:szCs w:val="24"/>
        </w:rPr>
        <w:t>Patient Safety Team Lead</w:t>
      </w:r>
      <w:r w:rsidR="00DC3E6F" w:rsidRPr="00EB6E4F">
        <w:rPr>
          <w:szCs w:val="24"/>
        </w:rPr>
        <w:t xml:space="preserve"> Investigators, for undertaking the PSIIs. These will not usually be within the care group they are </w:t>
      </w:r>
      <w:r w:rsidR="0060663A" w:rsidRPr="00EB6E4F">
        <w:rPr>
          <w:szCs w:val="24"/>
        </w:rPr>
        <w:t xml:space="preserve">aligned </w:t>
      </w:r>
      <w:r w:rsidR="00DC3E6F" w:rsidRPr="00EB6E4F">
        <w:rPr>
          <w:szCs w:val="24"/>
        </w:rPr>
        <w:t xml:space="preserve">to. </w:t>
      </w:r>
    </w:p>
    <w:p w:rsidR="00DC3E6F" w:rsidRPr="00EB6E4F" w:rsidRDefault="00DC3E6F" w:rsidP="006F5BA6">
      <w:pPr>
        <w:pStyle w:val="Policybulletlevel2"/>
        <w:rPr>
          <w:szCs w:val="24"/>
        </w:rPr>
      </w:pPr>
      <w:r w:rsidRPr="00EB6E4F">
        <w:rPr>
          <w:szCs w:val="24"/>
        </w:rPr>
        <w:t xml:space="preserve">The QGBP will have </w:t>
      </w:r>
      <w:r w:rsidR="00742CA2" w:rsidRPr="00EB6E4F">
        <w:rPr>
          <w:szCs w:val="24"/>
        </w:rPr>
        <w:t xml:space="preserve">60% </w:t>
      </w:r>
      <w:r w:rsidRPr="00EB6E4F">
        <w:rPr>
          <w:szCs w:val="24"/>
        </w:rPr>
        <w:t xml:space="preserve">of their working week allocated to </w:t>
      </w:r>
      <w:r w:rsidR="00742CA2" w:rsidRPr="00EB6E4F">
        <w:rPr>
          <w:szCs w:val="24"/>
        </w:rPr>
        <w:t xml:space="preserve">Patient Safety </w:t>
      </w:r>
      <w:r w:rsidRPr="00EB6E4F">
        <w:rPr>
          <w:szCs w:val="24"/>
        </w:rPr>
        <w:t xml:space="preserve">and investigation, whilst the remaining </w:t>
      </w:r>
      <w:r w:rsidR="00742CA2" w:rsidRPr="00EB6E4F">
        <w:rPr>
          <w:szCs w:val="24"/>
        </w:rPr>
        <w:t xml:space="preserve">40% </w:t>
      </w:r>
      <w:r w:rsidRPr="00EB6E4F">
        <w:rPr>
          <w:szCs w:val="24"/>
        </w:rPr>
        <w:t>of their time will be focusing on the embedding of</w:t>
      </w:r>
      <w:r>
        <w:t xml:space="preserve"> </w:t>
      </w:r>
      <w:r w:rsidRPr="00EB6E4F">
        <w:rPr>
          <w:szCs w:val="24"/>
        </w:rPr>
        <w:t xml:space="preserve">robust </w:t>
      </w:r>
      <w:r w:rsidR="00742CA2" w:rsidRPr="00EB6E4F">
        <w:rPr>
          <w:szCs w:val="24"/>
        </w:rPr>
        <w:t xml:space="preserve">Quality Governance </w:t>
      </w:r>
      <w:r w:rsidRPr="00EB6E4F">
        <w:rPr>
          <w:szCs w:val="24"/>
        </w:rPr>
        <w:t xml:space="preserve">systems and processes </w:t>
      </w:r>
      <w:r w:rsidR="00742CA2" w:rsidRPr="00EB6E4F">
        <w:rPr>
          <w:szCs w:val="24"/>
        </w:rPr>
        <w:t>within the</w:t>
      </w:r>
      <w:r w:rsidR="0060663A" w:rsidRPr="00EB6E4F">
        <w:rPr>
          <w:szCs w:val="24"/>
        </w:rPr>
        <w:t xml:space="preserve"> </w:t>
      </w:r>
      <w:r w:rsidR="00742CA2" w:rsidRPr="00EB6E4F">
        <w:rPr>
          <w:szCs w:val="24"/>
        </w:rPr>
        <w:t>Care Group</w:t>
      </w:r>
      <w:r w:rsidR="0060663A" w:rsidRPr="00EB6E4F">
        <w:rPr>
          <w:szCs w:val="24"/>
        </w:rPr>
        <w:t xml:space="preserve"> to which they are aligned</w:t>
      </w:r>
      <w:r w:rsidR="00742CA2" w:rsidRPr="00EB6E4F">
        <w:rPr>
          <w:szCs w:val="24"/>
        </w:rPr>
        <w:t xml:space="preserve">. </w:t>
      </w:r>
    </w:p>
    <w:p w:rsidR="005A35E5" w:rsidRPr="00EB6E4F" w:rsidRDefault="00742CA2" w:rsidP="006F5BA6">
      <w:pPr>
        <w:pStyle w:val="Policybulletlevel2"/>
        <w:rPr>
          <w:szCs w:val="24"/>
        </w:rPr>
      </w:pPr>
      <w:r w:rsidRPr="00EB6E4F">
        <w:rPr>
          <w:b/>
          <w:szCs w:val="24"/>
        </w:rPr>
        <w:t>C</w:t>
      </w:r>
      <w:r w:rsidR="001D1C7D" w:rsidRPr="00EB6E4F">
        <w:rPr>
          <w:b/>
          <w:szCs w:val="24"/>
        </w:rPr>
        <w:t xml:space="preserve">orporate </w:t>
      </w:r>
      <w:r w:rsidRPr="00EB6E4F">
        <w:rPr>
          <w:b/>
          <w:szCs w:val="24"/>
        </w:rPr>
        <w:t>Q</w:t>
      </w:r>
      <w:r w:rsidR="001D1C7D" w:rsidRPr="00EB6E4F">
        <w:rPr>
          <w:b/>
          <w:szCs w:val="24"/>
        </w:rPr>
        <w:t xml:space="preserve">uality </w:t>
      </w:r>
      <w:r w:rsidRPr="00EB6E4F">
        <w:rPr>
          <w:b/>
          <w:szCs w:val="24"/>
        </w:rPr>
        <w:t>G</w:t>
      </w:r>
      <w:r w:rsidR="001D1C7D" w:rsidRPr="00EB6E4F">
        <w:rPr>
          <w:b/>
          <w:szCs w:val="24"/>
        </w:rPr>
        <w:t>over</w:t>
      </w:r>
      <w:r w:rsidRPr="00EB6E4F">
        <w:rPr>
          <w:b/>
          <w:szCs w:val="24"/>
        </w:rPr>
        <w:t>n</w:t>
      </w:r>
      <w:r w:rsidR="001D1C7D" w:rsidRPr="00EB6E4F">
        <w:rPr>
          <w:b/>
          <w:szCs w:val="24"/>
        </w:rPr>
        <w:t>ance</w:t>
      </w:r>
      <w:r w:rsidR="001C1840" w:rsidRPr="00EB6E4F">
        <w:rPr>
          <w:b/>
          <w:szCs w:val="24"/>
        </w:rPr>
        <w:t xml:space="preserve"> Team</w:t>
      </w:r>
      <w:r w:rsidR="001D1C7D" w:rsidRPr="00EB6E4F">
        <w:rPr>
          <w:b/>
          <w:szCs w:val="24"/>
        </w:rPr>
        <w:t xml:space="preserve"> </w:t>
      </w:r>
      <w:r w:rsidR="00A43267" w:rsidRPr="00EB6E4F">
        <w:rPr>
          <w:szCs w:val="24"/>
        </w:rPr>
        <w:t xml:space="preserve">will manage the </w:t>
      </w:r>
      <w:r w:rsidR="00C93A27" w:rsidRPr="00EB6E4F">
        <w:rPr>
          <w:szCs w:val="24"/>
        </w:rPr>
        <w:t>day-to-day</w:t>
      </w:r>
      <w:r w:rsidR="00A43267" w:rsidRPr="00EB6E4F">
        <w:rPr>
          <w:szCs w:val="24"/>
        </w:rPr>
        <w:t xml:space="preserve"> </w:t>
      </w:r>
      <w:r w:rsidR="00DC3E6F" w:rsidRPr="00EB6E4F">
        <w:rPr>
          <w:szCs w:val="24"/>
        </w:rPr>
        <w:t>Patient Safety function</w:t>
      </w:r>
      <w:r w:rsidR="002F4411" w:rsidRPr="00EB6E4F">
        <w:rPr>
          <w:szCs w:val="24"/>
        </w:rPr>
        <w:t>s</w:t>
      </w:r>
      <w:r w:rsidR="00DC3E6F" w:rsidRPr="00EB6E4F">
        <w:rPr>
          <w:szCs w:val="24"/>
        </w:rPr>
        <w:t>.</w:t>
      </w:r>
      <w:r w:rsidR="00C93A27" w:rsidRPr="00EB6E4F">
        <w:rPr>
          <w:szCs w:val="24"/>
        </w:rPr>
        <w:t xml:space="preserve"> There will be close liaison between th</w:t>
      </w:r>
      <w:r w:rsidR="002F4411" w:rsidRPr="00EB6E4F">
        <w:rPr>
          <w:szCs w:val="24"/>
        </w:rPr>
        <w:t>ese</w:t>
      </w:r>
      <w:r w:rsidR="00C93A27" w:rsidRPr="00EB6E4F">
        <w:rPr>
          <w:szCs w:val="24"/>
        </w:rPr>
        <w:t xml:space="preserve"> role</w:t>
      </w:r>
      <w:r w:rsidR="002F4411" w:rsidRPr="00EB6E4F">
        <w:rPr>
          <w:szCs w:val="24"/>
        </w:rPr>
        <w:t>s</w:t>
      </w:r>
      <w:r w:rsidR="00C93A27" w:rsidRPr="00EB6E4F">
        <w:rPr>
          <w:szCs w:val="24"/>
        </w:rPr>
        <w:t xml:space="preserve"> and the Quality Governance Business Partner roles. These roles will support the new systems and processes designed to embed PSIRF.</w:t>
      </w:r>
    </w:p>
    <w:p w:rsidR="00E53130" w:rsidRPr="00EB6E4F" w:rsidRDefault="00E53130" w:rsidP="006F5BA6">
      <w:pPr>
        <w:pStyle w:val="Policybulletlevel2"/>
        <w:rPr>
          <w:szCs w:val="24"/>
        </w:rPr>
      </w:pPr>
      <w:r w:rsidRPr="00EB6E4F">
        <w:rPr>
          <w:b/>
          <w:bCs/>
          <w:szCs w:val="24"/>
        </w:rPr>
        <w:t>Care Groups</w:t>
      </w:r>
      <w:r w:rsidRPr="00EB6E4F">
        <w:rPr>
          <w:szCs w:val="24"/>
        </w:rPr>
        <w:t xml:space="preserve"> will be responsible for ensuring that </w:t>
      </w:r>
      <w:r w:rsidR="00C635EB" w:rsidRPr="00EB6E4F">
        <w:rPr>
          <w:szCs w:val="24"/>
        </w:rPr>
        <w:t>all</w:t>
      </w:r>
      <w:r w:rsidRPr="00EB6E4F">
        <w:rPr>
          <w:szCs w:val="24"/>
        </w:rPr>
        <w:t xml:space="preserve"> their incidents are reviewed daily and responded to appropriately, actions placed on the </w:t>
      </w:r>
      <w:r w:rsidR="00A43279" w:rsidRPr="00EB6E4F">
        <w:rPr>
          <w:szCs w:val="24"/>
        </w:rPr>
        <w:t>A</w:t>
      </w:r>
      <w:r w:rsidRPr="00EB6E4F">
        <w:rPr>
          <w:szCs w:val="24"/>
        </w:rPr>
        <w:t xml:space="preserve">ctions module within the Incident </w:t>
      </w:r>
      <w:r w:rsidR="002F4411" w:rsidRPr="00EB6E4F">
        <w:rPr>
          <w:szCs w:val="24"/>
        </w:rPr>
        <w:t>Management</w:t>
      </w:r>
      <w:r w:rsidRPr="00EB6E4F">
        <w:rPr>
          <w:szCs w:val="24"/>
        </w:rPr>
        <w:t xml:space="preserve"> </w:t>
      </w:r>
      <w:r w:rsidR="00A43279" w:rsidRPr="00EB6E4F">
        <w:rPr>
          <w:szCs w:val="24"/>
        </w:rPr>
        <w:t>S</w:t>
      </w:r>
      <w:r w:rsidRPr="00EB6E4F">
        <w:rPr>
          <w:szCs w:val="24"/>
        </w:rPr>
        <w:t>ystem</w:t>
      </w:r>
      <w:r w:rsidR="00C635EB" w:rsidRPr="00EB6E4F">
        <w:rPr>
          <w:szCs w:val="24"/>
        </w:rPr>
        <w:t xml:space="preserve"> and the incident closed appropriately</w:t>
      </w:r>
      <w:r w:rsidRPr="00EB6E4F">
        <w:rPr>
          <w:szCs w:val="24"/>
        </w:rPr>
        <w:t xml:space="preserve">. Through their governance processes they will ensure that there is timely closure of these incidents as well as proportionate learning responses selected to address the issues identified. The solutions identified, following the completion of the learning response, will be entered onto the Actions module and monitored through their governance processes. They are responsible for promoting an open culture across </w:t>
      </w:r>
      <w:r w:rsidRPr="00EB6E4F">
        <w:rPr>
          <w:szCs w:val="24"/>
        </w:rPr>
        <w:lastRenderedPageBreak/>
        <w:t xml:space="preserve">their Care Group where staff feel comfortable raising concerns and are not fearful when involved in an incident. </w:t>
      </w:r>
    </w:p>
    <w:p w:rsidR="00EB59C4" w:rsidRPr="00EB6E4F" w:rsidRDefault="00B736DE" w:rsidP="006F5BA6">
      <w:pPr>
        <w:pStyle w:val="Policybulletlevel2"/>
        <w:rPr>
          <w:szCs w:val="24"/>
        </w:rPr>
      </w:pPr>
      <w:r w:rsidRPr="00EB6E4F">
        <w:rPr>
          <w:b/>
          <w:bCs/>
          <w:szCs w:val="24"/>
        </w:rPr>
        <w:t>Medical Examiner</w:t>
      </w:r>
      <w:r w:rsidR="002F4411" w:rsidRPr="00EB6E4F">
        <w:rPr>
          <w:b/>
          <w:bCs/>
          <w:szCs w:val="24"/>
        </w:rPr>
        <w:t>s</w:t>
      </w:r>
      <w:r w:rsidR="00EB59C4" w:rsidRPr="00EB6E4F">
        <w:rPr>
          <w:b/>
          <w:bCs/>
          <w:szCs w:val="24"/>
        </w:rPr>
        <w:t xml:space="preserve"> </w:t>
      </w:r>
      <w:r w:rsidR="00EB59C4" w:rsidRPr="00EB6E4F">
        <w:rPr>
          <w:szCs w:val="24"/>
        </w:rPr>
        <w:t xml:space="preserve">will provide expertise in medicine and contribute to the accurate determination of </w:t>
      </w:r>
      <w:r w:rsidR="00FA3D31" w:rsidRPr="00EB6E4F">
        <w:rPr>
          <w:szCs w:val="24"/>
        </w:rPr>
        <w:t>a patient’s</w:t>
      </w:r>
      <w:r w:rsidR="00EB59C4" w:rsidRPr="00EB6E4F">
        <w:rPr>
          <w:szCs w:val="24"/>
        </w:rPr>
        <w:t xml:space="preserve"> cause of death. In </w:t>
      </w:r>
      <w:r w:rsidR="00EB6E4F" w:rsidRPr="00EB6E4F">
        <w:rPr>
          <w:szCs w:val="24"/>
        </w:rPr>
        <w:t>addition,</w:t>
      </w:r>
      <w:r w:rsidR="00EB59C4" w:rsidRPr="00EB6E4F">
        <w:rPr>
          <w:szCs w:val="24"/>
        </w:rPr>
        <w:t xml:space="preserve"> as part of their role they will be able to provide learning to support the overall aim of PSIRF. </w:t>
      </w:r>
    </w:p>
    <w:p w:rsidR="00C93A27" w:rsidRPr="006F5BA6" w:rsidRDefault="00B736DE" w:rsidP="006F5BA6">
      <w:pPr>
        <w:pStyle w:val="Policybulletlevel2"/>
        <w:rPr>
          <w:szCs w:val="24"/>
        </w:rPr>
      </w:pPr>
      <w:r w:rsidRPr="00EB6E4F">
        <w:rPr>
          <w:b/>
          <w:bCs/>
          <w:szCs w:val="24"/>
        </w:rPr>
        <w:t>Coroner</w:t>
      </w:r>
      <w:r w:rsidRPr="00EB6E4F">
        <w:rPr>
          <w:szCs w:val="24"/>
        </w:rPr>
        <w:t xml:space="preserve"> </w:t>
      </w:r>
      <w:r w:rsidR="00273DE7" w:rsidRPr="00EB6E4F">
        <w:rPr>
          <w:szCs w:val="24"/>
        </w:rPr>
        <w:t>undertakes</w:t>
      </w:r>
      <w:r w:rsidR="00EB59C4" w:rsidRPr="00EB6E4F">
        <w:rPr>
          <w:szCs w:val="24"/>
        </w:rPr>
        <w:t xml:space="preserve"> investigations into </w:t>
      </w:r>
      <w:r w:rsidR="00987B9D" w:rsidRPr="00EB6E4F">
        <w:rPr>
          <w:szCs w:val="24"/>
        </w:rPr>
        <w:t xml:space="preserve">unnatural or unexpected </w:t>
      </w:r>
      <w:r w:rsidR="00EB59C4" w:rsidRPr="00EB6E4F">
        <w:rPr>
          <w:szCs w:val="24"/>
        </w:rPr>
        <w:t xml:space="preserve">deaths to determine the circumstances surrounding </w:t>
      </w:r>
      <w:r w:rsidR="00FA3D31" w:rsidRPr="00EB6E4F">
        <w:rPr>
          <w:szCs w:val="24"/>
        </w:rPr>
        <w:t xml:space="preserve">the </w:t>
      </w:r>
      <w:r w:rsidR="00EB59C4" w:rsidRPr="00EB6E4F">
        <w:rPr>
          <w:szCs w:val="24"/>
        </w:rPr>
        <w:t>death</w:t>
      </w:r>
      <w:r w:rsidR="00987B9D" w:rsidRPr="00EB6E4F">
        <w:rPr>
          <w:szCs w:val="24"/>
        </w:rPr>
        <w:t xml:space="preserve"> as well as the identity</w:t>
      </w:r>
      <w:r w:rsidR="00EB59C4" w:rsidRPr="00EB6E4F">
        <w:rPr>
          <w:szCs w:val="24"/>
        </w:rPr>
        <w:t xml:space="preserve"> </w:t>
      </w:r>
      <w:r w:rsidR="00987B9D" w:rsidRPr="00EB6E4F">
        <w:rPr>
          <w:szCs w:val="24"/>
        </w:rPr>
        <w:t>of the person, date</w:t>
      </w:r>
      <w:r w:rsidR="00BC13CA" w:rsidRPr="00EB6E4F">
        <w:rPr>
          <w:szCs w:val="24"/>
        </w:rPr>
        <w:t>,</w:t>
      </w:r>
      <w:r w:rsidR="00987B9D" w:rsidRPr="00EB6E4F">
        <w:rPr>
          <w:szCs w:val="24"/>
        </w:rPr>
        <w:t xml:space="preserve"> place, </w:t>
      </w:r>
      <w:r w:rsidR="00EB59C4" w:rsidRPr="00EB6E4F">
        <w:rPr>
          <w:szCs w:val="24"/>
        </w:rPr>
        <w:t xml:space="preserve">and </w:t>
      </w:r>
      <w:r w:rsidR="00987B9D" w:rsidRPr="00EB6E4F">
        <w:rPr>
          <w:szCs w:val="24"/>
        </w:rPr>
        <w:t xml:space="preserve">cause of death, </w:t>
      </w:r>
      <w:r w:rsidR="00EB59C4" w:rsidRPr="00EB6E4F">
        <w:rPr>
          <w:szCs w:val="24"/>
        </w:rPr>
        <w:t xml:space="preserve">providing valuable insights that will contribute to the overall improvement of patient safety. </w:t>
      </w:r>
    </w:p>
    <w:p w:rsidR="00EB1617" w:rsidRDefault="00007830" w:rsidP="006F5BA6">
      <w:pPr>
        <w:pStyle w:val="Policyheader"/>
      </w:pPr>
      <w:bookmarkStart w:id="7" w:name="_Toc166674433"/>
      <w:bookmarkStart w:id="8" w:name="_Hlk163127421"/>
      <w:r>
        <w:t xml:space="preserve">Patient Safety </w:t>
      </w:r>
      <w:r w:rsidR="00AC250F">
        <w:t>Culture</w:t>
      </w:r>
      <w:bookmarkEnd w:id="7"/>
    </w:p>
    <w:bookmarkEnd w:id="8"/>
    <w:p w:rsidR="00007830" w:rsidRPr="00EB6E4F" w:rsidRDefault="00007830" w:rsidP="006F5BA6">
      <w:pPr>
        <w:pStyle w:val="Policybulletlevel2"/>
        <w:rPr>
          <w:szCs w:val="24"/>
        </w:rPr>
      </w:pPr>
      <w:r w:rsidRPr="00EB6E4F">
        <w:rPr>
          <w:szCs w:val="24"/>
        </w:rPr>
        <w:t>The Trust has implemented a Trust</w:t>
      </w:r>
      <w:r w:rsidR="00BC13CA" w:rsidRPr="00EB6E4F">
        <w:rPr>
          <w:szCs w:val="24"/>
        </w:rPr>
        <w:t xml:space="preserve"> </w:t>
      </w:r>
      <w:r w:rsidRPr="00EB6E4F">
        <w:rPr>
          <w:szCs w:val="24"/>
        </w:rPr>
        <w:t xml:space="preserve">wide workstream focused on improving the culture, including safety culture, which spans two years. This workstream will identify key areas of focus as well as the most appropriate range of responses with measured improvement. The first six months included data collection and analysis to identify the underlying contributory factors.  </w:t>
      </w:r>
    </w:p>
    <w:p w:rsidR="00007830" w:rsidRPr="00EB6E4F" w:rsidRDefault="00526C5C" w:rsidP="006F5BA6">
      <w:pPr>
        <w:pStyle w:val="Policybulletlevel2"/>
        <w:rPr>
          <w:szCs w:val="24"/>
        </w:rPr>
      </w:pPr>
      <w:r w:rsidRPr="00EB6E4F">
        <w:rPr>
          <w:szCs w:val="24"/>
        </w:rPr>
        <w:t xml:space="preserve">Within our People and Culture team the principles of the Just </w:t>
      </w:r>
      <w:r w:rsidR="008567C4" w:rsidRPr="00EB6E4F">
        <w:rPr>
          <w:szCs w:val="24"/>
        </w:rPr>
        <w:t>C</w:t>
      </w:r>
      <w:r w:rsidRPr="00EB6E4F">
        <w:rPr>
          <w:szCs w:val="24"/>
        </w:rPr>
        <w:t xml:space="preserve">ulture guide </w:t>
      </w:r>
      <w:r w:rsidR="00102FF4" w:rsidRPr="00EB6E4F">
        <w:rPr>
          <w:szCs w:val="24"/>
        </w:rPr>
        <w:t>have</w:t>
      </w:r>
      <w:r w:rsidRPr="00EB6E4F">
        <w:rPr>
          <w:szCs w:val="24"/>
        </w:rPr>
        <w:t xml:space="preserve"> been applied to both clinical and non-clinical cases that are considered by them. The aim of this work has been to drive down the number of disciplinary investigations for clinical staff who have made a mistake as well as reducing fear for staff and the sense of blame when </w:t>
      </w:r>
      <w:r w:rsidR="00BC13CA" w:rsidRPr="00EB6E4F">
        <w:rPr>
          <w:szCs w:val="24"/>
        </w:rPr>
        <w:t>a mistake is made</w:t>
      </w:r>
      <w:r w:rsidRPr="00EB6E4F">
        <w:rPr>
          <w:szCs w:val="24"/>
        </w:rPr>
        <w:t>.</w:t>
      </w:r>
    </w:p>
    <w:p w:rsidR="00526C5C" w:rsidRPr="00EB6E4F" w:rsidRDefault="00526C5C" w:rsidP="006F5BA6">
      <w:pPr>
        <w:pStyle w:val="Policybulletlevel2"/>
        <w:rPr>
          <w:szCs w:val="24"/>
        </w:rPr>
      </w:pPr>
      <w:r w:rsidRPr="00EB6E4F">
        <w:rPr>
          <w:szCs w:val="24"/>
        </w:rPr>
        <w:t xml:space="preserve">Further work is planned to review the current approach and build upon the work already completed to fully embed the use of the Just Culture Guide across the </w:t>
      </w:r>
      <w:r w:rsidR="006B4AE2" w:rsidRPr="00EB6E4F">
        <w:rPr>
          <w:szCs w:val="24"/>
        </w:rPr>
        <w:t>Trust</w:t>
      </w:r>
      <w:r w:rsidRPr="00EB6E4F">
        <w:rPr>
          <w:szCs w:val="24"/>
        </w:rPr>
        <w:t>. This will be achieved by raising awareness of the tool to all staff, ensuring that it is accessible and providing on line training on how and when to apply it. The training will be monitored centrally as well as data from both the Culture Workstream and the Staff Survey results to demonstrate progress.</w:t>
      </w:r>
    </w:p>
    <w:p w:rsidR="00526C5C" w:rsidRPr="00EB6E4F" w:rsidRDefault="00526C5C" w:rsidP="006F5BA6">
      <w:pPr>
        <w:pStyle w:val="Policybulletlevel2"/>
        <w:rPr>
          <w:szCs w:val="24"/>
        </w:rPr>
      </w:pPr>
      <w:r w:rsidRPr="00EB6E4F">
        <w:rPr>
          <w:szCs w:val="24"/>
        </w:rPr>
        <w:t>The implementation of the systems approach using a range of tools</w:t>
      </w:r>
      <w:r w:rsidR="00BC13CA" w:rsidRPr="00EB6E4F">
        <w:rPr>
          <w:szCs w:val="24"/>
        </w:rPr>
        <w:t>, such as the</w:t>
      </w:r>
      <w:r w:rsidRPr="00EB6E4F">
        <w:rPr>
          <w:szCs w:val="24"/>
        </w:rPr>
        <w:t xml:space="preserve"> </w:t>
      </w:r>
      <w:r w:rsidR="006B4AE2" w:rsidRPr="00EB6E4F">
        <w:rPr>
          <w:szCs w:val="24"/>
        </w:rPr>
        <w:t xml:space="preserve">Systems Engineering </w:t>
      </w:r>
      <w:r w:rsidR="00BC13CA" w:rsidRPr="00EB6E4F">
        <w:rPr>
          <w:szCs w:val="24"/>
        </w:rPr>
        <w:t>(</w:t>
      </w:r>
      <w:r w:rsidRPr="00EB6E4F">
        <w:rPr>
          <w:szCs w:val="24"/>
        </w:rPr>
        <w:t>SEIP</w:t>
      </w:r>
      <w:r w:rsidR="006B4AE2" w:rsidRPr="00EB6E4F">
        <w:rPr>
          <w:szCs w:val="24"/>
        </w:rPr>
        <w:t>S</w:t>
      </w:r>
      <w:r w:rsidR="00BC13CA" w:rsidRPr="00EB6E4F">
        <w:rPr>
          <w:szCs w:val="24"/>
        </w:rPr>
        <w:t>)</w:t>
      </w:r>
      <w:r w:rsidRPr="00EB6E4F">
        <w:rPr>
          <w:szCs w:val="24"/>
        </w:rPr>
        <w:t xml:space="preserve"> </w:t>
      </w:r>
      <w:r w:rsidR="00A43279" w:rsidRPr="00EB6E4F">
        <w:rPr>
          <w:szCs w:val="24"/>
        </w:rPr>
        <w:t>framework</w:t>
      </w:r>
      <w:r w:rsidRPr="00EB6E4F">
        <w:rPr>
          <w:szCs w:val="24"/>
        </w:rPr>
        <w:t>, will also encourage a different approach to understanding how to move away from focusing on individuals who have made an error, to understanding</w:t>
      </w:r>
      <w:r w:rsidR="006B4AE2" w:rsidRPr="00EB6E4F">
        <w:rPr>
          <w:szCs w:val="24"/>
        </w:rPr>
        <w:t xml:space="preserve"> and improving</w:t>
      </w:r>
      <w:r w:rsidRPr="00EB6E4F">
        <w:rPr>
          <w:szCs w:val="24"/>
        </w:rPr>
        <w:t xml:space="preserve"> the system within which they work.</w:t>
      </w:r>
      <w:r w:rsidR="00467A2D" w:rsidRPr="00EB6E4F">
        <w:rPr>
          <w:szCs w:val="24"/>
        </w:rPr>
        <w:t xml:space="preserve"> Close links have been forged to ensure that there is feedback to and from the Freedom to Speak Up (FTSU) team when they identify</w:t>
      </w:r>
      <w:r w:rsidR="00CA4C58" w:rsidRPr="00EB6E4F">
        <w:rPr>
          <w:szCs w:val="24"/>
        </w:rPr>
        <w:t xml:space="preserve"> both positive and improvement needs</w:t>
      </w:r>
      <w:r w:rsidR="00467A2D" w:rsidRPr="00EB6E4F">
        <w:rPr>
          <w:szCs w:val="24"/>
        </w:rPr>
        <w:t xml:space="preserve"> that relate to</w:t>
      </w:r>
      <w:r w:rsidR="00CA4C58" w:rsidRPr="00EB6E4F">
        <w:rPr>
          <w:szCs w:val="24"/>
        </w:rPr>
        <w:t xml:space="preserve"> our</w:t>
      </w:r>
      <w:r w:rsidR="00467A2D" w:rsidRPr="00EB6E4F">
        <w:rPr>
          <w:szCs w:val="24"/>
        </w:rPr>
        <w:t xml:space="preserve"> Safety Culture. The FTSU team are</w:t>
      </w:r>
      <w:r w:rsidR="00CA4C58" w:rsidRPr="00EB6E4F">
        <w:rPr>
          <w:szCs w:val="24"/>
        </w:rPr>
        <w:t xml:space="preserve"> being incorporated into the appropriate training sessions so that they are able to influence, advise and raise concern where needed.</w:t>
      </w:r>
    </w:p>
    <w:p w:rsidR="00F22F79" w:rsidRPr="006F5BA6" w:rsidRDefault="00526C5C" w:rsidP="006F5BA6">
      <w:pPr>
        <w:pStyle w:val="Policybulletlevel2"/>
        <w:rPr>
          <w:szCs w:val="24"/>
        </w:rPr>
      </w:pPr>
      <w:r w:rsidRPr="00EB6E4F">
        <w:rPr>
          <w:szCs w:val="24"/>
        </w:rPr>
        <w:t>During transition</w:t>
      </w:r>
      <w:r w:rsidR="00A43279" w:rsidRPr="00EB6E4F">
        <w:rPr>
          <w:szCs w:val="24"/>
        </w:rPr>
        <w:t>,</w:t>
      </w:r>
      <w:r w:rsidRPr="00EB6E4F">
        <w:rPr>
          <w:szCs w:val="24"/>
        </w:rPr>
        <w:t xml:space="preserve"> the Trust will move away from simple action plans, as a result of investigations, to Trust</w:t>
      </w:r>
      <w:r w:rsidR="00BC13CA" w:rsidRPr="00EB6E4F">
        <w:rPr>
          <w:szCs w:val="24"/>
        </w:rPr>
        <w:t xml:space="preserve"> </w:t>
      </w:r>
      <w:r w:rsidRPr="00EB6E4F">
        <w:rPr>
          <w:szCs w:val="24"/>
        </w:rPr>
        <w:t xml:space="preserve">wide </w:t>
      </w:r>
      <w:r w:rsidR="008567C4" w:rsidRPr="00EB6E4F">
        <w:rPr>
          <w:szCs w:val="24"/>
        </w:rPr>
        <w:t>I</w:t>
      </w:r>
      <w:r w:rsidRPr="00EB6E4F">
        <w:rPr>
          <w:szCs w:val="24"/>
        </w:rPr>
        <w:t xml:space="preserve">mprovement </w:t>
      </w:r>
      <w:r w:rsidR="008567C4" w:rsidRPr="00EB6E4F">
        <w:rPr>
          <w:szCs w:val="24"/>
        </w:rPr>
        <w:t>P</w:t>
      </w:r>
      <w:r w:rsidRPr="00EB6E4F">
        <w:rPr>
          <w:szCs w:val="24"/>
        </w:rPr>
        <w:t xml:space="preserve">lans </w:t>
      </w:r>
      <w:r w:rsidR="008567C4" w:rsidRPr="00EB6E4F">
        <w:rPr>
          <w:szCs w:val="24"/>
        </w:rPr>
        <w:t xml:space="preserve">(TWIPs) </w:t>
      </w:r>
      <w:r w:rsidRPr="00EB6E4F">
        <w:rPr>
          <w:szCs w:val="24"/>
        </w:rPr>
        <w:t xml:space="preserve">to drive up quality and safety for our staff and patients. This will further embed our </w:t>
      </w:r>
      <w:r w:rsidR="008567C4" w:rsidRPr="00EB6E4F">
        <w:rPr>
          <w:szCs w:val="24"/>
        </w:rPr>
        <w:t>i</w:t>
      </w:r>
      <w:r w:rsidRPr="00EB6E4F">
        <w:rPr>
          <w:szCs w:val="24"/>
        </w:rPr>
        <w:t xml:space="preserve">mprovement methodology </w:t>
      </w:r>
      <w:r w:rsidR="006B4AE2" w:rsidRPr="00EB6E4F">
        <w:rPr>
          <w:szCs w:val="24"/>
        </w:rPr>
        <w:t>as we embed the PSIRF.</w:t>
      </w:r>
      <w:r w:rsidRPr="00EB6E4F">
        <w:rPr>
          <w:szCs w:val="24"/>
        </w:rPr>
        <w:t xml:space="preserve"> The Trust will </w:t>
      </w:r>
      <w:r w:rsidR="006B4AE2" w:rsidRPr="00EB6E4F">
        <w:rPr>
          <w:szCs w:val="24"/>
        </w:rPr>
        <w:t>re</w:t>
      </w:r>
      <w:r w:rsidR="008567C4" w:rsidRPr="00EB6E4F">
        <w:rPr>
          <w:szCs w:val="24"/>
        </w:rPr>
        <w:t>in</w:t>
      </w:r>
      <w:r w:rsidR="006B4AE2" w:rsidRPr="00EB6E4F">
        <w:rPr>
          <w:szCs w:val="24"/>
        </w:rPr>
        <w:t xml:space="preserve">force that </w:t>
      </w:r>
      <w:r w:rsidRPr="00EB6E4F">
        <w:rPr>
          <w:szCs w:val="24"/>
        </w:rPr>
        <w:t xml:space="preserve">statements </w:t>
      </w:r>
      <w:r w:rsidR="006B4AE2" w:rsidRPr="00EB6E4F">
        <w:rPr>
          <w:szCs w:val="24"/>
        </w:rPr>
        <w:t xml:space="preserve">should not be requested </w:t>
      </w:r>
      <w:r w:rsidRPr="00EB6E4F">
        <w:rPr>
          <w:szCs w:val="24"/>
        </w:rPr>
        <w:t xml:space="preserve">for learning responses as </w:t>
      </w:r>
      <w:r w:rsidR="006B4AE2" w:rsidRPr="00EB6E4F">
        <w:rPr>
          <w:szCs w:val="24"/>
        </w:rPr>
        <w:t xml:space="preserve">they do </w:t>
      </w:r>
      <w:r w:rsidRPr="00EB6E4F">
        <w:rPr>
          <w:szCs w:val="24"/>
        </w:rPr>
        <w:t>not provide the information that</w:t>
      </w:r>
      <w:r w:rsidR="006B4AE2" w:rsidRPr="00EB6E4F">
        <w:rPr>
          <w:szCs w:val="24"/>
        </w:rPr>
        <w:t xml:space="preserve"> is useful</w:t>
      </w:r>
      <w:r w:rsidRPr="00EB6E4F">
        <w:rPr>
          <w:szCs w:val="24"/>
        </w:rPr>
        <w:t xml:space="preserve"> for a </w:t>
      </w:r>
      <w:r w:rsidR="001D1E30" w:rsidRPr="00EB6E4F">
        <w:rPr>
          <w:szCs w:val="24"/>
        </w:rPr>
        <w:t>system-based</w:t>
      </w:r>
      <w:r w:rsidR="006B4AE2" w:rsidRPr="00EB6E4F">
        <w:rPr>
          <w:szCs w:val="24"/>
        </w:rPr>
        <w:t xml:space="preserve"> </w:t>
      </w:r>
      <w:r w:rsidRPr="00EB6E4F">
        <w:rPr>
          <w:szCs w:val="24"/>
        </w:rPr>
        <w:t>learning response</w:t>
      </w:r>
      <w:r w:rsidR="001D1E30" w:rsidRPr="00EB6E4F">
        <w:rPr>
          <w:szCs w:val="24"/>
        </w:rPr>
        <w:t xml:space="preserve">. </w:t>
      </w:r>
      <w:r w:rsidR="001D1E30" w:rsidRPr="00EB6E4F">
        <w:rPr>
          <w:szCs w:val="24"/>
        </w:rPr>
        <w:lastRenderedPageBreak/>
        <w:t>However, compassionate, investigative interviews will be undertaken to elicit contextualised, useful information and ensure maximum learning is achieved.</w:t>
      </w:r>
    </w:p>
    <w:p w:rsidR="00A95DA0" w:rsidRPr="00526C5C" w:rsidRDefault="00526C5C" w:rsidP="006F5BA6">
      <w:pPr>
        <w:pStyle w:val="Policyheader"/>
      </w:pPr>
      <w:bookmarkStart w:id="9" w:name="_Toc166674434"/>
      <w:r w:rsidRPr="00526C5C">
        <w:t>Patient Safety Partners</w:t>
      </w:r>
      <w:bookmarkEnd w:id="9"/>
    </w:p>
    <w:p w:rsidR="00526C5C" w:rsidRPr="00EB6E4F" w:rsidRDefault="00526C5C" w:rsidP="006F5BA6">
      <w:pPr>
        <w:pStyle w:val="Policybulletlevel2"/>
        <w:rPr>
          <w:szCs w:val="24"/>
        </w:rPr>
      </w:pPr>
      <w:r w:rsidRPr="00EB6E4F">
        <w:rPr>
          <w:szCs w:val="24"/>
        </w:rPr>
        <w:t xml:space="preserve">It is recognised that both patients and carers can provide valuable insights based on their experience, in the development and improvement of safety responses. </w:t>
      </w:r>
    </w:p>
    <w:p w:rsidR="00526C5C" w:rsidRPr="00EB6E4F" w:rsidRDefault="00526C5C" w:rsidP="006F5BA6">
      <w:pPr>
        <w:pStyle w:val="Policybulletlevel2"/>
        <w:rPr>
          <w:szCs w:val="24"/>
        </w:rPr>
      </w:pPr>
      <w:r w:rsidRPr="00EB6E4F">
        <w:rPr>
          <w:szCs w:val="24"/>
        </w:rPr>
        <w:t>The recruitment of six Patient Safety Partners (PSP</w:t>
      </w:r>
      <w:r w:rsidR="00A56CFC" w:rsidRPr="00EB6E4F">
        <w:rPr>
          <w:szCs w:val="24"/>
        </w:rPr>
        <w:t>s</w:t>
      </w:r>
      <w:r w:rsidRPr="00EB6E4F">
        <w:rPr>
          <w:szCs w:val="24"/>
        </w:rPr>
        <w:t>) across the Trust will support this work. There will be two PSPs based at each of the main hospital sites: Queen Elizabeth the Queen Mother Hospital (QEQM</w:t>
      </w:r>
      <w:r w:rsidR="00A43279" w:rsidRPr="00EB6E4F">
        <w:rPr>
          <w:szCs w:val="24"/>
        </w:rPr>
        <w:t>H</w:t>
      </w:r>
      <w:r w:rsidRPr="00EB6E4F">
        <w:rPr>
          <w:szCs w:val="24"/>
        </w:rPr>
        <w:t xml:space="preserve">), William Harvey Hospital (WHH) and Kent and Canterbury Hospital (K&amp;CH). </w:t>
      </w:r>
      <w:r w:rsidR="00942AAC" w:rsidRPr="00EB6E4F">
        <w:rPr>
          <w:szCs w:val="24"/>
        </w:rPr>
        <w:t>The PSP</w:t>
      </w:r>
      <w:r w:rsidR="00A56CFC" w:rsidRPr="00EB6E4F">
        <w:rPr>
          <w:szCs w:val="24"/>
        </w:rPr>
        <w:t>s</w:t>
      </w:r>
      <w:r w:rsidR="00942AAC" w:rsidRPr="00EB6E4F">
        <w:rPr>
          <w:szCs w:val="24"/>
        </w:rPr>
        <w:t xml:space="preserve"> will cover the entire Trust.</w:t>
      </w:r>
    </w:p>
    <w:p w:rsidR="00526C5C" w:rsidRPr="00EB6E4F" w:rsidRDefault="00526C5C" w:rsidP="006F5BA6">
      <w:pPr>
        <w:pStyle w:val="Policybulletlevel2"/>
        <w:rPr>
          <w:szCs w:val="24"/>
        </w:rPr>
      </w:pPr>
      <w:r w:rsidRPr="00EB6E4F">
        <w:rPr>
          <w:szCs w:val="24"/>
        </w:rPr>
        <w:t xml:space="preserve">The aim is to appoint one PSP who will lead on working within our Maternity Services and up to two that will be attending the Quality and Safety Committee as well as the Patient Safety Committee. A key aspect of their work will be to support the implementation of compassionate </w:t>
      </w:r>
      <w:r w:rsidR="001C1840" w:rsidRPr="00EB6E4F">
        <w:rPr>
          <w:szCs w:val="24"/>
        </w:rPr>
        <w:t xml:space="preserve">and meaningful </w:t>
      </w:r>
      <w:r w:rsidRPr="00EB6E4F">
        <w:rPr>
          <w:szCs w:val="24"/>
        </w:rPr>
        <w:t xml:space="preserve">engagement with our patients and families. </w:t>
      </w:r>
    </w:p>
    <w:p w:rsidR="00A43279" w:rsidRPr="006F5BA6" w:rsidRDefault="00526C5C" w:rsidP="006F5BA6">
      <w:pPr>
        <w:pStyle w:val="Policybulletlevel2"/>
        <w:rPr>
          <w:szCs w:val="24"/>
        </w:rPr>
      </w:pPr>
      <w:r w:rsidRPr="00EB6E4F">
        <w:rPr>
          <w:szCs w:val="24"/>
        </w:rPr>
        <w:t xml:space="preserve">These </w:t>
      </w:r>
      <w:r w:rsidR="00FA3D31" w:rsidRPr="00EB6E4F">
        <w:rPr>
          <w:szCs w:val="24"/>
        </w:rPr>
        <w:t>volunteers</w:t>
      </w:r>
      <w:r w:rsidRPr="00EB6E4F">
        <w:rPr>
          <w:szCs w:val="24"/>
        </w:rPr>
        <w:t xml:space="preserve"> will be managed by the Patient Safety Leads or the Deputy Head of Clinical Safety </w:t>
      </w:r>
      <w:r w:rsidR="006B4AE2" w:rsidRPr="00EB6E4F">
        <w:rPr>
          <w:szCs w:val="24"/>
        </w:rPr>
        <w:t>and</w:t>
      </w:r>
      <w:r w:rsidRPr="00EB6E4F">
        <w:rPr>
          <w:szCs w:val="24"/>
        </w:rPr>
        <w:t xml:space="preserve"> Improvement, within the Corporate Patient Safety Team. Our PSP</w:t>
      </w:r>
      <w:r w:rsidR="00A43279" w:rsidRPr="00EB6E4F">
        <w:rPr>
          <w:szCs w:val="24"/>
        </w:rPr>
        <w:t>s</w:t>
      </w:r>
      <w:r w:rsidRPr="00EB6E4F">
        <w:rPr>
          <w:szCs w:val="24"/>
        </w:rPr>
        <w:t xml:space="preserve"> will be appointed by </w:t>
      </w:r>
      <w:r w:rsidR="00FA3D31" w:rsidRPr="00EB6E4F">
        <w:rPr>
          <w:szCs w:val="24"/>
        </w:rPr>
        <w:t>September</w:t>
      </w:r>
      <w:r w:rsidRPr="00EB6E4F">
        <w:rPr>
          <w:szCs w:val="24"/>
        </w:rPr>
        <w:t xml:space="preserve"> 2024.</w:t>
      </w:r>
    </w:p>
    <w:p w:rsidR="00526C5C" w:rsidRPr="00526C5C" w:rsidRDefault="00526C5C" w:rsidP="006F5BA6">
      <w:pPr>
        <w:pStyle w:val="Policyheader"/>
      </w:pPr>
      <w:bookmarkStart w:id="10" w:name="_Toc166674435"/>
      <w:r w:rsidRPr="00526C5C">
        <w:t>Addressing Health Inequalities</w:t>
      </w:r>
      <w:bookmarkEnd w:id="10"/>
    </w:p>
    <w:p w:rsidR="00526C5C" w:rsidRPr="00EB6E4F" w:rsidRDefault="00526C5C" w:rsidP="006F5BA6">
      <w:pPr>
        <w:pStyle w:val="Policybulletlevel2"/>
        <w:rPr>
          <w:szCs w:val="24"/>
        </w:rPr>
      </w:pPr>
      <w:r w:rsidRPr="00EB6E4F">
        <w:rPr>
          <w:szCs w:val="24"/>
        </w:rPr>
        <w:t>There is a requirement under PSIRF to evidence that health inequalities have been taken into consideration when responding to incident reviews. The identification of those patients who may be at a disadvantage in accessing the care they need must be identified as part of our responses as well as consideration in the development of solutions.</w:t>
      </w:r>
    </w:p>
    <w:p w:rsidR="00526C5C" w:rsidRPr="00EB6E4F" w:rsidRDefault="00526C5C" w:rsidP="006F5BA6">
      <w:pPr>
        <w:pStyle w:val="Policybulletlevel2"/>
        <w:rPr>
          <w:szCs w:val="24"/>
        </w:rPr>
      </w:pPr>
      <w:r w:rsidRPr="00EB6E4F">
        <w:rPr>
          <w:szCs w:val="24"/>
        </w:rPr>
        <w:t>The Trust will apply a more flexible approach and intelligent use of</w:t>
      </w:r>
      <w:r w:rsidR="00FA3D31" w:rsidRPr="00EB6E4F">
        <w:rPr>
          <w:szCs w:val="24"/>
        </w:rPr>
        <w:t xml:space="preserve"> demographic</w:t>
      </w:r>
      <w:r w:rsidRPr="00EB6E4F">
        <w:rPr>
          <w:szCs w:val="24"/>
        </w:rPr>
        <w:t xml:space="preserve"> data </w:t>
      </w:r>
      <w:r w:rsidR="00FA3D31" w:rsidRPr="00EB6E4F">
        <w:rPr>
          <w:szCs w:val="24"/>
        </w:rPr>
        <w:t xml:space="preserve">and published research on health inequalities, </w:t>
      </w:r>
      <w:r w:rsidRPr="00EB6E4F">
        <w:rPr>
          <w:szCs w:val="24"/>
        </w:rPr>
        <w:t xml:space="preserve">to help identify any disproportionate risk to patients with </w:t>
      </w:r>
      <w:r w:rsidR="00FA3D31" w:rsidRPr="00EB6E4F">
        <w:rPr>
          <w:szCs w:val="24"/>
        </w:rPr>
        <w:t>protected</w:t>
      </w:r>
      <w:r w:rsidRPr="00EB6E4F">
        <w:rPr>
          <w:szCs w:val="24"/>
        </w:rPr>
        <w:t xml:space="preserve"> characteristics and this information will inform our patient safety incident responses. </w:t>
      </w:r>
    </w:p>
    <w:p w:rsidR="00526C5C" w:rsidRPr="00EB6E4F" w:rsidRDefault="00526C5C" w:rsidP="006F5BA6">
      <w:pPr>
        <w:pStyle w:val="Policybulletlevel2"/>
        <w:rPr>
          <w:szCs w:val="24"/>
        </w:rPr>
      </w:pPr>
      <w:r w:rsidRPr="00EB6E4F">
        <w:rPr>
          <w:szCs w:val="24"/>
        </w:rPr>
        <w:t>The Trust will develop a small working group which will explore how we will respond to issues related to health inequalities as part of the development and maintenance of the Trust</w:t>
      </w:r>
      <w:r w:rsidR="00A43279" w:rsidRPr="00EB6E4F">
        <w:rPr>
          <w:szCs w:val="24"/>
        </w:rPr>
        <w:t>’</w:t>
      </w:r>
      <w:r w:rsidRPr="00EB6E4F">
        <w:rPr>
          <w:szCs w:val="24"/>
        </w:rPr>
        <w:t xml:space="preserve">s </w:t>
      </w:r>
      <w:r w:rsidR="00A43279" w:rsidRPr="00EB6E4F">
        <w:rPr>
          <w:szCs w:val="24"/>
        </w:rPr>
        <w:t>PSIR</w:t>
      </w:r>
      <w:r w:rsidRPr="00EB6E4F">
        <w:rPr>
          <w:szCs w:val="24"/>
        </w:rPr>
        <w:t xml:space="preserve"> policy and plan. </w:t>
      </w:r>
      <w:r w:rsidR="004365B9" w:rsidRPr="00EB6E4F">
        <w:rPr>
          <w:szCs w:val="24"/>
        </w:rPr>
        <w:t xml:space="preserve">This plan will have an Equality and Health Inequalities Impact Assessment (EHIA). </w:t>
      </w:r>
      <w:r w:rsidR="006B4AE2" w:rsidRPr="00EB6E4F">
        <w:rPr>
          <w:szCs w:val="24"/>
        </w:rPr>
        <w:t>During</w:t>
      </w:r>
      <w:r w:rsidRPr="00EB6E4F">
        <w:rPr>
          <w:szCs w:val="24"/>
        </w:rPr>
        <w:t xml:space="preserve"> the review of our incident responses</w:t>
      </w:r>
      <w:r w:rsidR="00A43279" w:rsidRPr="00EB6E4F">
        <w:rPr>
          <w:szCs w:val="24"/>
        </w:rPr>
        <w:t>,</w:t>
      </w:r>
      <w:r w:rsidR="006B4AE2" w:rsidRPr="00EB6E4F">
        <w:rPr>
          <w:szCs w:val="24"/>
        </w:rPr>
        <w:t xml:space="preserve"> and the </w:t>
      </w:r>
      <w:r w:rsidRPr="00EB6E4F">
        <w:rPr>
          <w:szCs w:val="24"/>
        </w:rPr>
        <w:t xml:space="preserve">development of </w:t>
      </w:r>
      <w:r w:rsidR="006B4AE2" w:rsidRPr="00EB6E4F">
        <w:rPr>
          <w:szCs w:val="24"/>
        </w:rPr>
        <w:t xml:space="preserve">safety actions, </w:t>
      </w:r>
      <w:r w:rsidRPr="00EB6E4F">
        <w:rPr>
          <w:szCs w:val="24"/>
        </w:rPr>
        <w:t>health inequalities</w:t>
      </w:r>
      <w:r w:rsidR="006B4AE2" w:rsidRPr="00EB6E4F">
        <w:rPr>
          <w:szCs w:val="24"/>
        </w:rPr>
        <w:t xml:space="preserve"> will be considered. Appropriate prompts will be </w:t>
      </w:r>
      <w:r w:rsidRPr="00EB6E4F">
        <w:rPr>
          <w:szCs w:val="24"/>
        </w:rPr>
        <w:t xml:space="preserve">included </w:t>
      </w:r>
      <w:r w:rsidR="006B4AE2" w:rsidRPr="00EB6E4F">
        <w:rPr>
          <w:szCs w:val="24"/>
        </w:rPr>
        <w:t>on our templates.</w:t>
      </w:r>
      <w:r w:rsidRPr="00EB6E4F">
        <w:rPr>
          <w:szCs w:val="24"/>
        </w:rPr>
        <w:t xml:space="preserve"> </w:t>
      </w:r>
    </w:p>
    <w:p w:rsidR="00526C5C" w:rsidRPr="00EB6E4F" w:rsidRDefault="00526C5C" w:rsidP="006F5BA6">
      <w:pPr>
        <w:pStyle w:val="Policybulletlevel2"/>
        <w:rPr>
          <w:szCs w:val="24"/>
        </w:rPr>
      </w:pPr>
      <w:r w:rsidRPr="00EB6E4F">
        <w:rPr>
          <w:szCs w:val="24"/>
        </w:rPr>
        <w:t xml:space="preserve">As part of our response to incidents the way in which we engage our patients is important to us. Appropriate consideration must be given to the needs of each patient, </w:t>
      </w:r>
      <w:r w:rsidR="006B4AE2" w:rsidRPr="00EB6E4F">
        <w:rPr>
          <w:szCs w:val="24"/>
        </w:rPr>
        <w:t xml:space="preserve">their carers and members of </w:t>
      </w:r>
      <w:r w:rsidRPr="00EB6E4F">
        <w:rPr>
          <w:szCs w:val="24"/>
        </w:rPr>
        <w:t xml:space="preserve">staff when planning to communicate with them. </w:t>
      </w:r>
      <w:r w:rsidR="004365B9" w:rsidRPr="00EB6E4F">
        <w:rPr>
          <w:szCs w:val="24"/>
        </w:rPr>
        <w:t xml:space="preserve">This includes meeting any communication needs the patient, carer or family have, such as an interpreter and information in an accessible format, or access to the Health Advocacy Service. </w:t>
      </w:r>
    </w:p>
    <w:p w:rsidR="00526C5C" w:rsidRPr="00EB6E4F" w:rsidRDefault="00526C5C" w:rsidP="006F5BA6">
      <w:pPr>
        <w:pStyle w:val="Policybulletlevel2"/>
        <w:rPr>
          <w:szCs w:val="24"/>
        </w:rPr>
      </w:pPr>
      <w:r w:rsidRPr="00EB6E4F">
        <w:rPr>
          <w:szCs w:val="24"/>
        </w:rPr>
        <w:lastRenderedPageBreak/>
        <w:t xml:space="preserve">The Trust will </w:t>
      </w:r>
      <w:r w:rsidR="006B4AE2" w:rsidRPr="00EB6E4F">
        <w:rPr>
          <w:szCs w:val="24"/>
        </w:rPr>
        <w:t xml:space="preserve">ensure </w:t>
      </w:r>
      <w:r w:rsidRPr="00EB6E4F">
        <w:rPr>
          <w:szCs w:val="24"/>
        </w:rPr>
        <w:t xml:space="preserve">training </w:t>
      </w:r>
      <w:r w:rsidR="006B4AE2" w:rsidRPr="00EB6E4F">
        <w:rPr>
          <w:szCs w:val="24"/>
        </w:rPr>
        <w:t xml:space="preserve">is available </w:t>
      </w:r>
      <w:r w:rsidRPr="00EB6E4F">
        <w:rPr>
          <w:szCs w:val="24"/>
        </w:rPr>
        <w:t>to all staff who will be responsible for undertaking an investigation to ensure that the system-based approach is consistently applied across the Trust. In addition</w:t>
      </w:r>
      <w:r w:rsidR="00A56CFC" w:rsidRPr="00EB6E4F">
        <w:rPr>
          <w:szCs w:val="24"/>
        </w:rPr>
        <w:t>,</w:t>
      </w:r>
      <w:r w:rsidRPr="00EB6E4F">
        <w:rPr>
          <w:szCs w:val="24"/>
        </w:rPr>
        <w:t xml:space="preserve"> </w:t>
      </w:r>
      <w:r w:rsidR="006B4AE2" w:rsidRPr="00EB6E4F">
        <w:rPr>
          <w:szCs w:val="24"/>
        </w:rPr>
        <w:t xml:space="preserve">the </w:t>
      </w:r>
      <w:r w:rsidRPr="00EB6E4F">
        <w:rPr>
          <w:szCs w:val="24"/>
        </w:rPr>
        <w:t xml:space="preserve">Patient Safety Incident Investigation (PSII) </w:t>
      </w:r>
      <w:r w:rsidR="006B4AE2" w:rsidRPr="00EB6E4F">
        <w:rPr>
          <w:szCs w:val="24"/>
        </w:rPr>
        <w:t>Investigators and staff responsible for engaging patients and staff</w:t>
      </w:r>
      <w:r w:rsidRPr="00EB6E4F">
        <w:rPr>
          <w:szCs w:val="24"/>
        </w:rPr>
        <w:t xml:space="preserve"> will be provided with coaching support </w:t>
      </w:r>
      <w:r w:rsidR="006B4AE2" w:rsidRPr="00EB6E4F">
        <w:rPr>
          <w:szCs w:val="24"/>
        </w:rPr>
        <w:t>to develop their competence.</w:t>
      </w:r>
      <w:r w:rsidRPr="00EB6E4F">
        <w:rPr>
          <w:szCs w:val="24"/>
        </w:rPr>
        <w:t xml:space="preserve"> </w:t>
      </w:r>
    </w:p>
    <w:p w:rsidR="00526C5C" w:rsidRPr="00EB6E4F" w:rsidRDefault="00526C5C" w:rsidP="006F5BA6">
      <w:pPr>
        <w:pStyle w:val="Policybulletlevel2"/>
        <w:rPr>
          <w:szCs w:val="24"/>
        </w:rPr>
      </w:pPr>
      <w:r w:rsidRPr="00EB6E4F">
        <w:rPr>
          <w:szCs w:val="24"/>
        </w:rPr>
        <w:t>Having fully trained investigators will ensure that not only will the focus be appropriately on the systems within which our staff work rather than their behaviour, it will further promote the development of a Just Culture and reduce the ethnicity disparity in rates of disciplinary action across the NHS.</w:t>
      </w:r>
    </w:p>
    <w:p w:rsidR="00526C5C" w:rsidRPr="00526C5C" w:rsidRDefault="00526C5C" w:rsidP="006F5BA6">
      <w:pPr>
        <w:pStyle w:val="Policyheader"/>
      </w:pPr>
      <w:bookmarkStart w:id="11" w:name="_Toc166674436"/>
      <w:r w:rsidRPr="00526C5C">
        <w:t>Engaging and Involving Patients, Families and Staff Following a Patient Safety Incident</w:t>
      </w:r>
      <w:bookmarkEnd w:id="11"/>
    </w:p>
    <w:p w:rsidR="00526C5C" w:rsidRPr="00EB6E4F" w:rsidRDefault="00526C5C" w:rsidP="006F5BA6">
      <w:pPr>
        <w:pStyle w:val="Policybulletlevel2"/>
        <w:rPr>
          <w:szCs w:val="24"/>
        </w:rPr>
      </w:pPr>
      <w:r w:rsidRPr="00EB6E4F">
        <w:rPr>
          <w:szCs w:val="24"/>
        </w:rPr>
        <w:t xml:space="preserve">The PSIRF recognises that learning and improvement following a patient safety incident can only be achieved if supportive systems and processes are in place. It supports the development of an effective patient safety incident response system that prioritises compassionate engagement and involvement of those affected by patient safety incidents this includes patients, families, and staff.  </w:t>
      </w:r>
    </w:p>
    <w:p w:rsidR="00526C5C" w:rsidRPr="00EB6E4F" w:rsidRDefault="00526C5C" w:rsidP="006F5BA6">
      <w:pPr>
        <w:pStyle w:val="Policybulletlevel2"/>
        <w:rPr>
          <w:szCs w:val="24"/>
        </w:rPr>
      </w:pPr>
      <w:r w:rsidRPr="00EB6E4F">
        <w:rPr>
          <w:szCs w:val="24"/>
        </w:rPr>
        <w:t>This involves working with those affected by patient safety incidents to understand and answer any questions they have in relation to the incident and signpost them to support as required.</w:t>
      </w:r>
    </w:p>
    <w:p w:rsidR="00526C5C" w:rsidRPr="00EB6E4F" w:rsidRDefault="00526C5C" w:rsidP="006F5BA6">
      <w:pPr>
        <w:pStyle w:val="Policybulletlevel2"/>
        <w:rPr>
          <w:szCs w:val="24"/>
        </w:rPr>
      </w:pPr>
      <w:r w:rsidRPr="00EB6E4F">
        <w:rPr>
          <w:szCs w:val="24"/>
        </w:rPr>
        <w:t xml:space="preserve">The principles of </w:t>
      </w:r>
      <w:r w:rsidR="001D1E30" w:rsidRPr="00EB6E4F">
        <w:rPr>
          <w:szCs w:val="24"/>
        </w:rPr>
        <w:t>e</w:t>
      </w:r>
      <w:r w:rsidRPr="00EB6E4F">
        <w:rPr>
          <w:szCs w:val="24"/>
        </w:rPr>
        <w:t>ngagement</w:t>
      </w:r>
      <w:r w:rsidR="001D1E30" w:rsidRPr="00EB6E4F">
        <w:rPr>
          <w:szCs w:val="24"/>
        </w:rPr>
        <w:t>:</w:t>
      </w:r>
    </w:p>
    <w:p w:rsidR="00526C5C" w:rsidRPr="00EB6E4F" w:rsidRDefault="00526C5C" w:rsidP="006F5BA6">
      <w:pPr>
        <w:pStyle w:val="PolicybulletLevel3"/>
        <w:rPr>
          <w:szCs w:val="24"/>
        </w:rPr>
      </w:pPr>
      <w:r w:rsidRPr="00EB6E4F">
        <w:rPr>
          <w:szCs w:val="24"/>
        </w:rPr>
        <w:t xml:space="preserve">The Trust requires all staff, who are leading </w:t>
      </w:r>
      <w:r w:rsidR="00AB2D5E" w:rsidRPr="00EB6E4F">
        <w:rPr>
          <w:szCs w:val="24"/>
        </w:rPr>
        <w:t>a learning response</w:t>
      </w:r>
      <w:r w:rsidRPr="00EB6E4F">
        <w:rPr>
          <w:szCs w:val="24"/>
        </w:rPr>
        <w:t>, to apply compassionate engagement with all those affected by the patient safety incident</w:t>
      </w:r>
      <w:r w:rsidR="00AB2D5E" w:rsidRPr="00EB6E4F">
        <w:rPr>
          <w:szCs w:val="24"/>
        </w:rPr>
        <w:t>.</w:t>
      </w:r>
      <w:r w:rsidRPr="00EB6E4F">
        <w:rPr>
          <w:szCs w:val="24"/>
        </w:rPr>
        <w:t xml:space="preserve"> This must include staff involved</w:t>
      </w:r>
      <w:r w:rsidR="00F6376C" w:rsidRPr="00EB6E4F">
        <w:rPr>
          <w:szCs w:val="24"/>
        </w:rPr>
        <w:t>,</w:t>
      </w:r>
      <w:r w:rsidRPr="00EB6E4F">
        <w:rPr>
          <w:szCs w:val="24"/>
        </w:rPr>
        <w:t xml:space="preserve"> or otherwise affected</w:t>
      </w:r>
      <w:r w:rsidR="00F6376C" w:rsidRPr="00EB6E4F">
        <w:rPr>
          <w:szCs w:val="24"/>
        </w:rPr>
        <w:t>,</w:t>
      </w:r>
      <w:r w:rsidRPr="00EB6E4F">
        <w:rPr>
          <w:szCs w:val="24"/>
        </w:rPr>
        <w:t xml:space="preserve"> by the incident. </w:t>
      </w:r>
    </w:p>
    <w:p w:rsidR="00526C5C" w:rsidRPr="00EB6E4F" w:rsidRDefault="00526C5C" w:rsidP="006F5BA6">
      <w:pPr>
        <w:pStyle w:val="PolicybulletLevel3"/>
        <w:rPr>
          <w:szCs w:val="24"/>
        </w:rPr>
      </w:pPr>
      <w:r w:rsidRPr="00EB6E4F">
        <w:rPr>
          <w:szCs w:val="24"/>
        </w:rPr>
        <w:t xml:space="preserve">Our approach </w:t>
      </w:r>
      <w:r w:rsidR="00AB2D5E" w:rsidRPr="00EB6E4F">
        <w:rPr>
          <w:szCs w:val="24"/>
        </w:rPr>
        <w:t>will</w:t>
      </w:r>
      <w:r w:rsidRPr="00EB6E4F">
        <w:rPr>
          <w:szCs w:val="24"/>
        </w:rPr>
        <w:t xml:space="preserve"> be open, kind and sensitive to the needs of those individuals. </w:t>
      </w:r>
    </w:p>
    <w:p w:rsidR="00526C5C" w:rsidRPr="00EB6E4F" w:rsidRDefault="00526C5C" w:rsidP="006F5BA6">
      <w:pPr>
        <w:pStyle w:val="PolicybulletLevel3"/>
        <w:rPr>
          <w:szCs w:val="24"/>
        </w:rPr>
      </w:pPr>
      <w:r w:rsidRPr="00EB6E4F">
        <w:rPr>
          <w:szCs w:val="24"/>
        </w:rPr>
        <w:t xml:space="preserve">Engagement </w:t>
      </w:r>
      <w:r w:rsidR="00AB2D5E" w:rsidRPr="00EB6E4F">
        <w:rPr>
          <w:szCs w:val="24"/>
        </w:rPr>
        <w:t>will</w:t>
      </w:r>
      <w:r w:rsidRPr="00EB6E4F">
        <w:rPr>
          <w:szCs w:val="24"/>
        </w:rPr>
        <w:t xml:space="preserve"> be focused on their needs as a priority. </w:t>
      </w:r>
    </w:p>
    <w:p w:rsidR="00526C5C" w:rsidRPr="00EB6E4F" w:rsidRDefault="00526C5C" w:rsidP="006F5BA6">
      <w:pPr>
        <w:pStyle w:val="PolicybulletLevel3"/>
        <w:rPr>
          <w:szCs w:val="24"/>
        </w:rPr>
      </w:pPr>
      <w:r w:rsidRPr="00EB6E4F">
        <w:rPr>
          <w:szCs w:val="24"/>
        </w:rPr>
        <w:t xml:space="preserve">The Trust supports openness and transparency in sharing information throughout the investigation with staff, patients and families. This includes sharing information from the investigation at an early stage. This may be both written </w:t>
      </w:r>
      <w:r w:rsidR="00F6376C" w:rsidRPr="00EB6E4F">
        <w:rPr>
          <w:szCs w:val="24"/>
        </w:rPr>
        <w:t>and</w:t>
      </w:r>
      <w:r w:rsidRPr="00EB6E4F">
        <w:rPr>
          <w:szCs w:val="24"/>
        </w:rPr>
        <w:t xml:space="preserve"> verbal.  </w:t>
      </w:r>
    </w:p>
    <w:p w:rsidR="00526C5C" w:rsidRPr="00EB6E4F" w:rsidRDefault="00526C5C" w:rsidP="006F5BA6">
      <w:pPr>
        <w:pStyle w:val="PolicybulletLevel3"/>
        <w:rPr>
          <w:szCs w:val="24"/>
        </w:rPr>
      </w:pPr>
      <w:r w:rsidRPr="00EB6E4F">
        <w:rPr>
          <w:szCs w:val="24"/>
        </w:rPr>
        <w:t xml:space="preserve">Staff </w:t>
      </w:r>
      <w:r w:rsidR="00AB2D5E" w:rsidRPr="00EB6E4F">
        <w:rPr>
          <w:szCs w:val="24"/>
        </w:rPr>
        <w:t>will</w:t>
      </w:r>
      <w:r w:rsidRPr="00EB6E4F">
        <w:rPr>
          <w:szCs w:val="24"/>
        </w:rPr>
        <w:t xml:space="preserve"> be </w:t>
      </w:r>
      <w:r w:rsidR="00AB2D5E" w:rsidRPr="00EB6E4F">
        <w:rPr>
          <w:szCs w:val="24"/>
        </w:rPr>
        <w:t>supported by the Trust to ensure they feel confident to share information about work as done.</w:t>
      </w:r>
    </w:p>
    <w:p w:rsidR="00526C5C" w:rsidRPr="00EB6E4F" w:rsidRDefault="00526C5C" w:rsidP="006F5BA6">
      <w:pPr>
        <w:pStyle w:val="PolicybulletLevel3"/>
        <w:rPr>
          <w:szCs w:val="24"/>
        </w:rPr>
      </w:pPr>
      <w:r w:rsidRPr="00EB6E4F">
        <w:rPr>
          <w:szCs w:val="24"/>
        </w:rPr>
        <w:t xml:space="preserve">The investigative process </w:t>
      </w:r>
      <w:r w:rsidR="00AB2D5E" w:rsidRPr="00EB6E4F">
        <w:rPr>
          <w:szCs w:val="24"/>
        </w:rPr>
        <w:t>will</w:t>
      </w:r>
      <w:r w:rsidRPr="00EB6E4F">
        <w:rPr>
          <w:szCs w:val="24"/>
        </w:rPr>
        <w:t xml:space="preserve"> be collaborative; with the patient, staff and investigators working together to achieve learning that will ensure improvements are made. </w:t>
      </w:r>
    </w:p>
    <w:p w:rsidR="00526C5C" w:rsidRPr="00EB6E4F" w:rsidRDefault="00526C5C" w:rsidP="006F5BA6">
      <w:pPr>
        <w:pStyle w:val="PolicybulletLevel3"/>
        <w:rPr>
          <w:szCs w:val="24"/>
        </w:rPr>
      </w:pPr>
      <w:r w:rsidRPr="00EB6E4F">
        <w:rPr>
          <w:szCs w:val="24"/>
        </w:rPr>
        <w:t xml:space="preserve">The approach towards our staff who have been involved in an incident must be without judgement or blame. After each contact with the investigation team they should leave feeling that they have been treated fairly and not blamed or punished. </w:t>
      </w:r>
    </w:p>
    <w:p w:rsidR="00526C5C" w:rsidRPr="00EB6E4F" w:rsidRDefault="00526C5C" w:rsidP="006F5BA6">
      <w:pPr>
        <w:pStyle w:val="PolicybulletLevel3"/>
        <w:rPr>
          <w:szCs w:val="24"/>
        </w:rPr>
      </w:pPr>
      <w:r w:rsidRPr="00EB6E4F">
        <w:rPr>
          <w:szCs w:val="24"/>
        </w:rPr>
        <w:lastRenderedPageBreak/>
        <w:t>Statements</w:t>
      </w:r>
      <w:r w:rsidR="00AB2D5E" w:rsidRPr="00EB6E4F">
        <w:rPr>
          <w:szCs w:val="24"/>
        </w:rPr>
        <w:t xml:space="preserve"> (or other written accounts must</w:t>
      </w:r>
      <w:r w:rsidRPr="00EB6E4F">
        <w:rPr>
          <w:szCs w:val="24"/>
        </w:rPr>
        <w:t xml:space="preserve"> </w:t>
      </w:r>
      <w:r w:rsidR="001D1E30" w:rsidRPr="00EB6E4F">
        <w:rPr>
          <w:szCs w:val="24"/>
        </w:rPr>
        <w:t xml:space="preserve">never </w:t>
      </w:r>
      <w:r w:rsidRPr="00EB6E4F">
        <w:rPr>
          <w:szCs w:val="24"/>
        </w:rPr>
        <w:t xml:space="preserve">be requested following the initiation of a patient safety </w:t>
      </w:r>
      <w:r w:rsidR="00F6376C" w:rsidRPr="00EB6E4F">
        <w:rPr>
          <w:szCs w:val="24"/>
        </w:rPr>
        <w:t>i</w:t>
      </w:r>
      <w:r w:rsidRPr="00EB6E4F">
        <w:rPr>
          <w:szCs w:val="24"/>
        </w:rPr>
        <w:t>ncident response</w:t>
      </w:r>
      <w:r w:rsidR="001D1E30" w:rsidRPr="00EB6E4F">
        <w:rPr>
          <w:szCs w:val="24"/>
        </w:rPr>
        <w:t>)</w:t>
      </w:r>
      <w:r w:rsidR="00F6376C" w:rsidRPr="00EB6E4F">
        <w:rPr>
          <w:szCs w:val="24"/>
        </w:rPr>
        <w:t xml:space="preserve">. </w:t>
      </w:r>
      <w:r w:rsidRPr="00EB6E4F">
        <w:rPr>
          <w:szCs w:val="24"/>
        </w:rPr>
        <w:t xml:space="preserve"> Statements are unhelpful and will not promote the new ways of thinking within the principles of PSIRF.</w:t>
      </w:r>
    </w:p>
    <w:p w:rsidR="00526C5C" w:rsidRPr="00EB6E4F" w:rsidRDefault="00526C5C" w:rsidP="006F5BA6">
      <w:pPr>
        <w:pStyle w:val="PolicybulletLevel3"/>
        <w:rPr>
          <w:szCs w:val="24"/>
        </w:rPr>
      </w:pPr>
      <w:r w:rsidRPr="00EB6E4F">
        <w:rPr>
          <w:szCs w:val="24"/>
        </w:rPr>
        <w:t xml:space="preserve">There is an informal agreement between the investigator and staff involved. This agreement is based on the principle that staff share information openly with the investigator and they will not be blamed or punished for making an honest mistake. (An </w:t>
      </w:r>
      <w:r w:rsidR="001D1E30" w:rsidRPr="00EB6E4F">
        <w:rPr>
          <w:szCs w:val="24"/>
        </w:rPr>
        <w:t>h</w:t>
      </w:r>
      <w:r w:rsidRPr="00EB6E4F">
        <w:rPr>
          <w:szCs w:val="24"/>
        </w:rPr>
        <w:t xml:space="preserve">onest </w:t>
      </w:r>
      <w:r w:rsidR="001D1E30" w:rsidRPr="00EB6E4F">
        <w:rPr>
          <w:szCs w:val="24"/>
        </w:rPr>
        <w:t>m</w:t>
      </w:r>
      <w:r w:rsidRPr="00EB6E4F">
        <w:rPr>
          <w:szCs w:val="24"/>
        </w:rPr>
        <w:t>istake is where there was no intention to cause harm and the individual did their best)</w:t>
      </w:r>
      <w:r w:rsidR="00F6376C" w:rsidRPr="00EB6E4F">
        <w:rPr>
          <w:szCs w:val="24"/>
        </w:rPr>
        <w:t>.</w:t>
      </w:r>
    </w:p>
    <w:p w:rsidR="00526C5C" w:rsidRPr="00EB6E4F" w:rsidRDefault="00526C5C" w:rsidP="006F5BA6">
      <w:pPr>
        <w:pStyle w:val="PolicybulletLevel3"/>
        <w:rPr>
          <w:szCs w:val="24"/>
        </w:rPr>
      </w:pPr>
      <w:r w:rsidRPr="00EB6E4F">
        <w:rPr>
          <w:szCs w:val="24"/>
        </w:rPr>
        <w:t xml:space="preserve">Identification of specific communication needs or other needs in relation to Health Inequalities should be considered early in the process. </w:t>
      </w:r>
    </w:p>
    <w:p w:rsidR="00526C5C" w:rsidRPr="00EB6E4F" w:rsidRDefault="00526C5C" w:rsidP="006F5BA6">
      <w:pPr>
        <w:pStyle w:val="PolicybulletLevel3"/>
        <w:rPr>
          <w:szCs w:val="24"/>
        </w:rPr>
      </w:pPr>
      <w:r w:rsidRPr="00EB6E4F">
        <w:rPr>
          <w:szCs w:val="24"/>
        </w:rPr>
        <w:t xml:space="preserve">The Duty of Candour (Professional and Statutory) is a requirement by professional bodies as well as a legal requirement and therefore must always be applied for </w:t>
      </w:r>
      <w:hyperlink r:id="rId11" w:history="1">
        <w:r w:rsidR="00A56CFC" w:rsidRPr="00EB6E4F">
          <w:rPr>
            <w:rStyle w:val="Hyperlink"/>
            <w:szCs w:val="24"/>
          </w:rPr>
          <w:t>notifiable safety incidents</w:t>
        </w:r>
      </w:hyperlink>
      <w:r w:rsidR="00A56CFC" w:rsidRPr="00EB6E4F">
        <w:rPr>
          <w:szCs w:val="24"/>
        </w:rPr>
        <w:t xml:space="preserve"> (CQC 2022)</w:t>
      </w:r>
      <w:r w:rsidRPr="00EB6E4F">
        <w:rPr>
          <w:szCs w:val="24"/>
        </w:rPr>
        <w:t xml:space="preserve">. This requirement is not changed by the principles of compassionate engagement. </w:t>
      </w:r>
    </w:p>
    <w:p w:rsidR="000C5297" w:rsidRPr="006F5BA6" w:rsidRDefault="00526C5C" w:rsidP="006F5BA6">
      <w:pPr>
        <w:pStyle w:val="PolicybulletLevel3"/>
        <w:rPr>
          <w:szCs w:val="24"/>
        </w:rPr>
      </w:pPr>
      <w:r w:rsidRPr="00EB6E4F">
        <w:rPr>
          <w:szCs w:val="24"/>
        </w:rPr>
        <w:t xml:space="preserve">There will be training for all staff who will be engaging with our patients and staff in response to a patient safety incident. The </w:t>
      </w:r>
      <w:r w:rsidR="00F6376C" w:rsidRPr="00EB6E4F">
        <w:rPr>
          <w:szCs w:val="24"/>
        </w:rPr>
        <w:t>t</w:t>
      </w:r>
      <w:r w:rsidRPr="00EB6E4F">
        <w:rPr>
          <w:szCs w:val="24"/>
        </w:rPr>
        <w:t>raining will cover: Duty of Candour</w:t>
      </w:r>
      <w:r w:rsidR="00F6376C" w:rsidRPr="00EB6E4F">
        <w:rPr>
          <w:szCs w:val="24"/>
        </w:rPr>
        <w:t>;</w:t>
      </w:r>
      <w:r w:rsidRPr="00EB6E4F">
        <w:rPr>
          <w:szCs w:val="24"/>
        </w:rPr>
        <w:t xml:space="preserve"> how to engage with our patients</w:t>
      </w:r>
      <w:r w:rsidR="00F6376C" w:rsidRPr="00EB6E4F">
        <w:rPr>
          <w:szCs w:val="24"/>
        </w:rPr>
        <w:t>;</w:t>
      </w:r>
      <w:r w:rsidRPr="00EB6E4F">
        <w:rPr>
          <w:szCs w:val="24"/>
        </w:rPr>
        <w:t xml:space="preserve"> families and staff</w:t>
      </w:r>
      <w:r w:rsidR="00F6376C" w:rsidRPr="00EB6E4F">
        <w:rPr>
          <w:szCs w:val="24"/>
        </w:rPr>
        <w:t>;</w:t>
      </w:r>
      <w:r w:rsidRPr="00EB6E4F">
        <w:rPr>
          <w:szCs w:val="24"/>
        </w:rPr>
        <w:t xml:space="preserve"> understanding the process of compassionate engagement</w:t>
      </w:r>
      <w:r w:rsidR="00F6376C" w:rsidRPr="00EB6E4F">
        <w:rPr>
          <w:szCs w:val="24"/>
        </w:rPr>
        <w:t>;</w:t>
      </w:r>
      <w:r w:rsidRPr="00EB6E4F">
        <w:rPr>
          <w:szCs w:val="24"/>
        </w:rPr>
        <w:t xml:space="preserve"> recommended points of contact</w:t>
      </w:r>
      <w:r w:rsidR="00F6376C" w:rsidRPr="00EB6E4F">
        <w:rPr>
          <w:szCs w:val="24"/>
        </w:rPr>
        <w:t>;</w:t>
      </w:r>
      <w:r w:rsidRPr="00EB6E4F">
        <w:rPr>
          <w:szCs w:val="24"/>
        </w:rPr>
        <w:t xml:space="preserve"> how to share information and sign posting. </w:t>
      </w:r>
    </w:p>
    <w:p w:rsidR="00526C5C" w:rsidRPr="006E2283" w:rsidRDefault="00FC4BF8" w:rsidP="006F5BA6">
      <w:pPr>
        <w:pStyle w:val="Policyheader"/>
      </w:pPr>
      <w:bookmarkStart w:id="12" w:name="_Toc166674437"/>
      <w:r w:rsidRPr="006E2283">
        <w:t>Patient Safety Incident Response Planning</w:t>
      </w:r>
      <w:bookmarkEnd w:id="12"/>
    </w:p>
    <w:p w:rsidR="00F22F79" w:rsidRPr="00CB0C5C" w:rsidRDefault="006E2283" w:rsidP="00CB0C5C">
      <w:pPr>
        <w:pStyle w:val="Policybulletlevel2"/>
        <w:rPr>
          <w:szCs w:val="24"/>
        </w:rPr>
      </w:pPr>
      <w:r w:rsidRPr="00EB6E4F">
        <w:rPr>
          <w:szCs w:val="24"/>
        </w:rPr>
        <w:t>PSIRF supports organisations to respond to incidents and safety issues in a way that maximises learning and improvement, rather than basing responses on arbitrary and subjective definitions of harm. Beyond nationally set requirements, organisations can explore patient safety incidents relevant to their context and the populations they serve rather than only those that meet a certain defined threshold.</w:t>
      </w:r>
    </w:p>
    <w:p w:rsidR="00FC4BF8" w:rsidRPr="00EB6E4F" w:rsidRDefault="00033F5B" w:rsidP="00CB0C5C">
      <w:pPr>
        <w:pStyle w:val="Policybulletlevel2"/>
        <w:spacing w:before="240" w:after="240"/>
        <w:rPr>
          <w:b/>
          <w:szCs w:val="24"/>
        </w:rPr>
      </w:pPr>
      <w:r w:rsidRPr="00EB6E4F">
        <w:rPr>
          <w:b/>
          <w:szCs w:val="24"/>
        </w:rPr>
        <w:t>Resources and Training to Support patient Safety Incident Response</w:t>
      </w:r>
    </w:p>
    <w:p w:rsidR="00033F5B" w:rsidRPr="00EB6E4F" w:rsidRDefault="00C1508F" w:rsidP="006F5BA6">
      <w:pPr>
        <w:pStyle w:val="PolicybulletLevel3"/>
        <w:rPr>
          <w:szCs w:val="24"/>
        </w:rPr>
      </w:pPr>
      <w:r w:rsidRPr="00EB6E4F">
        <w:rPr>
          <w:szCs w:val="24"/>
        </w:rPr>
        <w:t xml:space="preserve">The Trust has recently agreed to transfer all Care Group Governance staff to the </w:t>
      </w:r>
      <w:r w:rsidR="000C5297" w:rsidRPr="00EB6E4F">
        <w:rPr>
          <w:szCs w:val="24"/>
        </w:rPr>
        <w:t>Quality Governance Directorate</w:t>
      </w:r>
      <w:r w:rsidRPr="00EB6E4F">
        <w:rPr>
          <w:szCs w:val="24"/>
        </w:rPr>
        <w:t>. This has provided the Trust with an opportunity to create a tailored workforce that, with the appropriate training and support, will be able to deliver on the PSIRF requirements as well as the wider quality governance agenda.</w:t>
      </w:r>
    </w:p>
    <w:p w:rsidR="00C1508F" w:rsidRPr="00EB6E4F" w:rsidRDefault="00C1508F" w:rsidP="006F5BA6">
      <w:pPr>
        <w:pStyle w:val="PolicybulletLevel3"/>
        <w:rPr>
          <w:szCs w:val="24"/>
        </w:rPr>
      </w:pPr>
      <w:r w:rsidRPr="00EB6E4F">
        <w:rPr>
          <w:szCs w:val="24"/>
        </w:rPr>
        <w:t xml:space="preserve">Within the new structure which includes the resource from the </w:t>
      </w:r>
      <w:r w:rsidR="006B146A" w:rsidRPr="00EB6E4F">
        <w:rPr>
          <w:szCs w:val="24"/>
        </w:rPr>
        <w:t>C</w:t>
      </w:r>
      <w:r w:rsidRPr="00EB6E4F">
        <w:rPr>
          <w:szCs w:val="24"/>
        </w:rPr>
        <w:t xml:space="preserve">are </w:t>
      </w:r>
      <w:r w:rsidR="006B146A" w:rsidRPr="00EB6E4F">
        <w:rPr>
          <w:szCs w:val="24"/>
        </w:rPr>
        <w:t>G</w:t>
      </w:r>
      <w:r w:rsidRPr="00EB6E4F">
        <w:rPr>
          <w:szCs w:val="24"/>
        </w:rPr>
        <w:t>roup governance teams, there will be six full time Band 8 posts</w:t>
      </w:r>
      <w:r w:rsidR="004E1014" w:rsidRPr="00EB6E4F">
        <w:rPr>
          <w:szCs w:val="24"/>
        </w:rPr>
        <w:t xml:space="preserve">, four of which will become the business partner for each of their </w:t>
      </w:r>
      <w:r w:rsidR="006B146A" w:rsidRPr="00EB6E4F">
        <w:rPr>
          <w:szCs w:val="24"/>
        </w:rPr>
        <w:t>C</w:t>
      </w:r>
      <w:r w:rsidR="004E1014" w:rsidRPr="00EB6E4F">
        <w:rPr>
          <w:szCs w:val="24"/>
        </w:rPr>
        <w:t xml:space="preserve">are </w:t>
      </w:r>
      <w:r w:rsidR="006B146A" w:rsidRPr="00EB6E4F">
        <w:rPr>
          <w:szCs w:val="24"/>
        </w:rPr>
        <w:t>G</w:t>
      </w:r>
      <w:r w:rsidR="004E1014" w:rsidRPr="00EB6E4F">
        <w:rPr>
          <w:szCs w:val="24"/>
        </w:rPr>
        <w:t>roups.</w:t>
      </w:r>
      <w:r w:rsidRPr="00EB6E4F">
        <w:rPr>
          <w:szCs w:val="24"/>
        </w:rPr>
        <w:t xml:space="preserve"> </w:t>
      </w:r>
      <w:r w:rsidR="004E1014" w:rsidRPr="00EB6E4F">
        <w:rPr>
          <w:szCs w:val="24"/>
        </w:rPr>
        <w:t>The other two posts will remain the governance</w:t>
      </w:r>
      <w:r w:rsidR="006B146A" w:rsidRPr="00EB6E4F">
        <w:rPr>
          <w:szCs w:val="24"/>
        </w:rPr>
        <w:t xml:space="preserve"> leads</w:t>
      </w:r>
      <w:r w:rsidR="004E1014" w:rsidRPr="00EB6E4F">
        <w:rPr>
          <w:szCs w:val="24"/>
        </w:rPr>
        <w:t xml:space="preserve"> for their </w:t>
      </w:r>
      <w:r w:rsidR="006B146A" w:rsidRPr="00EB6E4F">
        <w:rPr>
          <w:szCs w:val="24"/>
        </w:rPr>
        <w:t xml:space="preserve">respective </w:t>
      </w:r>
      <w:r w:rsidR="004E1014" w:rsidRPr="00EB6E4F">
        <w:rPr>
          <w:szCs w:val="24"/>
        </w:rPr>
        <w:t xml:space="preserve">care groups. </w:t>
      </w:r>
      <w:r w:rsidRPr="00EB6E4F">
        <w:rPr>
          <w:szCs w:val="24"/>
        </w:rPr>
        <w:t xml:space="preserve">These posts will be known as the Quality Governance Business Partners (QGBP). </w:t>
      </w:r>
      <w:bookmarkStart w:id="13" w:name="_Hlk163216498"/>
      <w:r w:rsidRPr="00EB6E4F">
        <w:rPr>
          <w:szCs w:val="24"/>
        </w:rPr>
        <w:t xml:space="preserve">Their roles will be 60% working on Patient Safety and 40% supporting the embedding of Quality Governance within their Care Group. As part of the role they will also be the main resource for undertaking the </w:t>
      </w:r>
      <w:bookmarkEnd w:id="13"/>
      <w:r w:rsidR="006B146A" w:rsidRPr="00EB6E4F">
        <w:rPr>
          <w:szCs w:val="24"/>
        </w:rPr>
        <w:t>PSIIs</w:t>
      </w:r>
      <w:r w:rsidR="004E1014" w:rsidRPr="00EB6E4F">
        <w:rPr>
          <w:szCs w:val="24"/>
        </w:rPr>
        <w:t>.</w:t>
      </w:r>
    </w:p>
    <w:p w:rsidR="00D23DF1" w:rsidRPr="00EB6E4F" w:rsidRDefault="00C1508F" w:rsidP="006F5BA6">
      <w:pPr>
        <w:pStyle w:val="PolicybulletLevel3"/>
        <w:rPr>
          <w:szCs w:val="24"/>
        </w:rPr>
      </w:pPr>
      <w:r w:rsidRPr="00EB6E4F">
        <w:rPr>
          <w:szCs w:val="24"/>
        </w:rPr>
        <w:t xml:space="preserve">In addition to the business partner roles the existing corporate team include two Band 7 Patient Safety Leads and 1.4 </w:t>
      </w:r>
      <w:r w:rsidR="004365B9" w:rsidRPr="00EB6E4F">
        <w:rPr>
          <w:szCs w:val="24"/>
        </w:rPr>
        <w:t xml:space="preserve">whole time equivalent (WTE) </w:t>
      </w:r>
      <w:r w:rsidRPr="00EB6E4F">
        <w:rPr>
          <w:szCs w:val="24"/>
        </w:rPr>
        <w:t>Band 8a Deputy Head</w:t>
      </w:r>
      <w:r w:rsidR="006B146A" w:rsidRPr="00EB6E4F">
        <w:rPr>
          <w:szCs w:val="24"/>
        </w:rPr>
        <w:t>s</w:t>
      </w:r>
      <w:r w:rsidRPr="00EB6E4F">
        <w:rPr>
          <w:szCs w:val="24"/>
        </w:rPr>
        <w:t xml:space="preserve"> of </w:t>
      </w:r>
      <w:r w:rsidR="00A56CFC" w:rsidRPr="00EB6E4F">
        <w:rPr>
          <w:szCs w:val="24"/>
        </w:rPr>
        <w:t xml:space="preserve">Patient </w:t>
      </w:r>
      <w:r w:rsidRPr="00EB6E4F">
        <w:rPr>
          <w:szCs w:val="24"/>
        </w:rPr>
        <w:t xml:space="preserve">Safety and </w:t>
      </w:r>
      <w:r w:rsidRPr="00EB6E4F">
        <w:rPr>
          <w:szCs w:val="24"/>
        </w:rPr>
        <w:lastRenderedPageBreak/>
        <w:t xml:space="preserve">Improvement. </w:t>
      </w:r>
      <w:bookmarkStart w:id="14" w:name="_Hlk163216652"/>
      <w:r w:rsidR="00D23DF1" w:rsidRPr="00EB6E4F">
        <w:rPr>
          <w:szCs w:val="24"/>
        </w:rPr>
        <w:t>The Deputy Head</w:t>
      </w:r>
      <w:r w:rsidR="006B146A" w:rsidRPr="00EB6E4F">
        <w:rPr>
          <w:szCs w:val="24"/>
        </w:rPr>
        <w:t>s</w:t>
      </w:r>
      <w:r w:rsidR="00D23DF1" w:rsidRPr="00EB6E4F">
        <w:rPr>
          <w:szCs w:val="24"/>
        </w:rPr>
        <w:t xml:space="preserve"> of Patient Safety and Improvement will manage the </w:t>
      </w:r>
      <w:r w:rsidR="006B146A" w:rsidRPr="00EB6E4F">
        <w:rPr>
          <w:szCs w:val="24"/>
        </w:rPr>
        <w:t>patient safety governance</w:t>
      </w:r>
      <w:r w:rsidR="00D23DF1" w:rsidRPr="00EB6E4F">
        <w:rPr>
          <w:szCs w:val="24"/>
        </w:rPr>
        <w:t xml:space="preserve"> staff that have transferred from the Care Group</w:t>
      </w:r>
      <w:r w:rsidR="004365B9" w:rsidRPr="00EB6E4F">
        <w:rPr>
          <w:szCs w:val="24"/>
        </w:rPr>
        <w:t>s as well as the corporate patient safety and improvement team.</w:t>
      </w:r>
    </w:p>
    <w:p w:rsidR="00C1508F" w:rsidRPr="00EB6E4F" w:rsidRDefault="00C1508F" w:rsidP="006F5BA6">
      <w:pPr>
        <w:pStyle w:val="PolicybulletLevel3"/>
        <w:rPr>
          <w:szCs w:val="24"/>
        </w:rPr>
      </w:pPr>
      <w:r w:rsidRPr="00EB6E4F">
        <w:rPr>
          <w:szCs w:val="24"/>
        </w:rPr>
        <w:t xml:space="preserve">The </w:t>
      </w:r>
      <w:r w:rsidR="00D23DF1" w:rsidRPr="00EB6E4F">
        <w:rPr>
          <w:szCs w:val="24"/>
        </w:rPr>
        <w:t xml:space="preserve">Patient Safety </w:t>
      </w:r>
      <w:r w:rsidR="00055B51" w:rsidRPr="00EB6E4F">
        <w:rPr>
          <w:szCs w:val="24"/>
        </w:rPr>
        <w:t>Leads</w:t>
      </w:r>
      <w:r w:rsidR="00D23DF1" w:rsidRPr="00EB6E4F">
        <w:rPr>
          <w:szCs w:val="24"/>
        </w:rPr>
        <w:t xml:space="preserve"> will provide oversight of the </w:t>
      </w:r>
      <w:r w:rsidR="00AD4BA7" w:rsidRPr="00EB6E4F">
        <w:rPr>
          <w:szCs w:val="24"/>
        </w:rPr>
        <w:t>day-to-day</w:t>
      </w:r>
      <w:r w:rsidRPr="00EB6E4F">
        <w:rPr>
          <w:szCs w:val="24"/>
        </w:rPr>
        <w:t xml:space="preserve"> </w:t>
      </w:r>
      <w:r w:rsidR="00D23DF1" w:rsidRPr="00EB6E4F">
        <w:rPr>
          <w:szCs w:val="24"/>
        </w:rPr>
        <w:t xml:space="preserve">management of the patient safety function </w:t>
      </w:r>
      <w:r w:rsidRPr="00EB6E4F">
        <w:rPr>
          <w:szCs w:val="24"/>
        </w:rPr>
        <w:t xml:space="preserve">and provide coaching </w:t>
      </w:r>
      <w:r w:rsidR="00D23DF1" w:rsidRPr="00EB6E4F">
        <w:rPr>
          <w:szCs w:val="24"/>
        </w:rPr>
        <w:t xml:space="preserve">and training </w:t>
      </w:r>
      <w:r w:rsidRPr="00EB6E4F">
        <w:rPr>
          <w:szCs w:val="24"/>
        </w:rPr>
        <w:t xml:space="preserve">for the QGBP as well as undertaking PSIIs themselves that relate to the key themes that </w:t>
      </w:r>
      <w:r w:rsidR="00A43267" w:rsidRPr="00EB6E4F">
        <w:rPr>
          <w:szCs w:val="24"/>
        </w:rPr>
        <w:t xml:space="preserve">the </w:t>
      </w:r>
      <w:r w:rsidR="00055B51" w:rsidRPr="00EB6E4F">
        <w:rPr>
          <w:szCs w:val="24"/>
        </w:rPr>
        <w:t>T</w:t>
      </w:r>
      <w:r w:rsidR="00A43267" w:rsidRPr="00EB6E4F">
        <w:rPr>
          <w:szCs w:val="24"/>
        </w:rPr>
        <w:t>rust</w:t>
      </w:r>
      <w:r w:rsidRPr="00EB6E4F">
        <w:rPr>
          <w:szCs w:val="24"/>
        </w:rPr>
        <w:t xml:space="preserve"> </w:t>
      </w:r>
      <w:r w:rsidR="00A43267" w:rsidRPr="00EB6E4F">
        <w:rPr>
          <w:szCs w:val="24"/>
        </w:rPr>
        <w:t>is focussing on</w:t>
      </w:r>
      <w:r w:rsidRPr="00EB6E4F">
        <w:rPr>
          <w:szCs w:val="24"/>
        </w:rPr>
        <w:t xml:space="preserve">. </w:t>
      </w:r>
      <w:bookmarkEnd w:id="14"/>
    </w:p>
    <w:p w:rsidR="00C1508F" w:rsidRPr="00EB6E4F" w:rsidRDefault="00C1508F" w:rsidP="006F5BA6">
      <w:pPr>
        <w:pStyle w:val="PolicybulletLevel3"/>
        <w:rPr>
          <w:szCs w:val="24"/>
        </w:rPr>
      </w:pPr>
      <w:r w:rsidRPr="00EB6E4F">
        <w:rPr>
          <w:szCs w:val="24"/>
        </w:rPr>
        <w:t>An important aspect of the corporate team role</w:t>
      </w:r>
      <w:r w:rsidR="00055B51" w:rsidRPr="00EB6E4F">
        <w:rPr>
          <w:szCs w:val="24"/>
        </w:rPr>
        <w:t xml:space="preserve">s </w:t>
      </w:r>
      <w:r w:rsidR="00CC4F18" w:rsidRPr="00EB6E4F">
        <w:rPr>
          <w:szCs w:val="24"/>
        </w:rPr>
        <w:t>is</w:t>
      </w:r>
      <w:r w:rsidRPr="00EB6E4F">
        <w:rPr>
          <w:szCs w:val="24"/>
        </w:rPr>
        <w:t xml:space="preserve"> </w:t>
      </w:r>
      <w:r w:rsidR="00055B51" w:rsidRPr="00EB6E4F">
        <w:rPr>
          <w:szCs w:val="24"/>
        </w:rPr>
        <w:t>to</w:t>
      </w:r>
      <w:r w:rsidRPr="00EB6E4F">
        <w:rPr>
          <w:szCs w:val="24"/>
        </w:rPr>
        <w:t xml:space="preserve"> support the development of robust solutions as well as supporting the dissemination and embedding the learning across the Trust for the PSIIs undertaken.</w:t>
      </w:r>
    </w:p>
    <w:p w:rsidR="00C1508F" w:rsidRPr="00EB6E4F" w:rsidRDefault="00C1508F" w:rsidP="00CB0C5C">
      <w:pPr>
        <w:pStyle w:val="PolicybulletLevel3"/>
        <w:numPr>
          <w:ilvl w:val="0"/>
          <w:numId w:val="0"/>
        </w:numPr>
        <w:spacing w:before="240"/>
        <w:rPr>
          <w:b/>
          <w:szCs w:val="24"/>
        </w:rPr>
      </w:pPr>
      <w:r w:rsidRPr="00EB6E4F">
        <w:rPr>
          <w:b/>
          <w:szCs w:val="24"/>
        </w:rPr>
        <w:t xml:space="preserve">Table 1: </w:t>
      </w:r>
      <w:r w:rsidR="00AB2D5E" w:rsidRPr="00EB6E4F">
        <w:rPr>
          <w:b/>
          <w:szCs w:val="24"/>
        </w:rPr>
        <w:t>T</w:t>
      </w:r>
      <w:r w:rsidRPr="00EB6E4F">
        <w:rPr>
          <w:b/>
          <w:szCs w:val="24"/>
        </w:rPr>
        <w:t>he numbers of investigations the Trust has completed in the previous five years as well as the resource demand</w:t>
      </w:r>
    </w:p>
    <w:tbl>
      <w:tblPr>
        <w:tblStyle w:val="TableGrid1"/>
        <w:tblW w:w="9356" w:type="dxa"/>
        <w:tblLayout w:type="fixed"/>
        <w:tblLook w:val="06A0" w:firstRow="1" w:lastRow="0" w:firstColumn="1" w:lastColumn="0" w:noHBand="1" w:noVBand="1"/>
      </w:tblPr>
      <w:tblGrid>
        <w:gridCol w:w="3261"/>
        <w:gridCol w:w="1015"/>
        <w:gridCol w:w="1016"/>
        <w:gridCol w:w="1016"/>
        <w:gridCol w:w="1016"/>
        <w:gridCol w:w="1016"/>
        <w:gridCol w:w="1016"/>
      </w:tblGrid>
      <w:tr w:rsidR="00C1508F" w:rsidRPr="00166603" w:rsidTr="007E1585">
        <w:trPr>
          <w:trHeight w:val="300"/>
        </w:trPr>
        <w:tc>
          <w:tcPr>
            <w:tcW w:w="3261" w:type="dxa"/>
            <w:noWrap/>
            <w:hideMark/>
          </w:tcPr>
          <w:p w:rsidR="00C1508F" w:rsidRPr="00166603" w:rsidRDefault="00C1508F" w:rsidP="00166603">
            <w:pPr>
              <w:spacing w:after="0"/>
              <w:rPr>
                <w:rFonts w:eastAsia="Calibri" w:cs="Arial"/>
                <w:color w:val="000000"/>
                <w:lang w:eastAsia="en-GB"/>
              </w:rPr>
            </w:pPr>
            <w:bookmarkStart w:id="15" w:name="_GoBack" w:colFirst="0" w:colLast="7"/>
          </w:p>
        </w:tc>
        <w:tc>
          <w:tcPr>
            <w:tcW w:w="1015" w:type="dxa"/>
            <w:noWrap/>
            <w:hideMark/>
          </w:tcPr>
          <w:p w:rsidR="00C1508F" w:rsidRPr="00166603" w:rsidRDefault="00055B51" w:rsidP="00166603">
            <w:pPr>
              <w:spacing w:after="0"/>
              <w:jc w:val="center"/>
              <w:rPr>
                <w:rFonts w:eastAsia="Calibri" w:cs="Arial"/>
                <w:b/>
                <w:bCs/>
                <w:color w:val="000000"/>
                <w:lang w:eastAsia="en-GB"/>
              </w:rPr>
            </w:pPr>
            <w:r w:rsidRPr="00166603">
              <w:rPr>
                <w:rFonts w:eastAsia="Calibri" w:cs="Arial"/>
                <w:b/>
                <w:bCs/>
                <w:color w:val="000000"/>
                <w:lang w:eastAsia="en-GB"/>
              </w:rPr>
              <w:t>20</w:t>
            </w:r>
            <w:r w:rsidR="00C1508F" w:rsidRPr="00166603">
              <w:rPr>
                <w:rFonts w:eastAsia="Calibri" w:cs="Arial"/>
                <w:b/>
                <w:bCs/>
                <w:color w:val="000000"/>
                <w:lang w:eastAsia="en-GB"/>
              </w:rPr>
              <w:t>18/19</w:t>
            </w:r>
          </w:p>
        </w:tc>
        <w:tc>
          <w:tcPr>
            <w:tcW w:w="1016" w:type="dxa"/>
            <w:noWrap/>
            <w:hideMark/>
          </w:tcPr>
          <w:p w:rsidR="00C1508F" w:rsidRPr="00166603" w:rsidRDefault="00055B51" w:rsidP="00166603">
            <w:pPr>
              <w:spacing w:after="0"/>
              <w:jc w:val="center"/>
              <w:rPr>
                <w:rFonts w:eastAsia="Calibri" w:cs="Arial"/>
                <w:b/>
                <w:bCs/>
                <w:color w:val="000000"/>
                <w:lang w:eastAsia="en-GB"/>
              </w:rPr>
            </w:pPr>
            <w:r w:rsidRPr="00166603">
              <w:rPr>
                <w:rFonts w:eastAsia="Calibri" w:cs="Arial"/>
                <w:b/>
                <w:bCs/>
                <w:color w:val="000000"/>
                <w:lang w:eastAsia="en-GB"/>
              </w:rPr>
              <w:t>20</w:t>
            </w:r>
            <w:r w:rsidR="00C1508F" w:rsidRPr="00166603">
              <w:rPr>
                <w:rFonts w:eastAsia="Calibri" w:cs="Arial"/>
                <w:b/>
                <w:bCs/>
                <w:color w:val="000000"/>
                <w:lang w:eastAsia="en-GB"/>
              </w:rPr>
              <w:t>19/20</w:t>
            </w:r>
          </w:p>
        </w:tc>
        <w:tc>
          <w:tcPr>
            <w:tcW w:w="1016" w:type="dxa"/>
            <w:noWrap/>
            <w:hideMark/>
          </w:tcPr>
          <w:p w:rsidR="00C1508F" w:rsidRPr="00166603" w:rsidRDefault="00055B51" w:rsidP="00166603">
            <w:pPr>
              <w:spacing w:after="0"/>
              <w:jc w:val="center"/>
              <w:rPr>
                <w:rFonts w:eastAsia="Calibri" w:cs="Arial"/>
                <w:b/>
                <w:bCs/>
                <w:color w:val="000000"/>
                <w:lang w:eastAsia="en-GB"/>
              </w:rPr>
            </w:pPr>
            <w:r w:rsidRPr="00166603">
              <w:rPr>
                <w:rFonts w:eastAsia="Calibri" w:cs="Arial"/>
                <w:b/>
                <w:bCs/>
                <w:color w:val="000000"/>
                <w:lang w:eastAsia="en-GB"/>
              </w:rPr>
              <w:t>20</w:t>
            </w:r>
            <w:r w:rsidR="00C1508F" w:rsidRPr="00166603">
              <w:rPr>
                <w:rFonts w:eastAsia="Calibri" w:cs="Arial"/>
                <w:b/>
                <w:bCs/>
                <w:color w:val="000000"/>
                <w:lang w:eastAsia="en-GB"/>
              </w:rPr>
              <w:t>20/21</w:t>
            </w:r>
          </w:p>
        </w:tc>
        <w:tc>
          <w:tcPr>
            <w:tcW w:w="1016" w:type="dxa"/>
            <w:noWrap/>
            <w:hideMark/>
          </w:tcPr>
          <w:p w:rsidR="00C1508F" w:rsidRPr="00166603" w:rsidRDefault="00055B51" w:rsidP="00166603">
            <w:pPr>
              <w:spacing w:after="0"/>
              <w:jc w:val="center"/>
              <w:rPr>
                <w:rFonts w:eastAsia="Calibri" w:cs="Arial"/>
                <w:b/>
                <w:bCs/>
                <w:color w:val="000000"/>
                <w:lang w:eastAsia="en-GB"/>
              </w:rPr>
            </w:pPr>
            <w:r w:rsidRPr="00166603">
              <w:rPr>
                <w:rFonts w:eastAsia="Calibri" w:cs="Arial"/>
                <w:b/>
                <w:bCs/>
                <w:color w:val="000000"/>
                <w:lang w:eastAsia="en-GB"/>
              </w:rPr>
              <w:t>20</w:t>
            </w:r>
            <w:r w:rsidR="00C1508F" w:rsidRPr="00166603">
              <w:rPr>
                <w:rFonts w:eastAsia="Calibri" w:cs="Arial"/>
                <w:b/>
                <w:bCs/>
                <w:color w:val="000000"/>
                <w:lang w:eastAsia="en-GB"/>
              </w:rPr>
              <w:t>21/22</w:t>
            </w:r>
          </w:p>
        </w:tc>
        <w:tc>
          <w:tcPr>
            <w:tcW w:w="1016" w:type="dxa"/>
            <w:noWrap/>
            <w:hideMark/>
          </w:tcPr>
          <w:p w:rsidR="00C1508F" w:rsidRPr="00166603" w:rsidRDefault="00055B51" w:rsidP="00166603">
            <w:pPr>
              <w:spacing w:after="0"/>
              <w:jc w:val="center"/>
              <w:rPr>
                <w:rFonts w:eastAsia="Calibri" w:cs="Arial"/>
                <w:b/>
                <w:bCs/>
                <w:color w:val="000000"/>
                <w:lang w:eastAsia="en-GB"/>
              </w:rPr>
            </w:pPr>
            <w:r w:rsidRPr="00166603">
              <w:rPr>
                <w:rFonts w:eastAsia="Calibri" w:cs="Arial"/>
                <w:b/>
                <w:bCs/>
                <w:color w:val="000000"/>
                <w:lang w:eastAsia="en-GB"/>
              </w:rPr>
              <w:t>20</w:t>
            </w:r>
            <w:r w:rsidR="00C1508F" w:rsidRPr="00166603">
              <w:rPr>
                <w:rFonts w:eastAsia="Calibri" w:cs="Arial"/>
                <w:b/>
                <w:bCs/>
                <w:color w:val="000000"/>
                <w:lang w:eastAsia="en-GB"/>
              </w:rPr>
              <w:t>22/23</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Total</w:t>
            </w:r>
          </w:p>
        </w:tc>
      </w:tr>
      <w:bookmarkEnd w:id="15"/>
      <w:tr w:rsidR="00C1508F" w:rsidRPr="00166603" w:rsidTr="007E1585">
        <w:trPr>
          <w:trHeight w:val="60"/>
        </w:trPr>
        <w:tc>
          <w:tcPr>
            <w:tcW w:w="3261" w:type="dxa"/>
            <w:noWrap/>
            <w:hideMark/>
          </w:tcPr>
          <w:p w:rsidR="00C1508F" w:rsidRPr="00166603" w:rsidRDefault="00C1508F" w:rsidP="00166603">
            <w:pPr>
              <w:spacing w:after="0"/>
              <w:rPr>
                <w:rFonts w:eastAsia="Calibri" w:cs="Arial"/>
                <w:b/>
                <w:bCs/>
                <w:color w:val="000000"/>
                <w:lang w:eastAsia="en-GB"/>
              </w:rPr>
            </w:pPr>
            <w:r w:rsidRPr="00166603">
              <w:rPr>
                <w:rFonts w:eastAsia="Calibri" w:cs="Arial"/>
                <w:b/>
                <w:bCs/>
                <w:color w:val="000000"/>
                <w:lang w:eastAsia="en-GB"/>
              </w:rPr>
              <w:t>Total SIs declared</w:t>
            </w:r>
          </w:p>
        </w:tc>
        <w:tc>
          <w:tcPr>
            <w:tcW w:w="1015"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139</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210</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232</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307</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240</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1128</w:t>
            </w:r>
          </w:p>
        </w:tc>
      </w:tr>
      <w:tr w:rsidR="00C1508F" w:rsidRPr="00166603" w:rsidTr="007E1585">
        <w:trPr>
          <w:trHeight w:val="397"/>
        </w:trPr>
        <w:tc>
          <w:tcPr>
            <w:tcW w:w="3261" w:type="dxa"/>
            <w:noWrap/>
            <w:hideMark/>
          </w:tcPr>
          <w:p w:rsidR="00C1508F" w:rsidRPr="00166603" w:rsidRDefault="00C1508F" w:rsidP="00166603">
            <w:pPr>
              <w:spacing w:after="0"/>
              <w:rPr>
                <w:rFonts w:eastAsia="Calibri" w:cs="Arial"/>
                <w:color w:val="000000"/>
                <w:lang w:eastAsia="en-GB"/>
              </w:rPr>
            </w:pPr>
            <w:r w:rsidRPr="00166603">
              <w:rPr>
                <w:rFonts w:eastAsia="Calibri" w:cs="Arial"/>
                <w:color w:val="000000"/>
                <w:lang w:eastAsia="en-GB"/>
              </w:rPr>
              <w:t>Total Never Events (sub set of total SIs)</w:t>
            </w:r>
          </w:p>
        </w:tc>
        <w:tc>
          <w:tcPr>
            <w:tcW w:w="1015"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7</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4</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4</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3</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7</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25</w:t>
            </w:r>
          </w:p>
        </w:tc>
      </w:tr>
      <w:tr w:rsidR="00C1508F" w:rsidRPr="00166603" w:rsidTr="007E1585">
        <w:trPr>
          <w:trHeight w:val="397"/>
        </w:trPr>
        <w:tc>
          <w:tcPr>
            <w:tcW w:w="3261" w:type="dxa"/>
            <w:noWrap/>
            <w:hideMark/>
          </w:tcPr>
          <w:p w:rsidR="00C1508F" w:rsidRPr="00166603" w:rsidRDefault="002C61B0" w:rsidP="00166603">
            <w:pPr>
              <w:spacing w:after="0"/>
              <w:rPr>
                <w:rFonts w:eastAsia="Calibri" w:cs="Arial"/>
                <w:color w:val="000000"/>
                <w:lang w:eastAsia="en-GB"/>
              </w:rPr>
            </w:pPr>
            <w:r w:rsidRPr="00166603">
              <w:rPr>
                <w:rFonts w:eastAsia="Calibri" w:cs="Arial"/>
                <w:color w:val="000000"/>
                <w:lang w:eastAsia="en-GB"/>
              </w:rPr>
              <w:t xml:space="preserve">Maternity and Neonatal </w:t>
            </w:r>
            <w:r w:rsidR="008F09BC" w:rsidRPr="00166603">
              <w:rPr>
                <w:rFonts w:eastAsia="Calibri" w:cs="Arial"/>
                <w:color w:val="000000"/>
                <w:lang w:eastAsia="en-GB"/>
              </w:rPr>
              <w:t>Safety Investigations</w:t>
            </w:r>
            <w:r w:rsidR="00C1508F" w:rsidRPr="00166603">
              <w:rPr>
                <w:rFonts w:eastAsia="Calibri" w:cs="Arial"/>
                <w:color w:val="000000"/>
                <w:lang w:eastAsia="en-GB"/>
              </w:rPr>
              <w:t xml:space="preserve"> (sub set of total SIs)</w:t>
            </w:r>
          </w:p>
        </w:tc>
        <w:tc>
          <w:tcPr>
            <w:tcW w:w="1015"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4</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4</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4</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10</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6</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28</w:t>
            </w:r>
          </w:p>
        </w:tc>
      </w:tr>
      <w:tr w:rsidR="00C1508F" w:rsidRPr="00166603" w:rsidTr="007E1585">
        <w:trPr>
          <w:trHeight w:val="60"/>
        </w:trPr>
        <w:tc>
          <w:tcPr>
            <w:tcW w:w="3261" w:type="dxa"/>
            <w:noWrap/>
            <w:hideMark/>
          </w:tcPr>
          <w:p w:rsidR="00C1508F" w:rsidRPr="00166603" w:rsidRDefault="00C1508F" w:rsidP="00166603">
            <w:pPr>
              <w:spacing w:after="0"/>
              <w:rPr>
                <w:rFonts w:eastAsia="Calibri" w:cs="Arial"/>
                <w:b/>
                <w:bCs/>
                <w:color w:val="000000"/>
                <w:lang w:eastAsia="en-GB"/>
              </w:rPr>
            </w:pPr>
            <w:r w:rsidRPr="00166603">
              <w:rPr>
                <w:rFonts w:eastAsia="Calibri" w:cs="Arial"/>
                <w:b/>
                <w:bCs/>
                <w:color w:val="000000"/>
                <w:lang w:eastAsia="en-GB"/>
              </w:rPr>
              <w:t xml:space="preserve">RCAs and </w:t>
            </w:r>
            <w:r w:rsidR="00102FF4" w:rsidRPr="00166603">
              <w:rPr>
                <w:rFonts w:eastAsia="Calibri" w:cs="Arial"/>
                <w:b/>
                <w:bCs/>
                <w:color w:val="000000"/>
                <w:lang w:eastAsia="en-GB"/>
              </w:rPr>
              <w:t>AARs (</w:t>
            </w:r>
            <w:r w:rsidRPr="00166603">
              <w:rPr>
                <w:rFonts w:eastAsia="Calibri" w:cs="Arial"/>
                <w:b/>
                <w:bCs/>
                <w:color w:val="000000"/>
                <w:lang w:eastAsia="en-GB"/>
              </w:rPr>
              <w:t>not SIs)</w:t>
            </w:r>
          </w:p>
        </w:tc>
        <w:tc>
          <w:tcPr>
            <w:tcW w:w="1015"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80</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134</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140</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124</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129</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607</w:t>
            </w:r>
          </w:p>
        </w:tc>
      </w:tr>
      <w:tr w:rsidR="00C1508F" w:rsidRPr="00166603" w:rsidTr="007E1585">
        <w:trPr>
          <w:trHeight w:val="60"/>
        </w:trPr>
        <w:tc>
          <w:tcPr>
            <w:tcW w:w="3261" w:type="dxa"/>
            <w:noWrap/>
            <w:hideMark/>
          </w:tcPr>
          <w:p w:rsidR="00C1508F" w:rsidRPr="00166603" w:rsidRDefault="00C1508F" w:rsidP="00166603">
            <w:pPr>
              <w:spacing w:after="0"/>
              <w:rPr>
                <w:rFonts w:eastAsia="Calibri" w:cs="Arial"/>
                <w:b/>
                <w:bCs/>
                <w:color w:val="000000"/>
                <w:lang w:eastAsia="en-GB"/>
              </w:rPr>
            </w:pPr>
            <w:r w:rsidRPr="00166603">
              <w:rPr>
                <w:rFonts w:eastAsia="Calibri" w:cs="Arial"/>
                <w:b/>
                <w:bCs/>
                <w:color w:val="000000"/>
                <w:lang w:eastAsia="en-GB"/>
              </w:rPr>
              <w:t>Total RCA/AAR investigations</w:t>
            </w:r>
          </w:p>
        </w:tc>
        <w:tc>
          <w:tcPr>
            <w:tcW w:w="1015"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215</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340</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368</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421</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363</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1707</w:t>
            </w:r>
          </w:p>
        </w:tc>
      </w:tr>
      <w:tr w:rsidR="00C1508F" w:rsidRPr="00166603" w:rsidTr="007E1585">
        <w:trPr>
          <w:trHeight w:val="397"/>
        </w:trPr>
        <w:tc>
          <w:tcPr>
            <w:tcW w:w="3261" w:type="dxa"/>
            <w:noWrap/>
            <w:hideMark/>
          </w:tcPr>
          <w:p w:rsidR="00C1508F" w:rsidRPr="00166603" w:rsidRDefault="00C1508F" w:rsidP="00166603">
            <w:pPr>
              <w:spacing w:after="0"/>
              <w:rPr>
                <w:rFonts w:eastAsia="Calibri" w:cs="Arial"/>
                <w:color w:val="000000"/>
                <w:lang w:eastAsia="en-GB"/>
              </w:rPr>
            </w:pPr>
            <w:r w:rsidRPr="00166603">
              <w:rPr>
                <w:rFonts w:eastAsia="Calibri" w:cs="Arial"/>
                <w:color w:val="000000"/>
                <w:lang w:eastAsia="en-GB"/>
              </w:rPr>
              <w:t>RCA/AAR Investigation hours (55 hrs each)</w:t>
            </w:r>
          </w:p>
        </w:tc>
        <w:tc>
          <w:tcPr>
            <w:tcW w:w="1015"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11825</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18700</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20240</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23155</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19965</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93885</w:t>
            </w:r>
          </w:p>
        </w:tc>
      </w:tr>
      <w:tr w:rsidR="00C1508F" w:rsidRPr="00166603" w:rsidTr="007E1585">
        <w:trPr>
          <w:trHeight w:val="60"/>
        </w:trPr>
        <w:tc>
          <w:tcPr>
            <w:tcW w:w="3261" w:type="dxa"/>
            <w:noWrap/>
            <w:hideMark/>
          </w:tcPr>
          <w:p w:rsidR="00C1508F" w:rsidRPr="00166603" w:rsidRDefault="00C1508F" w:rsidP="00166603">
            <w:pPr>
              <w:spacing w:after="0"/>
              <w:rPr>
                <w:rFonts w:eastAsia="Calibri" w:cs="Arial"/>
                <w:b/>
                <w:bCs/>
                <w:color w:val="000000"/>
                <w:lang w:eastAsia="en-GB"/>
              </w:rPr>
            </w:pPr>
            <w:r w:rsidRPr="00166603">
              <w:rPr>
                <w:rFonts w:eastAsia="Calibri" w:cs="Arial"/>
                <w:b/>
                <w:bCs/>
                <w:color w:val="000000"/>
                <w:lang w:eastAsia="en-GB"/>
              </w:rPr>
              <w:t>Total SJRs completed</w:t>
            </w:r>
          </w:p>
        </w:tc>
        <w:tc>
          <w:tcPr>
            <w:tcW w:w="1015"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16</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54</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52</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29</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39</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190</w:t>
            </w:r>
          </w:p>
        </w:tc>
      </w:tr>
      <w:tr w:rsidR="00C1508F" w:rsidRPr="00166603" w:rsidTr="007E1585">
        <w:trPr>
          <w:trHeight w:val="397"/>
        </w:trPr>
        <w:tc>
          <w:tcPr>
            <w:tcW w:w="3261" w:type="dxa"/>
            <w:noWrap/>
            <w:hideMark/>
          </w:tcPr>
          <w:p w:rsidR="00C1508F" w:rsidRPr="00166603" w:rsidRDefault="00C1508F" w:rsidP="00166603">
            <w:pPr>
              <w:spacing w:after="0"/>
              <w:rPr>
                <w:rFonts w:eastAsia="Calibri" w:cs="Arial"/>
                <w:color w:val="000000"/>
                <w:lang w:eastAsia="en-GB"/>
              </w:rPr>
            </w:pPr>
            <w:r w:rsidRPr="00166603">
              <w:rPr>
                <w:rFonts w:eastAsia="Calibri" w:cs="Arial"/>
                <w:color w:val="000000"/>
                <w:lang w:eastAsia="en-GB"/>
              </w:rPr>
              <w:t>SJR Investigation hours (1 hour each)</w:t>
            </w:r>
          </w:p>
        </w:tc>
        <w:tc>
          <w:tcPr>
            <w:tcW w:w="1015"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16</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54</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52</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29</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39</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190</w:t>
            </w:r>
          </w:p>
        </w:tc>
      </w:tr>
      <w:tr w:rsidR="00C1508F" w:rsidRPr="00166603" w:rsidTr="007E1585">
        <w:trPr>
          <w:trHeight w:val="397"/>
        </w:trPr>
        <w:tc>
          <w:tcPr>
            <w:tcW w:w="3261" w:type="dxa"/>
            <w:noWrap/>
            <w:hideMark/>
          </w:tcPr>
          <w:p w:rsidR="00C1508F" w:rsidRPr="00166603" w:rsidRDefault="00C1508F" w:rsidP="00166603">
            <w:pPr>
              <w:spacing w:after="0"/>
              <w:rPr>
                <w:rFonts w:eastAsia="Calibri" w:cs="Arial"/>
                <w:color w:val="000000"/>
                <w:lang w:eastAsia="en-GB"/>
              </w:rPr>
            </w:pPr>
            <w:r w:rsidRPr="00166603">
              <w:rPr>
                <w:rFonts w:eastAsia="Calibri" w:cs="Arial"/>
                <w:color w:val="000000"/>
                <w:lang w:eastAsia="en-GB"/>
              </w:rPr>
              <w:t>Total Investigation hours (all types)</w:t>
            </w:r>
          </w:p>
        </w:tc>
        <w:tc>
          <w:tcPr>
            <w:tcW w:w="1015"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11841</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18754</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20292</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23184</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20004</w:t>
            </w:r>
          </w:p>
        </w:tc>
        <w:tc>
          <w:tcPr>
            <w:tcW w:w="1016" w:type="dxa"/>
            <w:noWrap/>
            <w:hideMark/>
          </w:tcPr>
          <w:p w:rsidR="00C1508F" w:rsidRPr="00166603" w:rsidRDefault="00C1508F" w:rsidP="00166603">
            <w:pPr>
              <w:spacing w:after="0"/>
              <w:jc w:val="center"/>
              <w:rPr>
                <w:rFonts w:eastAsia="Calibri" w:cs="Arial"/>
                <w:color w:val="000000"/>
                <w:lang w:eastAsia="en-GB"/>
              </w:rPr>
            </w:pPr>
            <w:r w:rsidRPr="00166603">
              <w:rPr>
                <w:rFonts w:eastAsia="Calibri" w:cs="Arial"/>
                <w:color w:val="000000"/>
                <w:lang w:eastAsia="en-GB"/>
              </w:rPr>
              <w:t>94075</w:t>
            </w:r>
          </w:p>
        </w:tc>
      </w:tr>
      <w:tr w:rsidR="00C1508F" w:rsidRPr="00166603" w:rsidTr="007E1585">
        <w:trPr>
          <w:trHeight w:val="397"/>
        </w:trPr>
        <w:tc>
          <w:tcPr>
            <w:tcW w:w="3261" w:type="dxa"/>
            <w:noWrap/>
            <w:hideMark/>
          </w:tcPr>
          <w:p w:rsidR="00C1508F" w:rsidRPr="00166603" w:rsidRDefault="00C1508F" w:rsidP="00166603">
            <w:pPr>
              <w:spacing w:after="0"/>
              <w:rPr>
                <w:rFonts w:eastAsia="Calibri" w:cs="Arial"/>
                <w:b/>
                <w:bCs/>
                <w:color w:val="000000"/>
                <w:lang w:eastAsia="en-GB"/>
              </w:rPr>
            </w:pPr>
            <w:r w:rsidRPr="00166603">
              <w:rPr>
                <w:rFonts w:eastAsia="Calibri" w:cs="Arial"/>
                <w:b/>
                <w:bCs/>
                <w:color w:val="000000"/>
                <w:lang w:eastAsia="en-GB"/>
              </w:rPr>
              <w:t>Investigation time spent in weeks per annum</w:t>
            </w:r>
          </w:p>
        </w:tc>
        <w:tc>
          <w:tcPr>
            <w:tcW w:w="1015"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316</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500</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541</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618</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533</w:t>
            </w:r>
          </w:p>
        </w:tc>
        <w:tc>
          <w:tcPr>
            <w:tcW w:w="1016" w:type="dxa"/>
            <w:noWrap/>
            <w:hideMark/>
          </w:tcPr>
          <w:p w:rsidR="00C1508F" w:rsidRPr="00166603" w:rsidRDefault="00C1508F" w:rsidP="00166603">
            <w:pPr>
              <w:spacing w:after="0"/>
              <w:jc w:val="center"/>
              <w:rPr>
                <w:rFonts w:eastAsia="Calibri" w:cs="Arial"/>
                <w:b/>
                <w:bCs/>
                <w:color w:val="000000"/>
                <w:lang w:eastAsia="en-GB"/>
              </w:rPr>
            </w:pPr>
            <w:r w:rsidRPr="00166603">
              <w:rPr>
                <w:rFonts w:eastAsia="Calibri" w:cs="Arial"/>
                <w:b/>
                <w:bCs/>
                <w:color w:val="000000"/>
                <w:lang w:eastAsia="en-GB"/>
              </w:rPr>
              <w:t>2509</w:t>
            </w:r>
          </w:p>
        </w:tc>
      </w:tr>
    </w:tbl>
    <w:p w:rsidR="004365B9" w:rsidRPr="00CB0C5C" w:rsidRDefault="00C1508F" w:rsidP="00CB0C5C">
      <w:pPr>
        <w:pStyle w:val="PolicybulletLevel3"/>
        <w:numPr>
          <w:ilvl w:val="0"/>
          <w:numId w:val="0"/>
        </w:numPr>
        <w:rPr>
          <w:szCs w:val="24"/>
        </w:rPr>
      </w:pPr>
      <w:r w:rsidRPr="00EB6E4F">
        <w:rPr>
          <w:szCs w:val="24"/>
        </w:rPr>
        <w:t xml:space="preserve">The table above shows the increasing number of serious incidents the Trust has undertaken over the past five years as well as the sustained number of other types of investigation responses over the same period. The Trust has calculated the number of hours spent on each investigation, irrespective of the staff members grade or profession, and estimated that an average of approximately 55 hours </w:t>
      </w:r>
      <w:r w:rsidR="004365B9" w:rsidRPr="00EB6E4F">
        <w:rPr>
          <w:szCs w:val="24"/>
        </w:rPr>
        <w:t xml:space="preserve">is </w:t>
      </w:r>
      <w:r w:rsidRPr="00EB6E4F">
        <w:rPr>
          <w:szCs w:val="24"/>
        </w:rPr>
        <w:t xml:space="preserve">spent per investigation. This figure is averaged out between </w:t>
      </w:r>
      <w:r w:rsidR="00CC4F18" w:rsidRPr="00EB6E4F">
        <w:rPr>
          <w:szCs w:val="24"/>
        </w:rPr>
        <w:t>serious incident</w:t>
      </w:r>
      <w:r w:rsidRPr="00EB6E4F">
        <w:rPr>
          <w:szCs w:val="24"/>
        </w:rPr>
        <w:t xml:space="preserve"> investigations and After-Action Reviews (AAR). </w:t>
      </w:r>
      <w:r w:rsidR="004365B9" w:rsidRPr="00EB6E4F">
        <w:rPr>
          <w:szCs w:val="24"/>
        </w:rPr>
        <w:t>A</w:t>
      </w:r>
      <w:r w:rsidRPr="00EB6E4F">
        <w:rPr>
          <w:szCs w:val="24"/>
        </w:rPr>
        <w:t>pproximately 5</w:t>
      </w:r>
      <w:r w:rsidR="004365B9" w:rsidRPr="00EB6E4F">
        <w:rPr>
          <w:szCs w:val="24"/>
        </w:rPr>
        <w:t>3</w:t>
      </w:r>
      <w:r w:rsidRPr="00EB6E4F">
        <w:rPr>
          <w:szCs w:val="24"/>
        </w:rPr>
        <w:t>3 weeks</w:t>
      </w:r>
      <w:r w:rsidR="004365B9" w:rsidRPr="00EB6E4F">
        <w:rPr>
          <w:szCs w:val="24"/>
        </w:rPr>
        <w:t xml:space="preserve"> were</w:t>
      </w:r>
      <w:r w:rsidRPr="00EB6E4F">
        <w:rPr>
          <w:szCs w:val="24"/>
        </w:rPr>
        <w:t xml:space="preserve"> spent on completing investigations over the previous year </w:t>
      </w:r>
      <w:r w:rsidR="004365B9" w:rsidRPr="00EB6E4F">
        <w:rPr>
          <w:szCs w:val="24"/>
        </w:rPr>
        <w:t>which</w:t>
      </w:r>
      <w:r w:rsidRPr="00EB6E4F">
        <w:rPr>
          <w:szCs w:val="24"/>
        </w:rPr>
        <w:t xml:space="preserve"> equates to 12.7 WTE staff.</w:t>
      </w:r>
    </w:p>
    <w:p w:rsidR="00C1508F" w:rsidRPr="00EB6E4F" w:rsidRDefault="00C1508F" w:rsidP="00CB0C5C">
      <w:pPr>
        <w:pStyle w:val="PolicybulletLevel3"/>
        <w:numPr>
          <w:ilvl w:val="0"/>
          <w:numId w:val="0"/>
        </w:numPr>
        <w:spacing w:before="240"/>
        <w:rPr>
          <w:b/>
          <w:szCs w:val="24"/>
        </w:rPr>
      </w:pPr>
      <w:r w:rsidRPr="00EB6E4F">
        <w:rPr>
          <w:b/>
          <w:szCs w:val="24"/>
        </w:rPr>
        <w:t xml:space="preserve">Table 2. </w:t>
      </w:r>
      <w:r w:rsidR="00AB2D5E" w:rsidRPr="00EB6E4F">
        <w:rPr>
          <w:b/>
          <w:szCs w:val="24"/>
        </w:rPr>
        <w:t>H</w:t>
      </w:r>
      <w:r w:rsidRPr="00EB6E4F">
        <w:rPr>
          <w:b/>
          <w:szCs w:val="24"/>
        </w:rPr>
        <w:t>igh-level training requirement for key staff across the Trust</w:t>
      </w:r>
      <w:r w:rsidR="00AB2D5E" w:rsidRPr="00EB6E4F">
        <w:rPr>
          <w:b/>
          <w:szCs w:val="24"/>
        </w:rPr>
        <w:t xml:space="preserve"> in accordance with the Patient Safety Incident Response Standards</w:t>
      </w:r>
    </w:p>
    <w:p w:rsidR="00457739" w:rsidRPr="00EB6E4F" w:rsidRDefault="00457739" w:rsidP="006F5BA6">
      <w:pPr>
        <w:pStyle w:val="PolicybulletLevel3"/>
        <w:numPr>
          <w:ilvl w:val="0"/>
          <w:numId w:val="0"/>
        </w:numPr>
        <w:rPr>
          <w:b/>
          <w:szCs w:val="24"/>
        </w:rPr>
      </w:pPr>
      <w:r w:rsidRPr="00EB6E4F">
        <w:rPr>
          <w:rFonts w:eastAsia="Calibri" w:cstheme="minorHAnsi"/>
          <w:szCs w:val="24"/>
        </w:rPr>
        <w:t xml:space="preserve">The Trust </w:t>
      </w:r>
      <w:r w:rsidRPr="006F5BA6">
        <w:rPr>
          <w:szCs w:val="24"/>
        </w:rPr>
        <w:t>has</w:t>
      </w:r>
      <w:r w:rsidRPr="00EB6E4F">
        <w:rPr>
          <w:rFonts w:eastAsia="Calibri" w:cstheme="minorHAnsi"/>
          <w:szCs w:val="24"/>
        </w:rPr>
        <w:t xml:space="preserve"> developed a comprehensive training needs analysis. The training plan is under development. Both are available separately.  </w:t>
      </w:r>
    </w:p>
    <w:tbl>
      <w:tblPr>
        <w:tblStyle w:val="TableGrid1"/>
        <w:tblW w:w="9356" w:type="dxa"/>
        <w:tblInd w:w="-5" w:type="dxa"/>
        <w:tblCellMar>
          <w:top w:w="57" w:type="dxa"/>
          <w:bottom w:w="57" w:type="dxa"/>
        </w:tblCellMar>
        <w:tblLook w:val="04A0" w:firstRow="1" w:lastRow="0" w:firstColumn="1" w:lastColumn="0" w:noHBand="0" w:noVBand="1"/>
      </w:tblPr>
      <w:tblGrid>
        <w:gridCol w:w="3544"/>
        <w:gridCol w:w="5812"/>
      </w:tblGrid>
      <w:tr w:rsidR="001C121D" w:rsidRPr="00166603" w:rsidTr="006F5BA6">
        <w:tc>
          <w:tcPr>
            <w:tcW w:w="3544" w:type="dxa"/>
          </w:tcPr>
          <w:p w:rsidR="001C121D" w:rsidRPr="00166603" w:rsidRDefault="001C121D" w:rsidP="00166603">
            <w:pPr>
              <w:spacing w:before="60" w:after="60"/>
              <w:rPr>
                <w:rFonts w:eastAsia="Calibri" w:cstheme="minorHAnsi"/>
                <w:b/>
                <w:bCs/>
                <w:szCs w:val="24"/>
              </w:rPr>
            </w:pPr>
            <w:r w:rsidRPr="00166603">
              <w:rPr>
                <w:rFonts w:eastAsia="Calibri" w:cstheme="minorHAnsi"/>
                <w:b/>
                <w:bCs/>
                <w:szCs w:val="24"/>
              </w:rPr>
              <w:lastRenderedPageBreak/>
              <w:t xml:space="preserve">Role </w:t>
            </w:r>
          </w:p>
        </w:tc>
        <w:tc>
          <w:tcPr>
            <w:tcW w:w="5812" w:type="dxa"/>
          </w:tcPr>
          <w:p w:rsidR="001C121D" w:rsidRPr="00166603" w:rsidRDefault="001C121D" w:rsidP="00166603">
            <w:pPr>
              <w:spacing w:before="60" w:after="60"/>
              <w:rPr>
                <w:rFonts w:eastAsia="Calibri" w:cstheme="minorHAnsi"/>
                <w:b/>
                <w:bCs/>
                <w:szCs w:val="24"/>
              </w:rPr>
            </w:pPr>
            <w:r w:rsidRPr="00166603">
              <w:rPr>
                <w:rFonts w:eastAsia="Calibri" w:cstheme="minorHAnsi"/>
                <w:b/>
                <w:bCs/>
                <w:szCs w:val="24"/>
              </w:rPr>
              <w:t xml:space="preserve">Training Required </w:t>
            </w:r>
          </w:p>
        </w:tc>
      </w:tr>
      <w:tr w:rsidR="001C121D" w:rsidRPr="00EB6E4F" w:rsidTr="006F5BA6">
        <w:tc>
          <w:tcPr>
            <w:tcW w:w="3544" w:type="dxa"/>
          </w:tcPr>
          <w:p w:rsidR="001C121D" w:rsidRPr="00EB6E4F" w:rsidRDefault="001C121D" w:rsidP="00166603">
            <w:pPr>
              <w:spacing w:before="60" w:after="60"/>
              <w:rPr>
                <w:rFonts w:eastAsia="Calibri" w:cstheme="minorHAnsi"/>
                <w:szCs w:val="24"/>
              </w:rPr>
            </w:pPr>
            <w:r w:rsidRPr="00EB6E4F">
              <w:rPr>
                <w:rFonts w:eastAsia="Calibri" w:cstheme="minorHAnsi"/>
                <w:szCs w:val="24"/>
              </w:rPr>
              <w:t xml:space="preserve">Chief Nursing and Midwifery Officer (Executive Director Responsible for PSIRF) </w:t>
            </w:r>
          </w:p>
          <w:p w:rsidR="00AB2D5E" w:rsidRPr="00EB6E4F" w:rsidRDefault="004365B9" w:rsidP="00166603">
            <w:pPr>
              <w:spacing w:before="60" w:after="60"/>
              <w:rPr>
                <w:rFonts w:eastAsia="Calibri" w:cstheme="minorHAnsi"/>
                <w:szCs w:val="24"/>
              </w:rPr>
            </w:pPr>
            <w:r w:rsidRPr="00EB6E4F">
              <w:rPr>
                <w:rFonts w:eastAsia="Calibri" w:cstheme="minorHAnsi"/>
                <w:szCs w:val="24"/>
              </w:rPr>
              <w:t>and</w:t>
            </w:r>
          </w:p>
          <w:p w:rsidR="00AB2D5E" w:rsidRPr="00EB6E4F" w:rsidRDefault="00AB2D5E" w:rsidP="00166603">
            <w:pPr>
              <w:spacing w:before="60" w:after="60"/>
              <w:rPr>
                <w:rFonts w:eastAsia="Calibri" w:cstheme="minorHAnsi"/>
                <w:szCs w:val="24"/>
              </w:rPr>
            </w:pPr>
            <w:r w:rsidRPr="00EB6E4F">
              <w:rPr>
                <w:rFonts w:eastAsia="Calibri" w:cstheme="minorHAnsi"/>
                <w:szCs w:val="24"/>
              </w:rPr>
              <w:t>Chief Medical Officer</w:t>
            </w:r>
          </w:p>
        </w:tc>
        <w:tc>
          <w:tcPr>
            <w:tcW w:w="5812" w:type="dxa"/>
          </w:tcPr>
          <w:p w:rsidR="001C121D" w:rsidRPr="00EB6E4F" w:rsidRDefault="001C121D" w:rsidP="00166603">
            <w:pPr>
              <w:spacing w:before="60" w:after="60"/>
              <w:rPr>
                <w:rFonts w:eastAsia="Calibri" w:cstheme="minorHAnsi"/>
                <w:szCs w:val="24"/>
              </w:rPr>
            </w:pPr>
            <w:r w:rsidRPr="00EB6E4F">
              <w:rPr>
                <w:rFonts w:eastAsia="Calibri" w:cstheme="minorHAnsi"/>
                <w:szCs w:val="24"/>
              </w:rPr>
              <w:t>Level 1 Essentials of Patient Safety</w:t>
            </w:r>
            <w:r w:rsidR="00AB2D5E" w:rsidRPr="00EB6E4F">
              <w:rPr>
                <w:rFonts w:eastAsia="Calibri" w:cstheme="minorHAnsi"/>
                <w:szCs w:val="24"/>
              </w:rPr>
              <w:t xml:space="preserve"> for all staff</w:t>
            </w:r>
            <w:r w:rsidR="00055B51" w:rsidRPr="00EB6E4F">
              <w:rPr>
                <w:rFonts w:eastAsia="Calibri" w:cstheme="minorHAnsi"/>
                <w:szCs w:val="24"/>
              </w:rPr>
              <w:t>; and for</w:t>
            </w:r>
            <w:r w:rsidR="00AB2D5E" w:rsidRPr="00EB6E4F">
              <w:rPr>
                <w:rFonts w:eastAsia="Calibri" w:cstheme="minorHAnsi"/>
                <w:szCs w:val="24"/>
              </w:rPr>
              <w:t xml:space="preserve"> Senior Leadership and Trust Boards</w:t>
            </w:r>
          </w:p>
          <w:p w:rsidR="00AA210C" w:rsidRPr="00EB6E4F" w:rsidRDefault="001C121D" w:rsidP="00166603">
            <w:pPr>
              <w:spacing w:before="60" w:after="60"/>
              <w:rPr>
                <w:rFonts w:eastAsia="Calibri" w:cstheme="minorHAnsi"/>
                <w:szCs w:val="24"/>
              </w:rPr>
            </w:pPr>
            <w:r w:rsidRPr="00EB6E4F">
              <w:rPr>
                <w:rFonts w:eastAsia="Calibri" w:cstheme="minorHAnsi"/>
                <w:szCs w:val="24"/>
              </w:rPr>
              <w:t>Level 2</w:t>
            </w:r>
            <w:r w:rsidR="00AA210C" w:rsidRPr="00EB6E4F">
              <w:rPr>
                <w:rFonts w:eastAsia="Calibri" w:cstheme="minorHAnsi"/>
                <w:szCs w:val="24"/>
              </w:rPr>
              <w:t xml:space="preserve"> Access to Practice</w:t>
            </w:r>
            <w:r w:rsidRPr="00EB6E4F">
              <w:rPr>
                <w:rFonts w:eastAsia="Calibri" w:cstheme="minorHAnsi"/>
                <w:szCs w:val="24"/>
              </w:rPr>
              <w:t xml:space="preserve"> </w:t>
            </w:r>
          </w:p>
          <w:p w:rsidR="001C121D" w:rsidRPr="00EB6E4F" w:rsidRDefault="00AB2D5E" w:rsidP="00166603">
            <w:pPr>
              <w:spacing w:before="60" w:after="60"/>
              <w:rPr>
                <w:rFonts w:eastAsia="Calibri" w:cstheme="minorHAnsi"/>
                <w:szCs w:val="24"/>
              </w:rPr>
            </w:pPr>
            <w:r w:rsidRPr="00EB6E4F">
              <w:rPr>
                <w:rFonts w:eastAsia="Calibri" w:cstheme="minorHAnsi"/>
                <w:szCs w:val="24"/>
              </w:rPr>
              <w:t>A systems approach to investigating and learning from Patient Safety Incidents</w:t>
            </w:r>
          </w:p>
          <w:p w:rsidR="00AB2D5E" w:rsidRPr="00EB6E4F" w:rsidRDefault="00AB2D5E" w:rsidP="00166603">
            <w:pPr>
              <w:spacing w:before="60" w:after="60"/>
              <w:rPr>
                <w:rFonts w:eastAsia="Calibri" w:cstheme="minorHAnsi"/>
                <w:szCs w:val="24"/>
              </w:rPr>
            </w:pPr>
            <w:r w:rsidRPr="00EB6E4F">
              <w:rPr>
                <w:rFonts w:eastAsia="Calibri" w:cstheme="minorHAnsi"/>
                <w:szCs w:val="24"/>
              </w:rPr>
              <w:t>Involving those affected by patient safety incidents in the learning process</w:t>
            </w:r>
          </w:p>
          <w:p w:rsidR="00AB2D5E" w:rsidRPr="00EB6E4F" w:rsidRDefault="00AB2D5E" w:rsidP="00166603">
            <w:pPr>
              <w:spacing w:before="60" w:after="60"/>
              <w:rPr>
                <w:rFonts w:eastAsia="Calibri" w:cstheme="minorHAnsi"/>
                <w:szCs w:val="24"/>
              </w:rPr>
            </w:pPr>
            <w:r w:rsidRPr="00EB6E4F">
              <w:rPr>
                <w:rFonts w:eastAsia="Calibri" w:cstheme="minorHAnsi"/>
                <w:szCs w:val="24"/>
              </w:rPr>
              <w:t xml:space="preserve">Patient </w:t>
            </w:r>
            <w:r w:rsidR="00055B51" w:rsidRPr="00EB6E4F">
              <w:rPr>
                <w:rFonts w:eastAsia="Calibri" w:cstheme="minorHAnsi"/>
                <w:szCs w:val="24"/>
              </w:rPr>
              <w:t>S</w:t>
            </w:r>
            <w:r w:rsidRPr="00EB6E4F">
              <w:rPr>
                <w:rFonts w:eastAsia="Calibri" w:cstheme="minorHAnsi"/>
                <w:szCs w:val="24"/>
              </w:rPr>
              <w:t xml:space="preserve">afety </w:t>
            </w:r>
            <w:r w:rsidR="00055B51" w:rsidRPr="00EB6E4F">
              <w:rPr>
                <w:rFonts w:eastAsia="Calibri" w:cstheme="minorHAnsi"/>
                <w:szCs w:val="24"/>
              </w:rPr>
              <w:t>I</w:t>
            </w:r>
            <w:r w:rsidRPr="00EB6E4F">
              <w:rPr>
                <w:rFonts w:eastAsia="Calibri" w:cstheme="minorHAnsi"/>
                <w:szCs w:val="24"/>
              </w:rPr>
              <w:t xml:space="preserve">ncident </w:t>
            </w:r>
            <w:r w:rsidR="00055B51" w:rsidRPr="00EB6E4F">
              <w:rPr>
                <w:rFonts w:eastAsia="Calibri" w:cstheme="minorHAnsi"/>
                <w:szCs w:val="24"/>
              </w:rPr>
              <w:t>R</w:t>
            </w:r>
            <w:r w:rsidRPr="00EB6E4F">
              <w:rPr>
                <w:rFonts w:eastAsia="Calibri" w:cstheme="minorHAnsi"/>
                <w:szCs w:val="24"/>
              </w:rPr>
              <w:t xml:space="preserve">esponse </w:t>
            </w:r>
            <w:r w:rsidR="00055B51" w:rsidRPr="00EB6E4F">
              <w:rPr>
                <w:rFonts w:eastAsia="Calibri" w:cstheme="minorHAnsi"/>
                <w:szCs w:val="24"/>
              </w:rPr>
              <w:t>F</w:t>
            </w:r>
            <w:r w:rsidRPr="00EB6E4F">
              <w:rPr>
                <w:rFonts w:eastAsia="Calibri" w:cstheme="minorHAnsi"/>
                <w:szCs w:val="24"/>
              </w:rPr>
              <w:t xml:space="preserve">ramework </w:t>
            </w:r>
            <w:r w:rsidR="00055B51" w:rsidRPr="00EB6E4F">
              <w:rPr>
                <w:rFonts w:eastAsia="Calibri" w:cstheme="minorHAnsi"/>
                <w:szCs w:val="24"/>
              </w:rPr>
              <w:t>O</w:t>
            </w:r>
            <w:r w:rsidRPr="00EB6E4F">
              <w:rPr>
                <w:rFonts w:eastAsia="Calibri" w:cstheme="minorHAnsi"/>
                <w:szCs w:val="24"/>
              </w:rPr>
              <w:t xml:space="preserve">versight </w:t>
            </w:r>
          </w:p>
          <w:p w:rsidR="001C121D" w:rsidRPr="00EB6E4F" w:rsidRDefault="00055B51" w:rsidP="00166603">
            <w:pPr>
              <w:spacing w:before="60" w:after="60"/>
              <w:rPr>
                <w:rFonts w:eastAsia="Calibri" w:cstheme="minorHAnsi"/>
                <w:szCs w:val="24"/>
              </w:rPr>
            </w:pPr>
            <w:r w:rsidRPr="00EB6E4F">
              <w:rPr>
                <w:rFonts w:eastAsia="Calibri" w:cstheme="minorHAnsi"/>
                <w:szCs w:val="24"/>
              </w:rPr>
              <w:t>Continuing Professional Development (</w:t>
            </w:r>
            <w:r w:rsidR="001C121D" w:rsidRPr="00EB6E4F">
              <w:rPr>
                <w:rFonts w:eastAsia="Calibri" w:cstheme="minorHAnsi"/>
                <w:szCs w:val="24"/>
              </w:rPr>
              <w:t>CPD</w:t>
            </w:r>
            <w:r w:rsidRPr="00EB6E4F">
              <w:rPr>
                <w:rFonts w:eastAsia="Calibri" w:cstheme="minorHAnsi"/>
                <w:szCs w:val="24"/>
              </w:rPr>
              <w:t>)</w:t>
            </w:r>
            <w:r w:rsidR="001C121D" w:rsidRPr="00EB6E4F">
              <w:rPr>
                <w:rFonts w:eastAsia="Calibri" w:cstheme="minorHAnsi"/>
                <w:szCs w:val="24"/>
              </w:rPr>
              <w:t xml:space="preserve"> in </w:t>
            </w:r>
            <w:r w:rsidRPr="00EB6E4F">
              <w:rPr>
                <w:rFonts w:eastAsia="Calibri" w:cstheme="minorHAnsi"/>
                <w:szCs w:val="24"/>
              </w:rPr>
              <w:t>i</w:t>
            </w:r>
            <w:r w:rsidR="001C121D" w:rsidRPr="00EB6E4F">
              <w:rPr>
                <w:rFonts w:eastAsia="Calibri" w:cstheme="minorHAnsi"/>
                <w:szCs w:val="24"/>
              </w:rPr>
              <w:t xml:space="preserve">ncident </w:t>
            </w:r>
            <w:r w:rsidRPr="00EB6E4F">
              <w:rPr>
                <w:rFonts w:eastAsia="Calibri" w:cstheme="minorHAnsi"/>
                <w:szCs w:val="24"/>
              </w:rPr>
              <w:t>r</w:t>
            </w:r>
            <w:r w:rsidR="001C121D" w:rsidRPr="00EB6E4F">
              <w:rPr>
                <w:rFonts w:eastAsia="Calibri" w:cstheme="minorHAnsi"/>
                <w:szCs w:val="24"/>
              </w:rPr>
              <w:t xml:space="preserve">esponse </w:t>
            </w:r>
            <w:r w:rsidRPr="00EB6E4F">
              <w:rPr>
                <w:rFonts w:eastAsia="Calibri" w:cstheme="minorHAnsi"/>
                <w:szCs w:val="24"/>
              </w:rPr>
              <w:t>s</w:t>
            </w:r>
            <w:r w:rsidR="001C121D" w:rsidRPr="00EB6E4F">
              <w:rPr>
                <w:rFonts w:eastAsia="Calibri" w:cstheme="minorHAnsi"/>
                <w:szCs w:val="24"/>
              </w:rPr>
              <w:t xml:space="preserve">kills and </w:t>
            </w:r>
            <w:r w:rsidRPr="00EB6E4F">
              <w:rPr>
                <w:rFonts w:eastAsia="Calibri" w:cstheme="minorHAnsi"/>
                <w:szCs w:val="24"/>
              </w:rPr>
              <w:t>k</w:t>
            </w:r>
            <w:r w:rsidR="001C121D" w:rsidRPr="00EB6E4F">
              <w:rPr>
                <w:rFonts w:eastAsia="Calibri" w:cstheme="minorHAnsi"/>
                <w:szCs w:val="24"/>
              </w:rPr>
              <w:t>nowledge</w:t>
            </w:r>
          </w:p>
        </w:tc>
      </w:tr>
      <w:tr w:rsidR="001C121D" w:rsidRPr="00EB6E4F" w:rsidTr="006F5BA6">
        <w:tc>
          <w:tcPr>
            <w:tcW w:w="3544" w:type="dxa"/>
          </w:tcPr>
          <w:p w:rsidR="001C121D" w:rsidRPr="00EB6E4F" w:rsidRDefault="001C121D" w:rsidP="00166603">
            <w:pPr>
              <w:spacing w:before="60" w:after="60"/>
              <w:rPr>
                <w:rFonts w:eastAsia="Calibri" w:cstheme="minorHAnsi"/>
                <w:szCs w:val="24"/>
              </w:rPr>
            </w:pPr>
            <w:r w:rsidRPr="00EB6E4F">
              <w:rPr>
                <w:rFonts w:eastAsia="Calibri" w:cstheme="minorHAnsi"/>
                <w:szCs w:val="24"/>
              </w:rPr>
              <w:t xml:space="preserve">Patient Safety Specialists </w:t>
            </w:r>
          </w:p>
          <w:p w:rsidR="00AA210C" w:rsidRPr="00EB6E4F" w:rsidRDefault="00AA210C" w:rsidP="00166603">
            <w:pPr>
              <w:spacing w:before="60" w:after="60"/>
              <w:rPr>
                <w:rFonts w:eastAsia="Calibri" w:cstheme="minorHAnsi"/>
                <w:szCs w:val="24"/>
              </w:rPr>
            </w:pPr>
            <w:r w:rsidRPr="00EB6E4F">
              <w:rPr>
                <w:rFonts w:eastAsia="Calibri" w:cstheme="minorHAnsi"/>
                <w:szCs w:val="24"/>
              </w:rPr>
              <w:t>(</w:t>
            </w:r>
            <w:r w:rsidR="00EA630D" w:rsidRPr="00EB6E4F">
              <w:rPr>
                <w:rFonts w:eastAsia="Calibri" w:cstheme="minorHAnsi"/>
                <w:szCs w:val="24"/>
              </w:rPr>
              <w:t xml:space="preserve">Director and Deputy Director of Quality Governance </w:t>
            </w:r>
          </w:p>
          <w:p w:rsidR="001C121D" w:rsidRPr="00EB6E4F" w:rsidRDefault="00EA630D" w:rsidP="00166603">
            <w:pPr>
              <w:spacing w:before="60" w:after="60"/>
              <w:rPr>
                <w:rFonts w:eastAsia="Calibri" w:cstheme="minorHAnsi"/>
                <w:szCs w:val="24"/>
              </w:rPr>
            </w:pPr>
            <w:r w:rsidRPr="00EB6E4F">
              <w:rPr>
                <w:rFonts w:eastAsia="Calibri" w:cstheme="minorHAnsi"/>
                <w:szCs w:val="24"/>
              </w:rPr>
              <w:t>Head</w:t>
            </w:r>
            <w:r w:rsidR="00AA210C" w:rsidRPr="00EB6E4F">
              <w:rPr>
                <w:rFonts w:eastAsia="Calibri" w:cstheme="minorHAnsi"/>
                <w:szCs w:val="24"/>
              </w:rPr>
              <w:t xml:space="preserve"> and Deputy Heads of</w:t>
            </w:r>
            <w:r w:rsidRPr="00EB6E4F">
              <w:rPr>
                <w:rFonts w:eastAsia="Calibri" w:cstheme="minorHAnsi"/>
                <w:szCs w:val="24"/>
              </w:rPr>
              <w:t xml:space="preserve"> Patient Safety and Improvement</w:t>
            </w:r>
            <w:r w:rsidR="00AA210C" w:rsidRPr="00EB6E4F">
              <w:rPr>
                <w:rFonts w:eastAsia="Calibri" w:cstheme="minorHAnsi"/>
                <w:szCs w:val="24"/>
              </w:rPr>
              <w:t>)</w:t>
            </w:r>
          </w:p>
        </w:tc>
        <w:tc>
          <w:tcPr>
            <w:tcW w:w="5812" w:type="dxa"/>
          </w:tcPr>
          <w:p w:rsidR="00AA210C" w:rsidRPr="00EB6E4F" w:rsidRDefault="00D0670A" w:rsidP="00166603">
            <w:pPr>
              <w:spacing w:before="60" w:after="60"/>
              <w:rPr>
                <w:rFonts w:eastAsia="Calibri" w:cstheme="minorHAnsi"/>
                <w:szCs w:val="24"/>
              </w:rPr>
            </w:pPr>
            <w:r w:rsidRPr="00EB6E4F">
              <w:rPr>
                <w:rFonts w:eastAsia="Calibri" w:cstheme="minorHAnsi"/>
                <w:szCs w:val="24"/>
              </w:rPr>
              <w:t xml:space="preserve">Patient Safety Syllabus </w:t>
            </w:r>
            <w:r w:rsidR="001C121D" w:rsidRPr="00EB6E4F">
              <w:rPr>
                <w:rFonts w:eastAsia="Calibri" w:cstheme="minorHAnsi"/>
                <w:szCs w:val="24"/>
              </w:rPr>
              <w:t>Level 1, 2, 3</w:t>
            </w:r>
            <w:r w:rsidR="00AA210C" w:rsidRPr="00EB6E4F">
              <w:rPr>
                <w:rFonts w:eastAsia="Calibri" w:cstheme="minorHAnsi"/>
                <w:szCs w:val="24"/>
              </w:rPr>
              <w:t xml:space="preserve"> and</w:t>
            </w:r>
            <w:r w:rsidR="001C121D" w:rsidRPr="00EB6E4F">
              <w:rPr>
                <w:rFonts w:eastAsia="Calibri" w:cstheme="minorHAnsi"/>
                <w:szCs w:val="24"/>
              </w:rPr>
              <w:t xml:space="preserve"> 4</w:t>
            </w:r>
          </w:p>
          <w:p w:rsidR="001C121D" w:rsidRPr="00EB6E4F" w:rsidRDefault="00AA210C" w:rsidP="00166603">
            <w:pPr>
              <w:spacing w:before="60" w:after="60"/>
              <w:rPr>
                <w:rFonts w:eastAsia="Calibri" w:cstheme="minorHAnsi"/>
                <w:szCs w:val="24"/>
              </w:rPr>
            </w:pPr>
            <w:r w:rsidRPr="00EB6E4F">
              <w:rPr>
                <w:rFonts w:eastAsia="Calibri" w:cstheme="minorHAnsi"/>
                <w:szCs w:val="24"/>
              </w:rPr>
              <w:t>Other relevant approved training</w:t>
            </w:r>
          </w:p>
          <w:p w:rsidR="00AA210C" w:rsidRPr="00EB6E4F" w:rsidRDefault="00AA210C" w:rsidP="00166603">
            <w:pPr>
              <w:spacing w:before="60" w:after="60"/>
              <w:rPr>
                <w:rFonts w:eastAsia="Calibri" w:cstheme="minorHAnsi"/>
                <w:szCs w:val="24"/>
              </w:rPr>
            </w:pPr>
            <w:r w:rsidRPr="00EB6E4F">
              <w:rPr>
                <w:rFonts w:eastAsia="Calibri" w:cstheme="minorHAnsi"/>
                <w:szCs w:val="24"/>
              </w:rPr>
              <w:t>CPD in incident response skills and knowledge</w:t>
            </w:r>
          </w:p>
        </w:tc>
      </w:tr>
      <w:tr w:rsidR="001C121D" w:rsidRPr="00EB6E4F" w:rsidTr="006F5BA6">
        <w:tc>
          <w:tcPr>
            <w:tcW w:w="3544" w:type="dxa"/>
          </w:tcPr>
          <w:p w:rsidR="001C121D" w:rsidRPr="00EB6E4F" w:rsidRDefault="001C121D" w:rsidP="00166603">
            <w:pPr>
              <w:spacing w:before="60" w:after="60"/>
              <w:rPr>
                <w:rFonts w:eastAsia="Calibri" w:cstheme="minorHAnsi"/>
                <w:szCs w:val="24"/>
              </w:rPr>
            </w:pPr>
            <w:r w:rsidRPr="00EB6E4F">
              <w:rPr>
                <w:rFonts w:eastAsia="Calibri" w:cstheme="minorHAnsi"/>
                <w:szCs w:val="24"/>
              </w:rPr>
              <w:t xml:space="preserve">The Trust Board </w:t>
            </w:r>
          </w:p>
        </w:tc>
        <w:tc>
          <w:tcPr>
            <w:tcW w:w="5812" w:type="dxa"/>
          </w:tcPr>
          <w:p w:rsidR="001C121D" w:rsidRPr="00EB6E4F" w:rsidRDefault="00D0670A" w:rsidP="00166603">
            <w:pPr>
              <w:spacing w:before="60" w:after="60"/>
              <w:rPr>
                <w:rFonts w:eastAsia="Calibri" w:cstheme="minorHAnsi"/>
                <w:szCs w:val="24"/>
              </w:rPr>
            </w:pPr>
            <w:r w:rsidRPr="00EB6E4F">
              <w:rPr>
                <w:rFonts w:eastAsia="Calibri" w:cstheme="minorHAnsi"/>
                <w:szCs w:val="24"/>
              </w:rPr>
              <w:t>Level 1 Essentials of Patient Safety for all staff and for Boards and senior leadership teams</w:t>
            </w:r>
          </w:p>
          <w:p w:rsidR="00EB6E4F" w:rsidRPr="00EB6E4F" w:rsidRDefault="00D0670A" w:rsidP="00166603">
            <w:pPr>
              <w:spacing w:before="60" w:after="60"/>
              <w:rPr>
                <w:rFonts w:eastAsia="Calibri" w:cstheme="minorHAnsi"/>
                <w:szCs w:val="24"/>
              </w:rPr>
            </w:pPr>
            <w:r w:rsidRPr="00EB6E4F">
              <w:rPr>
                <w:rFonts w:eastAsia="Calibri" w:cstheme="minorHAnsi"/>
                <w:szCs w:val="24"/>
              </w:rPr>
              <w:t>Level 2 Access to Practice</w:t>
            </w:r>
          </w:p>
        </w:tc>
      </w:tr>
      <w:tr w:rsidR="001C121D" w:rsidRPr="00EB6E4F" w:rsidTr="006F5BA6">
        <w:tc>
          <w:tcPr>
            <w:tcW w:w="3544" w:type="dxa"/>
          </w:tcPr>
          <w:p w:rsidR="001C121D" w:rsidRPr="00EB6E4F" w:rsidRDefault="00D0670A" w:rsidP="00166603">
            <w:pPr>
              <w:spacing w:before="60" w:after="60"/>
              <w:rPr>
                <w:rFonts w:eastAsia="Calibri" w:cstheme="minorHAnsi"/>
                <w:szCs w:val="24"/>
              </w:rPr>
            </w:pPr>
            <w:r w:rsidRPr="00EB6E4F">
              <w:rPr>
                <w:rFonts w:eastAsia="Calibri" w:cstheme="minorHAnsi"/>
                <w:szCs w:val="24"/>
              </w:rPr>
              <w:t xml:space="preserve">Learning Response Leads </w:t>
            </w:r>
          </w:p>
        </w:tc>
        <w:tc>
          <w:tcPr>
            <w:tcW w:w="5812" w:type="dxa"/>
          </w:tcPr>
          <w:p w:rsidR="001C121D" w:rsidRPr="00EB6E4F" w:rsidRDefault="00D0670A" w:rsidP="00166603">
            <w:pPr>
              <w:spacing w:before="60" w:after="60"/>
              <w:rPr>
                <w:rFonts w:eastAsia="Calibri" w:cstheme="minorHAnsi"/>
                <w:szCs w:val="24"/>
              </w:rPr>
            </w:pPr>
            <w:r w:rsidRPr="00EB6E4F">
              <w:rPr>
                <w:rFonts w:eastAsia="Calibri" w:cstheme="minorHAnsi"/>
                <w:szCs w:val="24"/>
              </w:rPr>
              <w:t xml:space="preserve">Patient Safety Syllabus </w:t>
            </w:r>
            <w:r w:rsidR="001C121D" w:rsidRPr="00EB6E4F">
              <w:rPr>
                <w:rFonts w:eastAsia="Calibri" w:cstheme="minorHAnsi"/>
                <w:szCs w:val="24"/>
              </w:rPr>
              <w:t>Level 1</w:t>
            </w:r>
            <w:r w:rsidRPr="00EB6E4F">
              <w:rPr>
                <w:rFonts w:eastAsia="Calibri" w:cstheme="minorHAnsi"/>
                <w:szCs w:val="24"/>
              </w:rPr>
              <w:t xml:space="preserve"> and</w:t>
            </w:r>
            <w:r w:rsidR="001C121D" w:rsidRPr="00EB6E4F">
              <w:rPr>
                <w:rFonts w:eastAsia="Calibri" w:cstheme="minorHAnsi"/>
                <w:szCs w:val="24"/>
              </w:rPr>
              <w:t xml:space="preserve"> 2</w:t>
            </w:r>
          </w:p>
          <w:p w:rsidR="001C121D" w:rsidRPr="00EB6E4F" w:rsidRDefault="00D0670A" w:rsidP="00166603">
            <w:pPr>
              <w:spacing w:before="60" w:after="60"/>
              <w:rPr>
                <w:rFonts w:eastAsia="Calibri" w:cstheme="minorHAnsi"/>
                <w:szCs w:val="24"/>
              </w:rPr>
            </w:pPr>
            <w:r w:rsidRPr="00EB6E4F">
              <w:rPr>
                <w:rFonts w:eastAsia="Calibri" w:cstheme="minorHAnsi"/>
                <w:szCs w:val="24"/>
              </w:rPr>
              <w:t>A systems approach to investigating and learning from patient safety incidents</w:t>
            </w:r>
          </w:p>
          <w:p w:rsidR="00D0670A" w:rsidRPr="00EB6E4F" w:rsidRDefault="00D0670A" w:rsidP="00166603">
            <w:pPr>
              <w:spacing w:before="60" w:after="60"/>
              <w:rPr>
                <w:rFonts w:eastAsia="Calibri" w:cstheme="minorHAnsi"/>
                <w:szCs w:val="24"/>
              </w:rPr>
            </w:pPr>
            <w:r w:rsidRPr="00EB6E4F">
              <w:rPr>
                <w:rFonts w:eastAsia="Calibri" w:cstheme="minorHAnsi"/>
                <w:szCs w:val="24"/>
              </w:rPr>
              <w:t>Involving those affected by patient safety incidents in the learning process</w:t>
            </w:r>
          </w:p>
          <w:p w:rsidR="001C121D" w:rsidRPr="00EB6E4F" w:rsidRDefault="001C121D" w:rsidP="00166603">
            <w:pPr>
              <w:spacing w:before="60" w:after="60"/>
              <w:rPr>
                <w:rFonts w:eastAsia="Calibri" w:cstheme="minorHAnsi"/>
                <w:szCs w:val="24"/>
              </w:rPr>
            </w:pPr>
            <w:r w:rsidRPr="00EB6E4F">
              <w:rPr>
                <w:rFonts w:eastAsia="Calibri" w:cstheme="minorHAnsi"/>
                <w:szCs w:val="24"/>
              </w:rPr>
              <w:t>Be provided with in</w:t>
            </w:r>
            <w:r w:rsidR="007D28AF" w:rsidRPr="00EB6E4F">
              <w:rPr>
                <w:rFonts w:eastAsia="Calibri" w:cstheme="minorHAnsi"/>
                <w:szCs w:val="24"/>
              </w:rPr>
              <w:t>-</w:t>
            </w:r>
            <w:r w:rsidRPr="00EB6E4F">
              <w:rPr>
                <w:rFonts w:eastAsia="Calibri" w:cstheme="minorHAnsi"/>
                <w:szCs w:val="24"/>
              </w:rPr>
              <w:t xml:space="preserve">house coaching and support when completing </w:t>
            </w:r>
            <w:r w:rsidR="00AA210C" w:rsidRPr="00EB6E4F">
              <w:rPr>
                <w:rFonts w:eastAsia="Calibri" w:cstheme="minorHAnsi"/>
                <w:szCs w:val="24"/>
              </w:rPr>
              <w:t>learning</w:t>
            </w:r>
            <w:r w:rsidRPr="00EB6E4F">
              <w:rPr>
                <w:rFonts w:eastAsia="Calibri" w:cstheme="minorHAnsi"/>
                <w:szCs w:val="24"/>
              </w:rPr>
              <w:t xml:space="preserve"> responses</w:t>
            </w:r>
          </w:p>
        </w:tc>
      </w:tr>
      <w:tr w:rsidR="001C121D" w:rsidRPr="00EB6E4F" w:rsidTr="006F5BA6">
        <w:tc>
          <w:tcPr>
            <w:tcW w:w="3544" w:type="dxa"/>
          </w:tcPr>
          <w:p w:rsidR="001C121D" w:rsidRPr="00EB6E4F" w:rsidRDefault="001C121D" w:rsidP="00166603">
            <w:pPr>
              <w:spacing w:before="60" w:after="60"/>
              <w:rPr>
                <w:rFonts w:eastAsia="Calibri" w:cstheme="minorHAnsi"/>
                <w:szCs w:val="24"/>
              </w:rPr>
            </w:pPr>
            <w:r w:rsidRPr="00EB6E4F">
              <w:rPr>
                <w:rFonts w:eastAsia="Calibri" w:cstheme="minorHAnsi"/>
                <w:szCs w:val="24"/>
              </w:rPr>
              <w:t xml:space="preserve">All Staff </w:t>
            </w:r>
          </w:p>
        </w:tc>
        <w:tc>
          <w:tcPr>
            <w:tcW w:w="5812" w:type="dxa"/>
          </w:tcPr>
          <w:p w:rsidR="001C121D" w:rsidRPr="00EB6E4F" w:rsidRDefault="001C121D" w:rsidP="00166603">
            <w:pPr>
              <w:spacing w:before="60" w:after="60"/>
              <w:rPr>
                <w:rFonts w:eastAsia="Calibri" w:cstheme="minorHAnsi"/>
                <w:szCs w:val="24"/>
              </w:rPr>
            </w:pPr>
            <w:r w:rsidRPr="00EB6E4F">
              <w:rPr>
                <w:rFonts w:eastAsia="Calibri" w:cstheme="minorHAnsi"/>
                <w:szCs w:val="24"/>
              </w:rPr>
              <w:t xml:space="preserve">Level 1 </w:t>
            </w:r>
            <w:r w:rsidR="00D0670A" w:rsidRPr="00EB6E4F">
              <w:rPr>
                <w:rFonts w:eastAsia="Calibri" w:cstheme="minorHAnsi"/>
                <w:szCs w:val="24"/>
              </w:rPr>
              <w:t>Essentials of Patient Safety for all staff</w:t>
            </w:r>
            <w:r w:rsidR="00AA210C" w:rsidRPr="00EB6E4F">
              <w:rPr>
                <w:rFonts w:eastAsia="Calibri" w:cstheme="minorHAnsi"/>
                <w:szCs w:val="24"/>
              </w:rPr>
              <w:t xml:space="preserve"> </w:t>
            </w:r>
            <w:r w:rsidRPr="00EB6E4F">
              <w:rPr>
                <w:rFonts w:eastAsia="Calibri" w:cstheme="minorHAnsi"/>
                <w:szCs w:val="24"/>
              </w:rPr>
              <w:t>(Mandatory Training)</w:t>
            </w:r>
            <w:r w:rsidR="007D28AF" w:rsidRPr="00EB6E4F">
              <w:rPr>
                <w:rFonts w:eastAsia="Calibri" w:cstheme="minorHAnsi"/>
                <w:szCs w:val="24"/>
              </w:rPr>
              <w:t>.</w:t>
            </w:r>
          </w:p>
          <w:p w:rsidR="001C121D" w:rsidRPr="00EB6E4F" w:rsidRDefault="001C121D" w:rsidP="00166603">
            <w:pPr>
              <w:spacing w:before="60" w:after="60"/>
              <w:rPr>
                <w:rFonts w:eastAsia="Calibri" w:cstheme="minorHAnsi"/>
                <w:szCs w:val="24"/>
              </w:rPr>
            </w:pPr>
            <w:r w:rsidRPr="00EB6E4F">
              <w:rPr>
                <w:rFonts w:eastAsia="Calibri" w:cstheme="minorHAnsi"/>
                <w:szCs w:val="24"/>
              </w:rPr>
              <w:t xml:space="preserve">Level 2 </w:t>
            </w:r>
            <w:r w:rsidR="00D0670A" w:rsidRPr="00EB6E4F">
              <w:rPr>
                <w:rFonts w:eastAsia="Calibri" w:cstheme="minorHAnsi"/>
                <w:szCs w:val="24"/>
              </w:rPr>
              <w:t>Access to Practice 1 and 2 (</w:t>
            </w:r>
            <w:r w:rsidRPr="00EB6E4F">
              <w:rPr>
                <w:rFonts w:eastAsia="Calibri" w:cstheme="minorHAnsi"/>
                <w:szCs w:val="24"/>
              </w:rPr>
              <w:t>Essential</w:t>
            </w:r>
            <w:r w:rsidR="00D0670A" w:rsidRPr="00EB6E4F">
              <w:rPr>
                <w:rFonts w:eastAsia="Calibri" w:cstheme="minorHAnsi"/>
                <w:szCs w:val="24"/>
              </w:rPr>
              <w:t xml:space="preserve"> to role)</w:t>
            </w:r>
          </w:p>
        </w:tc>
      </w:tr>
    </w:tbl>
    <w:p w:rsidR="001C121D" w:rsidRPr="00EB6E4F" w:rsidRDefault="001C121D" w:rsidP="006F5BA6">
      <w:pPr>
        <w:pStyle w:val="PolicybulletLevel3"/>
        <w:rPr>
          <w:szCs w:val="24"/>
        </w:rPr>
      </w:pPr>
      <w:r w:rsidRPr="00EB6E4F">
        <w:rPr>
          <w:szCs w:val="24"/>
        </w:rPr>
        <w:t xml:space="preserve">All staff that undertake PSIIs will have an identified coach from the </w:t>
      </w:r>
      <w:r w:rsidR="00AA210C" w:rsidRPr="00EB6E4F">
        <w:rPr>
          <w:szCs w:val="24"/>
        </w:rPr>
        <w:t>C</w:t>
      </w:r>
      <w:r w:rsidRPr="00EB6E4F">
        <w:rPr>
          <w:szCs w:val="24"/>
        </w:rPr>
        <w:t xml:space="preserve">orporate </w:t>
      </w:r>
      <w:r w:rsidR="00AA210C" w:rsidRPr="00EB6E4F">
        <w:rPr>
          <w:szCs w:val="24"/>
        </w:rPr>
        <w:t>P</w:t>
      </w:r>
      <w:r w:rsidRPr="00EB6E4F">
        <w:rPr>
          <w:szCs w:val="24"/>
        </w:rPr>
        <w:t xml:space="preserve">atient </w:t>
      </w:r>
      <w:r w:rsidR="00AA210C" w:rsidRPr="00EB6E4F">
        <w:rPr>
          <w:szCs w:val="24"/>
        </w:rPr>
        <w:t>S</w:t>
      </w:r>
      <w:r w:rsidRPr="00EB6E4F">
        <w:rPr>
          <w:szCs w:val="24"/>
        </w:rPr>
        <w:t xml:space="preserve">afety </w:t>
      </w:r>
      <w:r w:rsidR="00AA210C" w:rsidRPr="00EB6E4F">
        <w:rPr>
          <w:szCs w:val="24"/>
        </w:rPr>
        <w:t>T</w:t>
      </w:r>
      <w:r w:rsidRPr="00EB6E4F">
        <w:rPr>
          <w:szCs w:val="24"/>
        </w:rPr>
        <w:t>eam. The role of the coach is to support the</w:t>
      </w:r>
      <w:r w:rsidR="00747BCE" w:rsidRPr="00EB6E4F">
        <w:rPr>
          <w:szCs w:val="24"/>
        </w:rPr>
        <w:t xml:space="preserve"> </w:t>
      </w:r>
      <w:r w:rsidR="00345ACA" w:rsidRPr="00EB6E4F">
        <w:rPr>
          <w:szCs w:val="24"/>
        </w:rPr>
        <w:t>lead investigator</w:t>
      </w:r>
      <w:r w:rsidR="00574CF0" w:rsidRPr="00EB6E4F">
        <w:rPr>
          <w:szCs w:val="24"/>
        </w:rPr>
        <w:t>’</w:t>
      </w:r>
      <w:r w:rsidR="00345ACA" w:rsidRPr="00EB6E4F">
        <w:rPr>
          <w:szCs w:val="24"/>
        </w:rPr>
        <w:t>s development</w:t>
      </w:r>
      <w:r w:rsidRPr="00EB6E4F">
        <w:rPr>
          <w:szCs w:val="24"/>
        </w:rPr>
        <w:t xml:space="preserve"> and expertise in undertaking a high-level investigation. Although the</w:t>
      </w:r>
      <w:r w:rsidR="00747BCE" w:rsidRPr="00EB6E4F">
        <w:rPr>
          <w:szCs w:val="24"/>
        </w:rPr>
        <w:t xml:space="preserve"> </w:t>
      </w:r>
      <w:r w:rsidR="00345ACA" w:rsidRPr="00EB6E4F">
        <w:rPr>
          <w:szCs w:val="24"/>
        </w:rPr>
        <w:t>lead investigators</w:t>
      </w:r>
      <w:r w:rsidRPr="00EB6E4F">
        <w:rPr>
          <w:szCs w:val="24"/>
        </w:rPr>
        <w:t xml:space="preserve"> may have completed many serious incident investigations previously, the new approach is completely different to Root Cause Analysis</w:t>
      </w:r>
      <w:r w:rsidR="00CC4F18" w:rsidRPr="00EB6E4F">
        <w:rPr>
          <w:szCs w:val="24"/>
        </w:rPr>
        <w:t>,</w:t>
      </w:r>
      <w:r w:rsidRPr="00EB6E4F">
        <w:rPr>
          <w:szCs w:val="24"/>
        </w:rPr>
        <w:t xml:space="preserve"> as are the tools and templates. </w:t>
      </w:r>
    </w:p>
    <w:p w:rsidR="001C121D" w:rsidRPr="00EB6E4F" w:rsidRDefault="001C121D" w:rsidP="006F5BA6">
      <w:pPr>
        <w:pStyle w:val="PolicybulletLevel3"/>
        <w:rPr>
          <w:szCs w:val="24"/>
        </w:rPr>
      </w:pPr>
      <w:r w:rsidRPr="00EB6E4F">
        <w:rPr>
          <w:szCs w:val="24"/>
        </w:rPr>
        <w:t xml:space="preserve">The coach will provide intensive support initially and gradually withdraw as the investigator gains confidence. The coach will </w:t>
      </w:r>
      <w:r w:rsidR="00D0670A" w:rsidRPr="00EB6E4F">
        <w:rPr>
          <w:szCs w:val="24"/>
        </w:rPr>
        <w:t xml:space="preserve">confirm the investigator meets the Patient Safety Incident Response Standards training and competency requirements prior to </w:t>
      </w:r>
      <w:r w:rsidRPr="00EB6E4F">
        <w:rPr>
          <w:szCs w:val="24"/>
        </w:rPr>
        <w:t>undertak</w:t>
      </w:r>
      <w:r w:rsidR="00D0670A" w:rsidRPr="00EB6E4F">
        <w:rPr>
          <w:szCs w:val="24"/>
        </w:rPr>
        <w:t xml:space="preserve">ing </w:t>
      </w:r>
      <w:r w:rsidRPr="00EB6E4F">
        <w:rPr>
          <w:szCs w:val="24"/>
        </w:rPr>
        <w:t xml:space="preserve">an </w:t>
      </w:r>
      <w:r w:rsidRPr="00EB6E4F">
        <w:rPr>
          <w:szCs w:val="24"/>
        </w:rPr>
        <w:lastRenderedPageBreak/>
        <w:t>investigation on their own.</w:t>
      </w:r>
      <w:r w:rsidR="00D0670A" w:rsidRPr="00EB6E4F">
        <w:rPr>
          <w:szCs w:val="24"/>
        </w:rPr>
        <w:t xml:space="preserve"> C</w:t>
      </w:r>
      <w:r w:rsidRPr="00EB6E4F">
        <w:rPr>
          <w:szCs w:val="24"/>
        </w:rPr>
        <w:t>ompetency assessment tool</w:t>
      </w:r>
      <w:r w:rsidR="00D0670A" w:rsidRPr="00EB6E4F">
        <w:rPr>
          <w:szCs w:val="24"/>
        </w:rPr>
        <w:t xml:space="preserve">s </w:t>
      </w:r>
      <w:r w:rsidR="00AA210C" w:rsidRPr="00EB6E4F">
        <w:rPr>
          <w:szCs w:val="24"/>
        </w:rPr>
        <w:t>have been</w:t>
      </w:r>
      <w:r w:rsidRPr="00EB6E4F">
        <w:rPr>
          <w:szCs w:val="24"/>
        </w:rPr>
        <w:t xml:space="preserve"> developed</w:t>
      </w:r>
      <w:r w:rsidR="00D0670A" w:rsidRPr="00EB6E4F">
        <w:rPr>
          <w:szCs w:val="24"/>
        </w:rPr>
        <w:t xml:space="preserve"> based on the Patient Safety Incident Response Standards</w:t>
      </w:r>
      <w:r w:rsidRPr="00EB6E4F">
        <w:rPr>
          <w:szCs w:val="24"/>
        </w:rPr>
        <w:t xml:space="preserve">. </w:t>
      </w:r>
    </w:p>
    <w:p w:rsidR="001C121D" w:rsidRPr="00EB6E4F" w:rsidRDefault="001C121D" w:rsidP="006F5BA6">
      <w:pPr>
        <w:pStyle w:val="PolicybulletLevel3"/>
        <w:rPr>
          <w:szCs w:val="24"/>
        </w:rPr>
      </w:pPr>
      <w:r w:rsidRPr="00EB6E4F">
        <w:rPr>
          <w:szCs w:val="24"/>
        </w:rPr>
        <w:t>In addition to the coaching provided</w:t>
      </w:r>
      <w:r w:rsidR="00AA210C" w:rsidRPr="00EB6E4F">
        <w:rPr>
          <w:szCs w:val="24"/>
        </w:rPr>
        <w:t>,</w:t>
      </w:r>
      <w:r w:rsidRPr="00EB6E4F">
        <w:rPr>
          <w:szCs w:val="24"/>
        </w:rPr>
        <w:t xml:space="preserve"> the investigator will present the investigation to date, to a small audience, so that there can be gentle </w:t>
      </w:r>
      <w:r w:rsidR="00D0670A" w:rsidRPr="00EB6E4F">
        <w:rPr>
          <w:szCs w:val="24"/>
        </w:rPr>
        <w:t>constructive challenge</w:t>
      </w:r>
      <w:r w:rsidRPr="00EB6E4F">
        <w:rPr>
          <w:szCs w:val="24"/>
        </w:rPr>
        <w:t xml:space="preserve"> as a critical friend. This ensures that</w:t>
      </w:r>
      <w:r w:rsidR="00CC4F18" w:rsidRPr="00EB6E4F">
        <w:rPr>
          <w:szCs w:val="24"/>
        </w:rPr>
        <w:t xml:space="preserve"> the</w:t>
      </w:r>
      <w:r w:rsidRPr="00EB6E4F">
        <w:rPr>
          <w:szCs w:val="24"/>
        </w:rPr>
        <w:t xml:space="preserve"> investigation is robust and addresses the</w:t>
      </w:r>
      <w:r w:rsidR="00747BCE" w:rsidRPr="00EB6E4F">
        <w:rPr>
          <w:szCs w:val="24"/>
        </w:rPr>
        <w:t xml:space="preserve"> </w:t>
      </w:r>
      <w:r w:rsidR="00345ACA" w:rsidRPr="00EB6E4F">
        <w:rPr>
          <w:szCs w:val="24"/>
        </w:rPr>
        <w:t xml:space="preserve">investigation </w:t>
      </w:r>
      <w:r w:rsidRPr="00EB6E4F">
        <w:rPr>
          <w:szCs w:val="24"/>
        </w:rPr>
        <w:t xml:space="preserve">Terms of Reference. </w:t>
      </w:r>
    </w:p>
    <w:p w:rsidR="001C121D" w:rsidRPr="00EB6E4F" w:rsidRDefault="001C121D" w:rsidP="006F5BA6">
      <w:pPr>
        <w:pStyle w:val="PolicybulletLevel3"/>
        <w:rPr>
          <w:szCs w:val="24"/>
        </w:rPr>
      </w:pPr>
      <w:r w:rsidRPr="00EB6E4F">
        <w:rPr>
          <w:szCs w:val="24"/>
        </w:rPr>
        <w:t xml:space="preserve">These sessions are invaluable </w:t>
      </w:r>
      <w:r w:rsidR="00AA210C" w:rsidRPr="00EB6E4F">
        <w:rPr>
          <w:szCs w:val="24"/>
        </w:rPr>
        <w:t>to ensure</w:t>
      </w:r>
      <w:r w:rsidRPr="00EB6E4F">
        <w:rPr>
          <w:szCs w:val="24"/>
        </w:rPr>
        <w:t xml:space="preserve"> that all relevant investigation lines have been identified. With training and coaching </w:t>
      </w:r>
      <w:r w:rsidR="00345ACA" w:rsidRPr="00EB6E4F">
        <w:rPr>
          <w:szCs w:val="24"/>
        </w:rPr>
        <w:t>provision,</w:t>
      </w:r>
      <w:r w:rsidRPr="00EB6E4F">
        <w:rPr>
          <w:szCs w:val="24"/>
        </w:rPr>
        <w:t xml:space="preserve"> the Trust will develop a robust and expert investigation team over the first year. This knowledge and understanding </w:t>
      </w:r>
      <w:r w:rsidR="00345ACA" w:rsidRPr="00EB6E4F">
        <w:rPr>
          <w:szCs w:val="24"/>
        </w:rPr>
        <w:t>are</w:t>
      </w:r>
      <w:r w:rsidRPr="00EB6E4F">
        <w:rPr>
          <w:szCs w:val="24"/>
        </w:rPr>
        <w:t xml:space="preserve"> essential for leaders in patient safety as the skills and knowledge gained in this process can be used in all other aspects of safety.  </w:t>
      </w:r>
    </w:p>
    <w:p w:rsidR="00EB6E4F" w:rsidRPr="006F5BA6" w:rsidRDefault="001C121D" w:rsidP="00903F09">
      <w:pPr>
        <w:pStyle w:val="PolicybulletLevel3"/>
        <w:ind w:left="993" w:hanging="993"/>
        <w:rPr>
          <w:szCs w:val="24"/>
        </w:rPr>
      </w:pPr>
      <w:r w:rsidRPr="00EB6E4F">
        <w:rPr>
          <w:szCs w:val="24"/>
        </w:rPr>
        <w:t xml:space="preserve">Regular peer review sessions will also take place once the Trust has transitioned. This is to ensure consistency in approach with the lead investigators and the </w:t>
      </w:r>
      <w:r w:rsidR="00CC4F18" w:rsidRPr="00EB6E4F">
        <w:rPr>
          <w:szCs w:val="24"/>
        </w:rPr>
        <w:t>C</w:t>
      </w:r>
      <w:r w:rsidR="00D0670A" w:rsidRPr="00EB6E4F">
        <w:rPr>
          <w:szCs w:val="24"/>
        </w:rPr>
        <w:t xml:space="preserve">orporate </w:t>
      </w:r>
      <w:r w:rsidR="00CC4F18" w:rsidRPr="00EB6E4F">
        <w:rPr>
          <w:szCs w:val="24"/>
        </w:rPr>
        <w:t>P</w:t>
      </w:r>
      <w:r w:rsidR="00D0670A" w:rsidRPr="00EB6E4F">
        <w:rPr>
          <w:szCs w:val="24"/>
        </w:rPr>
        <w:t xml:space="preserve">atient </w:t>
      </w:r>
      <w:r w:rsidR="00CC4F18" w:rsidRPr="00EB6E4F">
        <w:rPr>
          <w:szCs w:val="24"/>
        </w:rPr>
        <w:t>S</w:t>
      </w:r>
      <w:r w:rsidR="00D0670A" w:rsidRPr="00EB6E4F">
        <w:rPr>
          <w:szCs w:val="24"/>
        </w:rPr>
        <w:t>afety</w:t>
      </w:r>
      <w:r w:rsidRPr="00EB6E4F">
        <w:rPr>
          <w:szCs w:val="24"/>
        </w:rPr>
        <w:t xml:space="preserve"> </w:t>
      </w:r>
      <w:r w:rsidR="00CC4F18" w:rsidRPr="00EB6E4F">
        <w:rPr>
          <w:szCs w:val="24"/>
        </w:rPr>
        <w:t>T</w:t>
      </w:r>
      <w:r w:rsidRPr="00EB6E4F">
        <w:rPr>
          <w:szCs w:val="24"/>
        </w:rPr>
        <w:t>eam.</w:t>
      </w:r>
    </w:p>
    <w:p w:rsidR="00D40D4E" w:rsidRPr="00EB6E4F" w:rsidRDefault="00D40D4E" w:rsidP="00CB0C5C">
      <w:pPr>
        <w:pStyle w:val="Policybulletlevel2"/>
        <w:spacing w:before="240" w:after="240"/>
        <w:rPr>
          <w:b/>
          <w:szCs w:val="24"/>
        </w:rPr>
      </w:pPr>
      <w:r w:rsidRPr="00EB6E4F">
        <w:rPr>
          <w:b/>
          <w:szCs w:val="24"/>
        </w:rPr>
        <w:t>Our Patient Safety Incident Response Plan</w:t>
      </w:r>
    </w:p>
    <w:p w:rsidR="00D40D4E" w:rsidRPr="00EB6E4F" w:rsidRDefault="00D40D4E" w:rsidP="00903F09">
      <w:pPr>
        <w:pStyle w:val="PolicybulletLevel3"/>
        <w:rPr>
          <w:szCs w:val="24"/>
        </w:rPr>
      </w:pPr>
      <w:r w:rsidRPr="00EB6E4F">
        <w:rPr>
          <w:szCs w:val="24"/>
        </w:rPr>
        <w:t xml:space="preserve">Our plan sets out how </w:t>
      </w:r>
      <w:r w:rsidR="00D0670A" w:rsidRPr="00EB6E4F">
        <w:rPr>
          <w:szCs w:val="24"/>
        </w:rPr>
        <w:t>the</w:t>
      </w:r>
      <w:r w:rsidRPr="00EB6E4F">
        <w:rPr>
          <w:szCs w:val="24"/>
        </w:rPr>
        <w:t xml:space="preserve"> Trust intends to respond to patient safety incidents over a period of 12 to 18 months. The plan is not a permanent set of rules that cannot be changed. We will remain flexible and consider the specific circumstances in which each patient safety incident occurred and the needs of those affected, as well as the plan.</w:t>
      </w:r>
      <w:r w:rsidR="007D4EAF" w:rsidRPr="00EB6E4F">
        <w:rPr>
          <w:szCs w:val="24"/>
        </w:rPr>
        <w:t xml:space="preserve"> We will review the Plan and Policy within the first 6 months owing to the level of change required and new approaches it is anticipated that we will need to adapt and amend some aspects. The review of both documents will include the</w:t>
      </w:r>
      <w:r w:rsidR="00FD2CE1" w:rsidRPr="00EB6E4F">
        <w:rPr>
          <w:szCs w:val="24"/>
        </w:rPr>
        <w:t xml:space="preserve"> Kent and Medway</w:t>
      </w:r>
      <w:r w:rsidR="007D4EAF" w:rsidRPr="00EB6E4F">
        <w:rPr>
          <w:szCs w:val="24"/>
        </w:rPr>
        <w:t xml:space="preserve"> </w:t>
      </w:r>
      <w:r w:rsidR="00FD2CE1" w:rsidRPr="00EB6E4F">
        <w:rPr>
          <w:szCs w:val="24"/>
        </w:rPr>
        <w:t>Integrated Care Board (ICB)</w:t>
      </w:r>
      <w:r w:rsidR="007D4EAF" w:rsidRPr="00EB6E4F">
        <w:rPr>
          <w:szCs w:val="24"/>
        </w:rPr>
        <w:t xml:space="preserve">. </w:t>
      </w:r>
    </w:p>
    <w:p w:rsidR="00D40D4E" w:rsidRPr="00EB6E4F" w:rsidRDefault="00D40D4E" w:rsidP="00CB0C5C">
      <w:pPr>
        <w:pStyle w:val="Policybulletlevel2"/>
        <w:spacing w:before="240" w:after="240"/>
        <w:rPr>
          <w:b/>
          <w:szCs w:val="24"/>
        </w:rPr>
      </w:pPr>
      <w:r w:rsidRPr="00EB6E4F">
        <w:rPr>
          <w:b/>
          <w:szCs w:val="24"/>
        </w:rPr>
        <w:t xml:space="preserve">Reviewing our Patient </w:t>
      </w:r>
      <w:r w:rsidR="000812D9" w:rsidRPr="00EB6E4F">
        <w:rPr>
          <w:b/>
          <w:szCs w:val="24"/>
        </w:rPr>
        <w:t>S</w:t>
      </w:r>
      <w:r w:rsidRPr="00EB6E4F">
        <w:rPr>
          <w:b/>
          <w:szCs w:val="24"/>
        </w:rPr>
        <w:t>afety Incident Response Policy and Plan</w:t>
      </w:r>
    </w:p>
    <w:p w:rsidR="00D40D4E" w:rsidRPr="00EB6E4F" w:rsidRDefault="00D40D4E" w:rsidP="00903F09">
      <w:pPr>
        <w:pStyle w:val="PolicybulletLevel3"/>
        <w:rPr>
          <w:szCs w:val="24"/>
        </w:rPr>
      </w:pPr>
      <w:r w:rsidRPr="00EB6E4F">
        <w:rPr>
          <w:szCs w:val="24"/>
        </w:rPr>
        <w:t xml:space="preserve">Our patient safety incident response plan is a ‘living document’ that will be appropriately amended and updated as we use it to respond to patient safety incidents. We will review the plan after the initial 6 months and </w:t>
      </w:r>
      <w:r w:rsidR="00100C9D" w:rsidRPr="00EB6E4F">
        <w:rPr>
          <w:szCs w:val="24"/>
        </w:rPr>
        <w:t>at</w:t>
      </w:r>
      <w:r w:rsidRPr="00EB6E4F">
        <w:rPr>
          <w:szCs w:val="24"/>
        </w:rPr>
        <w:t xml:space="preserve"> 12 months to ensure our focus remains up to date; with ongoing improvement work our patient safety incident profile is likely to change. This will also provide an opportunity to re-engage with stakeholders to discuss and agree any changes made in the previous 12 months. </w:t>
      </w:r>
      <w:r w:rsidR="00100C9D" w:rsidRPr="00EB6E4F">
        <w:rPr>
          <w:szCs w:val="24"/>
        </w:rPr>
        <w:t>Thereafter the policy will be reviewed annually.</w:t>
      </w:r>
    </w:p>
    <w:p w:rsidR="00D40D4E" w:rsidRPr="00EB6E4F" w:rsidRDefault="00490C1C" w:rsidP="00903F09">
      <w:pPr>
        <w:pStyle w:val="PolicybulletLevel3"/>
        <w:rPr>
          <w:szCs w:val="24"/>
        </w:rPr>
      </w:pPr>
      <w:r w:rsidRPr="00EB6E4F">
        <w:rPr>
          <w:szCs w:val="24"/>
        </w:rPr>
        <w:t>The updated plan</w:t>
      </w:r>
      <w:r w:rsidR="00D40D4E" w:rsidRPr="00EB6E4F">
        <w:rPr>
          <w:szCs w:val="24"/>
        </w:rPr>
        <w:t xml:space="preserve"> will be published on our website, replacing the previous version</w:t>
      </w:r>
      <w:r w:rsidR="00B956DF" w:rsidRPr="00EB6E4F">
        <w:rPr>
          <w:szCs w:val="24"/>
        </w:rPr>
        <w:t xml:space="preserve"> which will be archived</w:t>
      </w:r>
      <w:r w:rsidR="00D40D4E" w:rsidRPr="00EB6E4F">
        <w:rPr>
          <w:szCs w:val="24"/>
        </w:rPr>
        <w:t xml:space="preserve">.  </w:t>
      </w:r>
    </w:p>
    <w:p w:rsidR="00490C1C" w:rsidRPr="00903F09" w:rsidRDefault="00D40D4E" w:rsidP="00903F09">
      <w:pPr>
        <w:pStyle w:val="PolicybulletLevel3"/>
        <w:rPr>
          <w:szCs w:val="24"/>
        </w:rPr>
      </w:pPr>
      <w:r w:rsidRPr="00EB6E4F">
        <w:rPr>
          <w:szCs w:val="24"/>
        </w:rPr>
        <w:t xml:space="preserve">A rigorous planning exercise will be undertaken every four years and more frequently if appropriate (as agreed with </w:t>
      </w:r>
      <w:r w:rsidR="00490C1C" w:rsidRPr="00EB6E4F">
        <w:rPr>
          <w:szCs w:val="24"/>
        </w:rPr>
        <w:t xml:space="preserve">the </w:t>
      </w:r>
      <w:r w:rsidR="00FD2CE1" w:rsidRPr="00EB6E4F">
        <w:rPr>
          <w:szCs w:val="24"/>
        </w:rPr>
        <w:t>ICB</w:t>
      </w:r>
      <w:r w:rsidRPr="00EB6E4F">
        <w:rPr>
          <w:szCs w:val="24"/>
        </w:rPr>
        <w:t>) to ensure efforts continue to be balanced between learning and improvement. This more in-depth review will include reviewing our response capacity, mapping our services, a wide review of organisational data (for example, PSII reports, improvement plans, complaints, claims, staff survey results, inequalities data, and reporting data) and wider stakeholder engagement</w:t>
      </w:r>
      <w:r w:rsidR="00490C1C" w:rsidRPr="00EB6E4F">
        <w:rPr>
          <w:szCs w:val="24"/>
        </w:rPr>
        <w:t>.</w:t>
      </w:r>
    </w:p>
    <w:p w:rsidR="000E4465" w:rsidRDefault="00D40D4E" w:rsidP="00903F09">
      <w:pPr>
        <w:pStyle w:val="Policyheader"/>
      </w:pPr>
      <w:bookmarkStart w:id="16" w:name="_Toc166674438"/>
      <w:r w:rsidRPr="000E4465">
        <w:lastRenderedPageBreak/>
        <w:t>Responding to Patient Safety Incidents</w:t>
      </w:r>
      <w:bookmarkEnd w:id="16"/>
      <w:r w:rsidR="000E4465">
        <w:t xml:space="preserve"> </w:t>
      </w:r>
    </w:p>
    <w:p w:rsidR="00D40D4E" w:rsidRPr="006F5BA6" w:rsidRDefault="000E4465" w:rsidP="00CB0C5C">
      <w:pPr>
        <w:pStyle w:val="Policybulletlevel2"/>
        <w:spacing w:after="240"/>
        <w:rPr>
          <w:b/>
          <w:szCs w:val="24"/>
        </w:rPr>
      </w:pPr>
      <w:r w:rsidRPr="006F5BA6">
        <w:rPr>
          <w:b/>
          <w:szCs w:val="24"/>
        </w:rPr>
        <w:t>Patient Safety Incidents Reporting Arrangements</w:t>
      </w:r>
    </w:p>
    <w:p w:rsidR="00D40D4E" w:rsidRPr="006F5BA6" w:rsidRDefault="00D40D4E" w:rsidP="00903F09">
      <w:pPr>
        <w:pStyle w:val="PolicybulletLevel3"/>
        <w:rPr>
          <w:szCs w:val="24"/>
        </w:rPr>
      </w:pPr>
      <w:r w:rsidRPr="006F5BA6">
        <w:rPr>
          <w:szCs w:val="24"/>
        </w:rPr>
        <w:t>All incidents will be reported onto the</w:t>
      </w:r>
      <w:r w:rsidR="00A43279" w:rsidRPr="006F5BA6">
        <w:rPr>
          <w:szCs w:val="24"/>
        </w:rPr>
        <w:t xml:space="preserve"> Trust</w:t>
      </w:r>
      <w:r w:rsidRPr="006F5BA6">
        <w:rPr>
          <w:szCs w:val="24"/>
        </w:rPr>
        <w:t xml:space="preserve"> </w:t>
      </w:r>
      <w:r w:rsidR="00A43279" w:rsidRPr="006F5BA6">
        <w:rPr>
          <w:szCs w:val="24"/>
        </w:rPr>
        <w:t>I</w:t>
      </w:r>
      <w:r w:rsidRPr="006F5BA6">
        <w:rPr>
          <w:szCs w:val="24"/>
        </w:rPr>
        <w:t xml:space="preserve">ncident </w:t>
      </w:r>
      <w:r w:rsidR="00A43279" w:rsidRPr="006F5BA6">
        <w:rPr>
          <w:szCs w:val="24"/>
        </w:rPr>
        <w:t>M</w:t>
      </w:r>
      <w:r w:rsidRPr="006F5BA6">
        <w:rPr>
          <w:szCs w:val="24"/>
        </w:rPr>
        <w:t xml:space="preserve">anagement </w:t>
      </w:r>
      <w:r w:rsidR="00A43279" w:rsidRPr="006F5BA6">
        <w:rPr>
          <w:szCs w:val="24"/>
        </w:rPr>
        <w:t>S</w:t>
      </w:r>
      <w:r w:rsidRPr="006F5BA6">
        <w:rPr>
          <w:szCs w:val="24"/>
        </w:rPr>
        <w:t>ystem</w:t>
      </w:r>
      <w:r w:rsidR="00490C1C" w:rsidRPr="006F5BA6">
        <w:rPr>
          <w:szCs w:val="24"/>
        </w:rPr>
        <w:t>.  W</w:t>
      </w:r>
      <w:r w:rsidRPr="006F5BA6">
        <w:rPr>
          <w:szCs w:val="24"/>
        </w:rPr>
        <w:t xml:space="preserve">here there is a requirement to report externally this will be completed by the appropriate speciality with oversight from QGBP and the </w:t>
      </w:r>
      <w:r w:rsidR="00490C1C" w:rsidRPr="006F5BA6">
        <w:rPr>
          <w:szCs w:val="24"/>
        </w:rPr>
        <w:t>C</w:t>
      </w:r>
      <w:r w:rsidRPr="006F5BA6">
        <w:rPr>
          <w:szCs w:val="24"/>
        </w:rPr>
        <w:t xml:space="preserve">orporate </w:t>
      </w:r>
      <w:r w:rsidR="00490C1C" w:rsidRPr="006F5BA6">
        <w:rPr>
          <w:szCs w:val="24"/>
        </w:rPr>
        <w:t>P</w:t>
      </w:r>
      <w:r w:rsidRPr="006F5BA6">
        <w:rPr>
          <w:szCs w:val="24"/>
        </w:rPr>
        <w:t xml:space="preserve">atient </w:t>
      </w:r>
      <w:r w:rsidR="00490C1C" w:rsidRPr="006F5BA6">
        <w:rPr>
          <w:szCs w:val="24"/>
        </w:rPr>
        <w:t>S</w:t>
      </w:r>
      <w:r w:rsidRPr="006F5BA6">
        <w:rPr>
          <w:szCs w:val="24"/>
        </w:rPr>
        <w:t xml:space="preserve">afety </w:t>
      </w:r>
      <w:r w:rsidR="00490C1C" w:rsidRPr="006F5BA6">
        <w:rPr>
          <w:szCs w:val="24"/>
        </w:rPr>
        <w:t>T</w:t>
      </w:r>
      <w:r w:rsidRPr="006F5BA6">
        <w:rPr>
          <w:szCs w:val="24"/>
        </w:rPr>
        <w:t xml:space="preserve">eam. </w:t>
      </w:r>
    </w:p>
    <w:p w:rsidR="006E50AE" w:rsidRPr="006F5BA6" w:rsidRDefault="006E50AE" w:rsidP="00903F09">
      <w:pPr>
        <w:pStyle w:val="PolicybulletLevel3"/>
        <w:rPr>
          <w:szCs w:val="24"/>
        </w:rPr>
      </w:pPr>
      <w:r w:rsidRPr="006F5BA6">
        <w:rPr>
          <w:szCs w:val="24"/>
        </w:rPr>
        <w:t xml:space="preserve">The Trust Incident Management System was updated in February 2024, to include the Learn </w:t>
      </w:r>
      <w:r w:rsidR="00490C1C" w:rsidRPr="006F5BA6">
        <w:rPr>
          <w:szCs w:val="24"/>
        </w:rPr>
        <w:t>f</w:t>
      </w:r>
      <w:r w:rsidRPr="006F5BA6">
        <w:rPr>
          <w:szCs w:val="24"/>
        </w:rPr>
        <w:t xml:space="preserve">rom Patient Safety </w:t>
      </w:r>
      <w:r w:rsidR="00490C1C" w:rsidRPr="006F5BA6">
        <w:rPr>
          <w:szCs w:val="24"/>
        </w:rPr>
        <w:t>Events</w:t>
      </w:r>
      <w:r w:rsidRPr="006F5BA6">
        <w:rPr>
          <w:szCs w:val="24"/>
        </w:rPr>
        <w:t xml:space="preserve"> (LFPSE) fields that will be automatically uploaded to the LFPSE system. Where there are bounce back errors on specific incident fields, these are corrected on a daily basis to ensure accurate and timely upload of our incidents. </w:t>
      </w:r>
    </w:p>
    <w:p w:rsidR="00D40D4E" w:rsidRPr="006F5BA6" w:rsidRDefault="00B63A1D" w:rsidP="00903F09">
      <w:pPr>
        <w:pStyle w:val="PolicybulletLevel3"/>
        <w:rPr>
          <w:szCs w:val="24"/>
        </w:rPr>
      </w:pPr>
      <w:r w:rsidRPr="006F5BA6">
        <w:rPr>
          <w:szCs w:val="24"/>
        </w:rPr>
        <w:t>The</w:t>
      </w:r>
      <w:r w:rsidR="00D40D4E" w:rsidRPr="006F5BA6">
        <w:rPr>
          <w:szCs w:val="24"/>
        </w:rPr>
        <w:t xml:space="preserve"> Trust will</w:t>
      </w:r>
      <w:r w:rsidRPr="006F5BA6">
        <w:rPr>
          <w:szCs w:val="24"/>
        </w:rPr>
        <w:t xml:space="preserve">, in line with current practice, </w:t>
      </w:r>
      <w:r w:rsidR="00D40D4E" w:rsidRPr="006F5BA6">
        <w:rPr>
          <w:szCs w:val="24"/>
        </w:rPr>
        <w:t xml:space="preserve">continue to verbally report to both the ICB and the </w:t>
      </w:r>
      <w:r w:rsidR="00490C1C" w:rsidRPr="006F5BA6">
        <w:rPr>
          <w:szCs w:val="24"/>
        </w:rPr>
        <w:t>Care Quality Commission (</w:t>
      </w:r>
      <w:r w:rsidR="00D40D4E" w:rsidRPr="006F5BA6">
        <w:rPr>
          <w:szCs w:val="24"/>
        </w:rPr>
        <w:t>CQC</w:t>
      </w:r>
      <w:r w:rsidR="00490C1C" w:rsidRPr="006F5BA6">
        <w:rPr>
          <w:szCs w:val="24"/>
        </w:rPr>
        <w:t>)</w:t>
      </w:r>
      <w:r w:rsidR="00D40D4E" w:rsidRPr="006F5BA6">
        <w:rPr>
          <w:szCs w:val="24"/>
        </w:rPr>
        <w:t xml:space="preserve"> </w:t>
      </w:r>
      <w:r w:rsidRPr="006F5BA6">
        <w:rPr>
          <w:szCs w:val="24"/>
        </w:rPr>
        <w:t xml:space="preserve">incidents </w:t>
      </w:r>
      <w:r w:rsidR="00FD2CE1" w:rsidRPr="006F5BA6">
        <w:rPr>
          <w:szCs w:val="24"/>
        </w:rPr>
        <w:t>that the Trust, ICB and CQC have agreed require</w:t>
      </w:r>
      <w:r w:rsidRPr="006F5BA6">
        <w:rPr>
          <w:szCs w:val="24"/>
        </w:rPr>
        <w:t xml:space="preserve"> </w:t>
      </w:r>
      <w:r w:rsidR="00FD2CE1" w:rsidRPr="006F5BA6">
        <w:rPr>
          <w:szCs w:val="24"/>
        </w:rPr>
        <w:t>direct</w:t>
      </w:r>
      <w:r w:rsidRPr="006F5BA6">
        <w:rPr>
          <w:szCs w:val="24"/>
        </w:rPr>
        <w:t xml:space="preserve"> notification e.g. Never Events.</w:t>
      </w:r>
      <w:r w:rsidR="00D40D4E" w:rsidRPr="006F5BA6">
        <w:rPr>
          <w:szCs w:val="24"/>
        </w:rPr>
        <w:t xml:space="preserve"> This will be completed by the Director of Quality Governance or the Chief Nursing and Midwifery Officer. </w:t>
      </w:r>
    </w:p>
    <w:p w:rsidR="000E4465" w:rsidRPr="006F5BA6" w:rsidRDefault="00D40D4E" w:rsidP="00903F09">
      <w:pPr>
        <w:pStyle w:val="PolicybulletLevel3"/>
        <w:rPr>
          <w:szCs w:val="24"/>
        </w:rPr>
      </w:pPr>
      <w:r w:rsidRPr="006F5BA6">
        <w:rPr>
          <w:szCs w:val="24"/>
        </w:rPr>
        <w:t>Where there is a system issue identified</w:t>
      </w:r>
      <w:r w:rsidR="00CC4F18" w:rsidRPr="006F5BA6">
        <w:rPr>
          <w:szCs w:val="24"/>
        </w:rPr>
        <w:t xml:space="preserve">, </w:t>
      </w:r>
      <w:r w:rsidRPr="006F5BA6">
        <w:rPr>
          <w:szCs w:val="24"/>
        </w:rPr>
        <w:t>the ICB should be informed and the Trust would be required to</w:t>
      </w:r>
      <w:r w:rsidR="00B956DF" w:rsidRPr="006F5BA6">
        <w:rPr>
          <w:szCs w:val="24"/>
        </w:rPr>
        <w:t xml:space="preserve"> provide an appropriate and proportionate response.</w:t>
      </w:r>
    </w:p>
    <w:p w:rsidR="000E4465" w:rsidRPr="006F5BA6" w:rsidRDefault="000E4465" w:rsidP="00CB0C5C">
      <w:pPr>
        <w:pStyle w:val="Policybulletlevel2"/>
        <w:spacing w:before="240" w:after="240"/>
        <w:rPr>
          <w:b/>
          <w:szCs w:val="24"/>
        </w:rPr>
      </w:pPr>
      <w:r w:rsidRPr="006F5BA6">
        <w:rPr>
          <w:b/>
          <w:szCs w:val="24"/>
        </w:rPr>
        <w:t>Patient Safety Incident Response Decision-Making</w:t>
      </w:r>
    </w:p>
    <w:p w:rsidR="000E4465" w:rsidRPr="006F5BA6" w:rsidRDefault="000E4465" w:rsidP="00903F09">
      <w:pPr>
        <w:pStyle w:val="PolicybulletLevel3"/>
        <w:rPr>
          <w:szCs w:val="24"/>
        </w:rPr>
      </w:pPr>
      <w:r w:rsidRPr="006F5BA6">
        <w:rPr>
          <w:szCs w:val="24"/>
        </w:rPr>
        <w:t xml:space="preserve">One of the requirements of PSIRF is to ensure that we stop undertaking large </w:t>
      </w:r>
      <w:r w:rsidR="00490C1C" w:rsidRPr="006F5BA6">
        <w:rPr>
          <w:szCs w:val="24"/>
        </w:rPr>
        <w:t>numbers</w:t>
      </w:r>
      <w:r w:rsidRPr="006F5BA6">
        <w:rPr>
          <w:szCs w:val="24"/>
        </w:rPr>
        <w:t xml:space="preserve"> of investigations</w:t>
      </w:r>
      <w:r w:rsidR="00490C1C" w:rsidRPr="006F5BA6">
        <w:rPr>
          <w:szCs w:val="24"/>
        </w:rPr>
        <w:t>,</w:t>
      </w:r>
      <w:r w:rsidRPr="006F5BA6">
        <w:rPr>
          <w:szCs w:val="24"/>
        </w:rPr>
        <w:t xml:space="preserve"> when the contributory factors are known</w:t>
      </w:r>
      <w:r w:rsidR="00490C1C" w:rsidRPr="006F5BA6">
        <w:rPr>
          <w:szCs w:val="24"/>
        </w:rPr>
        <w:t>,</w:t>
      </w:r>
      <w:r w:rsidRPr="006F5BA6">
        <w:rPr>
          <w:szCs w:val="24"/>
        </w:rPr>
        <w:t xml:space="preserve"> and </w:t>
      </w:r>
      <w:r w:rsidR="00490C1C" w:rsidRPr="006F5BA6">
        <w:rPr>
          <w:szCs w:val="24"/>
        </w:rPr>
        <w:t xml:space="preserve">that we </w:t>
      </w:r>
      <w:r w:rsidRPr="006F5BA6">
        <w:rPr>
          <w:szCs w:val="24"/>
        </w:rPr>
        <w:t xml:space="preserve">focus on making the necessary improvements. It is recognised that for the Trust to move away from reporting 240 serious incidents last year, there will need to be a clearly defined and structured approach to incident response decision making, particularly in the first year of transition. </w:t>
      </w:r>
    </w:p>
    <w:p w:rsidR="00B816B1" w:rsidRPr="006F5BA6" w:rsidRDefault="000E4465" w:rsidP="00903F09">
      <w:pPr>
        <w:pStyle w:val="PolicybulletLevel3"/>
        <w:rPr>
          <w:szCs w:val="24"/>
        </w:rPr>
      </w:pPr>
      <w:r w:rsidRPr="006F5BA6">
        <w:rPr>
          <w:szCs w:val="24"/>
        </w:rPr>
        <w:t>The aim of the Trust</w:t>
      </w:r>
      <w:r w:rsidR="006E2B26" w:rsidRPr="006F5BA6">
        <w:rPr>
          <w:szCs w:val="24"/>
        </w:rPr>
        <w:t>’</w:t>
      </w:r>
      <w:r w:rsidRPr="006F5BA6">
        <w:rPr>
          <w:szCs w:val="24"/>
        </w:rPr>
        <w:t>s plan has been to provide as much guidance on the potential response, in relation to specific incident types and themes, which we hope will remove the need and desire to respond with an investigation. The Trust will transition to the Incident R</w:t>
      </w:r>
      <w:r w:rsidR="00800D7F" w:rsidRPr="006F5BA6">
        <w:rPr>
          <w:szCs w:val="24"/>
        </w:rPr>
        <w:t>eview</w:t>
      </w:r>
      <w:r w:rsidRPr="006F5BA6">
        <w:rPr>
          <w:szCs w:val="24"/>
        </w:rPr>
        <w:t xml:space="preserve"> Panel</w:t>
      </w:r>
      <w:r w:rsidR="00B816B1" w:rsidRPr="006F5BA6">
        <w:rPr>
          <w:szCs w:val="24"/>
        </w:rPr>
        <w:t xml:space="preserve"> (IRP),</w:t>
      </w:r>
      <w:r w:rsidRPr="006F5BA6">
        <w:rPr>
          <w:szCs w:val="24"/>
        </w:rPr>
        <w:t xml:space="preserve"> from the Serious Incident Declaration Panel</w:t>
      </w:r>
      <w:r w:rsidR="00B816B1" w:rsidRPr="006F5BA6">
        <w:rPr>
          <w:szCs w:val="24"/>
        </w:rPr>
        <w:t>,</w:t>
      </w:r>
      <w:r w:rsidRPr="006F5BA6">
        <w:rPr>
          <w:szCs w:val="24"/>
        </w:rPr>
        <w:t xml:space="preserve"> where all appropriate incidents will be discussed and responses agreed. There is an expectation that the incidents </w:t>
      </w:r>
      <w:r w:rsidR="00B816B1" w:rsidRPr="006F5BA6">
        <w:rPr>
          <w:szCs w:val="24"/>
        </w:rPr>
        <w:t>will be</w:t>
      </w:r>
      <w:r w:rsidRPr="006F5BA6">
        <w:rPr>
          <w:szCs w:val="24"/>
        </w:rPr>
        <w:t xml:space="preserve"> reviewed</w:t>
      </w:r>
      <w:r w:rsidR="00B816B1" w:rsidRPr="006F5BA6">
        <w:rPr>
          <w:szCs w:val="24"/>
        </w:rPr>
        <w:t>,</w:t>
      </w:r>
      <w:r w:rsidRPr="006F5BA6">
        <w:rPr>
          <w:szCs w:val="24"/>
        </w:rPr>
        <w:t xml:space="preserve"> </w:t>
      </w:r>
      <w:r w:rsidR="00B816B1" w:rsidRPr="006F5BA6">
        <w:rPr>
          <w:szCs w:val="24"/>
        </w:rPr>
        <w:t xml:space="preserve">by the local team supported by the </w:t>
      </w:r>
      <w:r w:rsidR="003F79D6" w:rsidRPr="006F5BA6">
        <w:rPr>
          <w:szCs w:val="24"/>
        </w:rPr>
        <w:t xml:space="preserve">Quality Governance Business Partners </w:t>
      </w:r>
      <w:r w:rsidR="00B816B1" w:rsidRPr="006F5BA6">
        <w:rPr>
          <w:szCs w:val="24"/>
        </w:rPr>
        <w:t xml:space="preserve">and Corporate Patient Safety Team, </w:t>
      </w:r>
      <w:r w:rsidRPr="006F5BA6">
        <w:rPr>
          <w:szCs w:val="24"/>
        </w:rPr>
        <w:t>and the appropriate response recommended to the Chair</w:t>
      </w:r>
      <w:r w:rsidR="00B816B1" w:rsidRPr="006F5BA6">
        <w:rPr>
          <w:szCs w:val="24"/>
        </w:rPr>
        <w:t>.</w:t>
      </w:r>
      <w:r w:rsidRPr="006F5BA6">
        <w:rPr>
          <w:szCs w:val="24"/>
        </w:rPr>
        <w:t xml:space="preserve"> This decision-making process is supported by a flow chart found in Appendix 2.</w:t>
      </w:r>
      <w:r w:rsidR="00B816B1" w:rsidRPr="006F5BA6">
        <w:rPr>
          <w:szCs w:val="24"/>
        </w:rPr>
        <w:t xml:space="preserve">  </w:t>
      </w:r>
      <w:bookmarkStart w:id="17" w:name="_Hlk166490419"/>
    </w:p>
    <w:p w:rsidR="00C96748" w:rsidRPr="006F5BA6" w:rsidRDefault="006E50AE" w:rsidP="00903F09">
      <w:pPr>
        <w:pStyle w:val="PolicybulletLevel3"/>
        <w:rPr>
          <w:szCs w:val="24"/>
        </w:rPr>
      </w:pPr>
      <w:r w:rsidRPr="006F5BA6">
        <w:rPr>
          <w:szCs w:val="24"/>
        </w:rPr>
        <w:t>Incidents required for review will be identified from the daily</w:t>
      </w:r>
      <w:r w:rsidR="00B816B1" w:rsidRPr="006F5BA6">
        <w:rPr>
          <w:szCs w:val="24"/>
        </w:rPr>
        <w:t xml:space="preserve"> review of incidents completed by the Corporate Quality Governance and Patient Safety teams </w:t>
      </w:r>
      <w:r w:rsidRPr="006F5BA6">
        <w:rPr>
          <w:szCs w:val="24"/>
        </w:rPr>
        <w:t xml:space="preserve">as well as the </w:t>
      </w:r>
      <w:r w:rsidR="00CE1A6D" w:rsidRPr="006F5BA6">
        <w:rPr>
          <w:szCs w:val="24"/>
        </w:rPr>
        <w:t>clinical</w:t>
      </w:r>
      <w:r w:rsidRPr="006F5BA6">
        <w:rPr>
          <w:szCs w:val="24"/>
        </w:rPr>
        <w:t xml:space="preserve"> staff in the Care Groups. The principles used to determine which cases are escalated for consideration at the IRP include, those incidents </w:t>
      </w:r>
      <w:r w:rsidR="005A0F79" w:rsidRPr="006F5BA6">
        <w:rPr>
          <w:szCs w:val="24"/>
        </w:rPr>
        <w:t>where</w:t>
      </w:r>
      <w:r w:rsidR="003F79D6" w:rsidRPr="006F5BA6">
        <w:rPr>
          <w:szCs w:val="24"/>
        </w:rPr>
        <w:t xml:space="preserve"> </w:t>
      </w:r>
      <w:r w:rsidRPr="006F5BA6">
        <w:rPr>
          <w:szCs w:val="24"/>
        </w:rPr>
        <w:t xml:space="preserve">there is a significant potential for </w:t>
      </w:r>
      <w:r w:rsidR="00C96748" w:rsidRPr="006F5BA6">
        <w:rPr>
          <w:szCs w:val="24"/>
        </w:rPr>
        <w:t>learning</w:t>
      </w:r>
      <w:r w:rsidRPr="006F5BA6">
        <w:rPr>
          <w:szCs w:val="24"/>
        </w:rPr>
        <w:t xml:space="preserve"> to be gained and therefore</w:t>
      </w:r>
      <w:r w:rsidR="00B816B1" w:rsidRPr="006F5BA6">
        <w:rPr>
          <w:szCs w:val="24"/>
        </w:rPr>
        <w:t xml:space="preserve"> the potential for</w:t>
      </w:r>
      <w:r w:rsidRPr="006F5BA6">
        <w:rPr>
          <w:szCs w:val="24"/>
        </w:rPr>
        <w:t xml:space="preserve"> safer care for </w:t>
      </w:r>
      <w:r w:rsidR="00C96748" w:rsidRPr="006F5BA6">
        <w:rPr>
          <w:szCs w:val="24"/>
        </w:rPr>
        <w:t xml:space="preserve">many </w:t>
      </w:r>
      <w:r w:rsidRPr="006F5BA6">
        <w:rPr>
          <w:szCs w:val="24"/>
        </w:rPr>
        <w:t xml:space="preserve">other patients. </w:t>
      </w:r>
      <w:r w:rsidR="009867AA" w:rsidRPr="006F5BA6">
        <w:rPr>
          <w:szCs w:val="24"/>
        </w:rPr>
        <w:t xml:space="preserve">Cases where there is significant risk or concern. </w:t>
      </w:r>
      <w:r w:rsidR="00C96748" w:rsidRPr="006F5BA6">
        <w:rPr>
          <w:szCs w:val="24"/>
        </w:rPr>
        <w:t xml:space="preserve">Cases that have not been identified for any other response stream. </w:t>
      </w:r>
      <w:r w:rsidR="005564D3" w:rsidRPr="006F5BA6">
        <w:rPr>
          <w:szCs w:val="24"/>
        </w:rPr>
        <w:t xml:space="preserve">Cases where there has been a near miss with the specific focus to identify why the outcome was </w:t>
      </w:r>
      <w:r w:rsidR="005564D3" w:rsidRPr="006F5BA6">
        <w:rPr>
          <w:szCs w:val="24"/>
        </w:rPr>
        <w:lastRenderedPageBreak/>
        <w:t xml:space="preserve">not affected. </w:t>
      </w:r>
      <w:r w:rsidR="00C96748" w:rsidRPr="006F5BA6">
        <w:rPr>
          <w:szCs w:val="24"/>
        </w:rPr>
        <w:t xml:space="preserve">Those cases where there appears to be significant psychological or physical harm as a result of the care provided. Whilst the Trust is moving away from using </w:t>
      </w:r>
      <w:r w:rsidR="00B816B1" w:rsidRPr="006F5BA6">
        <w:rPr>
          <w:szCs w:val="24"/>
        </w:rPr>
        <w:t>h</w:t>
      </w:r>
      <w:r w:rsidR="00C96748" w:rsidRPr="006F5BA6">
        <w:rPr>
          <w:szCs w:val="24"/>
        </w:rPr>
        <w:t>arm as a factor in the determination of the incident response method, the Trust</w:t>
      </w:r>
      <w:r w:rsidR="00B736DE" w:rsidRPr="006F5BA6">
        <w:rPr>
          <w:szCs w:val="24"/>
        </w:rPr>
        <w:t xml:space="preserve"> at this stage, </w:t>
      </w:r>
      <w:r w:rsidR="00B816B1" w:rsidRPr="006F5BA6">
        <w:rPr>
          <w:szCs w:val="24"/>
        </w:rPr>
        <w:t xml:space="preserve">will </w:t>
      </w:r>
      <w:r w:rsidR="00B736DE" w:rsidRPr="006F5BA6">
        <w:rPr>
          <w:szCs w:val="24"/>
        </w:rPr>
        <w:t xml:space="preserve">not </w:t>
      </w:r>
      <w:r w:rsidR="00C96748" w:rsidRPr="006F5BA6">
        <w:rPr>
          <w:szCs w:val="24"/>
        </w:rPr>
        <w:t>exclude its influence entirely. Therefore, although the main influencing</w:t>
      </w:r>
      <w:r w:rsidR="00B736DE" w:rsidRPr="006F5BA6">
        <w:rPr>
          <w:szCs w:val="24"/>
        </w:rPr>
        <w:t xml:space="preserve"> and guiding</w:t>
      </w:r>
      <w:r w:rsidR="00C96748" w:rsidRPr="006F5BA6">
        <w:rPr>
          <w:szCs w:val="24"/>
        </w:rPr>
        <w:t xml:space="preserve"> principle will be level</w:t>
      </w:r>
      <w:r w:rsidR="005564D3" w:rsidRPr="006F5BA6">
        <w:rPr>
          <w:szCs w:val="24"/>
        </w:rPr>
        <w:t>s</w:t>
      </w:r>
      <w:r w:rsidR="00C96748" w:rsidRPr="006F5BA6">
        <w:rPr>
          <w:szCs w:val="24"/>
        </w:rPr>
        <w:t xml:space="preserve"> of learning</w:t>
      </w:r>
      <w:r w:rsidR="00B736DE" w:rsidRPr="006F5BA6">
        <w:rPr>
          <w:szCs w:val="24"/>
        </w:rPr>
        <w:t>,</w:t>
      </w:r>
      <w:r w:rsidR="00C96748" w:rsidRPr="006F5BA6">
        <w:rPr>
          <w:szCs w:val="24"/>
        </w:rPr>
        <w:t xml:space="preserve"> the Trust will continue to take into consideration the level of both p</w:t>
      </w:r>
      <w:r w:rsidR="009867AA" w:rsidRPr="006F5BA6">
        <w:rPr>
          <w:szCs w:val="24"/>
        </w:rPr>
        <w:t xml:space="preserve">sychological </w:t>
      </w:r>
      <w:r w:rsidR="00C96748" w:rsidRPr="006F5BA6">
        <w:rPr>
          <w:szCs w:val="24"/>
        </w:rPr>
        <w:t>and physical harm caused</w:t>
      </w:r>
      <w:r w:rsidR="005564D3" w:rsidRPr="006F5BA6">
        <w:rPr>
          <w:szCs w:val="24"/>
        </w:rPr>
        <w:t xml:space="preserve"> in the identification of cases to be presented at the IRP. </w:t>
      </w:r>
      <w:bookmarkEnd w:id="17"/>
    </w:p>
    <w:p w:rsidR="00F57D0F" w:rsidRPr="006F5BA6" w:rsidRDefault="00F57D0F" w:rsidP="00903F09">
      <w:pPr>
        <w:pStyle w:val="PolicybulletLevel3"/>
        <w:rPr>
          <w:szCs w:val="24"/>
        </w:rPr>
      </w:pPr>
      <w:r w:rsidRPr="006F5BA6">
        <w:rPr>
          <w:szCs w:val="24"/>
        </w:rPr>
        <w:t>Safeguarding requires consideration throughout all patient safety events. Whilst there are some specific incidents that will follow the specialty nursing pathway for review, others may require safeguarding input or referrals. The Mental Capacity Act (MCA, 2005) also requires specific consideration throughout all patient safety events. An individual’s capacity to consent or ability to make an informed decision relating to care/treatment may influence their level of involvement in learning responses.  The role of both safeguarding and MCA will be reviewed by the Trust safeguarding team who attend the Trust IRP.</w:t>
      </w:r>
    </w:p>
    <w:p w:rsidR="00D91BA5" w:rsidRPr="006F5BA6" w:rsidRDefault="00D91BA5" w:rsidP="00903F09">
      <w:pPr>
        <w:pStyle w:val="PolicybulletLevel3"/>
        <w:rPr>
          <w:szCs w:val="24"/>
        </w:rPr>
      </w:pPr>
      <w:r w:rsidRPr="006F5BA6">
        <w:rPr>
          <w:szCs w:val="24"/>
        </w:rPr>
        <w:t xml:space="preserve">The Trust will undertake a quarterly review of all of patient safety, legal, complaints, clinical audit, mortality, PALS data as well as information from staff and patient engagement session to continue to identify learning. This work will also support the development of the new themes for the following year. </w:t>
      </w:r>
    </w:p>
    <w:p w:rsidR="000E4465" w:rsidRPr="006F5BA6" w:rsidRDefault="000E4465" w:rsidP="00CB0C5C">
      <w:pPr>
        <w:pStyle w:val="Policybulletlevel2"/>
        <w:spacing w:before="240" w:after="240"/>
        <w:rPr>
          <w:b/>
          <w:szCs w:val="24"/>
        </w:rPr>
      </w:pPr>
      <w:r w:rsidRPr="006F5BA6">
        <w:rPr>
          <w:b/>
          <w:szCs w:val="24"/>
        </w:rPr>
        <w:t xml:space="preserve">Four Key Themes </w:t>
      </w:r>
    </w:p>
    <w:p w:rsidR="000E4465" w:rsidRPr="006F5BA6" w:rsidRDefault="000E4465" w:rsidP="00903F09">
      <w:pPr>
        <w:pStyle w:val="PolicybulletLevel3"/>
        <w:rPr>
          <w:szCs w:val="24"/>
        </w:rPr>
      </w:pPr>
      <w:r w:rsidRPr="006F5BA6">
        <w:rPr>
          <w:szCs w:val="24"/>
        </w:rPr>
        <w:t xml:space="preserve">The Trust will identify four key themes each year that the </w:t>
      </w:r>
      <w:r w:rsidR="00B816B1" w:rsidRPr="006F5BA6">
        <w:rPr>
          <w:szCs w:val="24"/>
        </w:rPr>
        <w:t>C</w:t>
      </w:r>
      <w:r w:rsidRPr="006F5BA6">
        <w:rPr>
          <w:szCs w:val="24"/>
        </w:rPr>
        <w:t xml:space="preserve">orporate </w:t>
      </w:r>
      <w:r w:rsidR="00B816B1" w:rsidRPr="006F5BA6">
        <w:rPr>
          <w:szCs w:val="24"/>
        </w:rPr>
        <w:t>P</w:t>
      </w:r>
      <w:r w:rsidRPr="006F5BA6">
        <w:rPr>
          <w:szCs w:val="24"/>
        </w:rPr>
        <w:t xml:space="preserve">atient </w:t>
      </w:r>
      <w:r w:rsidR="00B816B1" w:rsidRPr="006F5BA6">
        <w:rPr>
          <w:szCs w:val="24"/>
        </w:rPr>
        <w:t>S</w:t>
      </w:r>
      <w:r w:rsidRPr="006F5BA6">
        <w:rPr>
          <w:szCs w:val="24"/>
        </w:rPr>
        <w:t xml:space="preserve">afety </w:t>
      </w:r>
      <w:r w:rsidR="00B816B1" w:rsidRPr="006F5BA6">
        <w:rPr>
          <w:szCs w:val="24"/>
        </w:rPr>
        <w:t>T</w:t>
      </w:r>
      <w:r w:rsidRPr="006F5BA6">
        <w:rPr>
          <w:szCs w:val="24"/>
        </w:rPr>
        <w:t>eam will focus on. As per the guidance, they will apply the systems methodology to</w:t>
      </w:r>
      <w:r w:rsidR="00B956DF" w:rsidRPr="006F5BA6">
        <w:rPr>
          <w:szCs w:val="24"/>
        </w:rPr>
        <w:t xml:space="preserve"> learning responses undertaken </w:t>
      </w:r>
      <w:r w:rsidRPr="006F5BA6">
        <w:rPr>
          <w:szCs w:val="24"/>
        </w:rPr>
        <w:t xml:space="preserve">and identify the contributory factors. These will then have an improvement plan developed and the focus of the work will then move away from the investigation to improvement work. It may be necessary to undertake </w:t>
      </w:r>
      <w:r w:rsidR="009E7F7E" w:rsidRPr="006F5BA6">
        <w:rPr>
          <w:szCs w:val="24"/>
        </w:rPr>
        <w:t xml:space="preserve">a number of </w:t>
      </w:r>
      <w:r w:rsidR="00B956DF" w:rsidRPr="006F5BA6">
        <w:rPr>
          <w:szCs w:val="24"/>
        </w:rPr>
        <w:t>learning responses</w:t>
      </w:r>
      <w:r w:rsidRPr="006F5BA6">
        <w:rPr>
          <w:szCs w:val="24"/>
        </w:rPr>
        <w:t xml:space="preserve"> to identify the main contributory factors for each theme. </w:t>
      </w:r>
      <w:r w:rsidR="000812D9" w:rsidRPr="006F5BA6">
        <w:rPr>
          <w:szCs w:val="24"/>
        </w:rPr>
        <w:t xml:space="preserve">Inequalities and Health Inequalities will be considered as part of each key theme, with contributory factors related to protected characteristics under the Equality Act 2010 and health inclusion being assessed. </w:t>
      </w:r>
    </w:p>
    <w:p w:rsidR="000E4465" w:rsidRPr="006F5BA6" w:rsidRDefault="000E4465" w:rsidP="00CB0C5C">
      <w:pPr>
        <w:pStyle w:val="Policybulletlevel2"/>
        <w:spacing w:before="240" w:after="240"/>
        <w:rPr>
          <w:szCs w:val="24"/>
        </w:rPr>
      </w:pPr>
      <w:r w:rsidRPr="006F5BA6">
        <w:rPr>
          <w:b/>
          <w:szCs w:val="24"/>
        </w:rPr>
        <w:t>Continuous Improvement Approach using the Safety Improvement Plans</w:t>
      </w:r>
    </w:p>
    <w:p w:rsidR="000E4465" w:rsidRPr="006F5BA6" w:rsidRDefault="000E4465" w:rsidP="00903F09">
      <w:pPr>
        <w:pStyle w:val="PolicybulletLevel3"/>
        <w:rPr>
          <w:szCs w:val="24"/>
        </w:rPr>
      </w:pPr>
      <w:r w:rsidRPr="006F5BA6">
        <w:rPr>
          <w:szCs w:val="24"/>
        </w:rPr>
        <w:t xml:space="preserve">As part of the PSIRF preparation and data review, the Trust identified large numbers of repeat incidents for seven areas that would benefit from the implementation of </w:t>
      </w:r>
      <w:r w:rsidR="00B816B1" w:rsidRPr="006F5BA6">
        <w:rPr>
          <w:szCs w:val="24"/>
        </w:rPr>
        <w:t>Trust Wide (saf</w:t>
      </w:r>
      <w:r w:rsidRPr="006F5BA6">
        <w:rPr>
          <w:szCs w:val="24"/>
        </w:rPr>
        <w:t>ety</w:t>
      </w:r>
      <w:r w:rsidR="00B816B1" w:rsidRPr="006F5BA6">
        <w:rPr>
          <w:szCs w:val="24"/>
        </w:rPr>
        <w:t>)</w:t>
      </w:r>
      <w:r w:rsidRPr="006F5BA6">
        <w:rPr>
          <w:szCs w:val="24"/>
        </w:rPr>
        <w:t xml:space="preserve"> Improvement Plans. </w:t>
      </w:r>
      <w:r w:rsidR="00B816B1" w:rsidRPr="006F5BA6">
        <w:rPr>
          <w:szCs w:val="24"/>
        </w:rPr>
        <w:t xml:space="preserve"> </w:t>
      </w:r>
      <w:r w:rsidRPr="006F5BA6">
        <w:rPr>
          <w:szCs w:val="24"/>
        </w:rPr>
        <w:t>Across these seven areas there is an opportunity to significantly increase the level of improvement over the coming year. Having identified the seven areas, once the contributory factors have been identified</w:t>
      </w:r>
      <w:r w:rsidR="00830792" w:rsidRPr="006F5BA6">
        <w:rPr>
          <w:szCs w:val="24"/>
        </w:rPr>
        <w:t>,</w:t>
      </w:r>
      <w:r w:rsidRPr="006F5BA6">
        <w:rPr>
          <w:szCs w:val="24"/>
        </w:rPr>
        <w:t xml:space="preserve"> with support from the Improvement team, a Trust</w:t>
      </w:r>
      <w:r w:rsidR="00AB2471" w:rsidRPr="006F5BA6">
        <w:rPr>
          <w:szCs w:val="24"/>
        </w:rPr>
        <w:t xml:space="preserve"> </w:t>
      </w:r>
      <w:r w:rsidR="003F79D6" w:rsidRPr="006F5BA6">
        <w:rPr>
          <w:szCs w:val="24"/>
        </w:rPr>
        <w:t>W</w:t>
      </w:r>
      <w:r w:rsidRPr="006F5BA6">
        <w:rPr>
          <w:szCs w:val="24"/>
        </w:rPr>
        <w:t xml:space="preserve">ide </w:t>
      </w:r>
      <w:r w:rsidR="003F79D6" w:rsidRPr="006F5BA6">
        <w:rPr>
          <w:szCs w:val="24"/>
        </w:rPr>
        <w:t>I</w:t>
      </w:r>
      <w:r w:rsidRPr="006F5BA6">
        <w:rPr>
          <w:szCs w:val="24"/>
        </w:rPr>
        <w:t xml:space="preserve">mprovement </w:t>
      </w:r>
      <w:r w:rsidR="003F79D6" w:rsidRPr="006F5BA6">
        <w:rPr>
          <w:szCs w:val="24"/>
        </w:rPr>
        <w:t>P</w:t>
      </w:r>
      <w:r w:rsidRPr="006F5BA6">
        <w:rPr>
          <w:szCs w:val="24"/>
        </w:rPr>
        <w:t xml:space="preserve">lan will be created. For each new case that occurs there will be a desk top review </w:t>
      </w:r>
      <w:r w:rsidR="00B956DF" w:rsidRPr="006F5BA6">
        <w:rPr>
          <w:szCs w:val="24"/>
        </w:rPr>
        <w:t xml:space="preserve">using the work system scan or horizon scanning approach </w:t>
      </w:r>
      <w:r w:rsidRPr="006F5BA6">
        <w:rPr>
          <w:szCs w:val="24"/>
        </w:rPr>
        <w:t>and providing there are no new issues identified, the incident will be closed, the review template saved on the system and the time that would have been spen</w:t>
      </w:r>
      <w:r w:rsidR="00B816B1" w:rsidRPr="006F5BA6">
        <w:rPr>
          <w:szCs w:val="24"/>
        </w:rPr>
        <w:t>t</w:t>
      </w:r>
      <w:r w:rsidRPr="006F5BA6">
        <w:rPr>
          <w:szCs w:val="24"/>
        </w:rPr>
        <w:t xml:space="preserve"> on the investigation will now be spent working on the improvements to be made.</w:t>
      </w:r>
    </w:p>
    <w:p w:rsidR="00830792" w:rsidRPr="006F5BA6" w:rsidRDefault="000E4465" w:rsidP="00903F09">
      <w:pPr>
        <w:pStyle w:val="PolicybulletLevel3"/>
        <w:rPr>
          <w:szCs w:val="24"/>
        </w:rPr>
      </w:pPr>
      <w:r w:rsidRPr="006F5BA6">
        <w:rPr>
          <w:szCs w:val="24"/>
        </w:rPr>
        <w:lastRenderedPageBreak/>
        <w:t xml:space="preserve">If there are areas that are new and not identified on the improvement plan, then the </w:t>
      </w:r>
      <w:r w:rsidR="00B816B1" w:rsidRPr="006F5BA6">
        <w:rPr>
          <w:szCs w:val="24"/>
        </w:rPr>
        <w:t>response</w:t>
      </w:r>
      <w:r w:rsidRPr="006F5BA6">
        <w:rPr>
          <w:szCs w:val="24"/>
        </w:rPr>
        <w:t xml:space="preserve"> would focus on only those issues and the improvement plan </w:t>
      </w:r>
      <w:r w:rsidR="00B816B1" w:rsidRPr="006F5BA6">
        <w:rPr>
          <w:szCs w:val="24"/>
        </w:rPr>
        <w:t xml:space="preserve">will </w:t>
      </w:r>
      <w:r w:rsidRPr="006F5BA6">
        <w:rPr>
          <w:szCs w:val="24"/>
        </w:rPr>
        <w:t xml:space="preserve">be updated with the contributory factors and associated improvements to be made. </w:t>
      </w:r>
    </w:p>
    <w:p w:rsidR="000E4465" w:rsidRPr="006F5BA6" w:rsidRDefault="000E4465" w:rsidP="00903F09">
      <w:pPr>
        <w:pStyle w:val="PolicybulletLevel3"/>
        <w:rPr>
          <w:szCs w:val="24"/>
        </w:rPr>
      </w:pPr>
      <w:r w:rsidRPr="006F5BA6">
        <w:rPr>
          <w:szCs w:val="24"/>
        </w:rPr>
        <w:t>The levels of improvement will be monitored and</w:t>
      </w:r>
      <w:r w:rsidR="00B816B1" w:rsidRPr="006F5BA6">
        <w:rPr>
          <w:szCs w:val="24"/>
        </w:rPr>
        <w:t>,</w:t>
      </w:r>
      <w:r w:rsidRPr="006F5BA6">
        <w:rPr>
          <w:szCs w:val="24"/>
        </w:rPr>
        <w:t xml:space="preserve"> for those areas that have met the targets</w:t>
      </w:r>
      <w:r w:rsidR="00B816B1" w:rsidRPr="006F5BA6">
        <w:rPr>
          <w:szCs w:val="24"/>
        </w:rPr>
        <w:t>,</w:t>
      </w:r>
      <w:r w:rsidRPr="006F5BA6">
        <w:rPr>
          <w:szCs w:val="24"/>
        </w:rPr>
        <w:t xml:space="preserve"> the plan would move to business as usual</w:t>
      </w:r>
      <w:r w:rsidR="00B816B1" w:rsidRPr="006F5BA6">
        <w:rPr>
          <w:szCs w:val="24"/>
        </w:rPr>
        <w:t xml:space="preserve">.  For </w:t>
      </w:r>
      <w:r w:rsidRPr="006F5BA6">
        <w:rPr>
          <w:szCs w:val="24"/>
        </w:rPr>
        <w:t>those that continue to require improvement</w:t>
      </w:r>
      <w:r w:rsidR="00E518AD" w:rsidRPr="006F5BA6">
        <w:rPr>
          <w:szCs w:val="24"/>
        </w:rPr>
        <w:t xml:space="preserve"> there</w:t>
      </w:r>
      <w:r w:rsidRPr="006F5BA6">
        <w:rPr>
          <w:szCs w:val="24"/>
        </w:rPr>
        <w:t xml:space="preserve"> will be </w:t>
      </w:r>
      <w:r w:rsidR="00E518AD" w:rsidRPr="006F5BA6">
        <w:rPr>
          <w:szCs w:val="24"/>
        </w:rPr>
        <w:t>consideration of whether these</w:t>
      </w:r>
      <w:r w:rsidRPr="006F5BA6">
        <w:rPr>
          <w:szCs w:val="24"/>
        </w:rPr>
        <w:t xml:space="preserve"> remain</w:t>
      </w:r>
      <w:r w:rsidR="00830792" w:rsidRPr="006F5BA6">
        <w:rPr>
          <w:szCs w:val="24"/>
        </w:rPr>
        <w:t xml:space="preserve"> as</w:t>
      </w:r>
      <w:r w:rsidRPr="006F5BA6">
        <w:rPr>
          <w:szCs w:val="24"/>
        </w:rPr>
        <w:t xml:space="preserve"> part of the PSIR Plan the following year. There will also be consideration for new themes that have arisen during the previous year to be included in this approach. All improvement plans</w:t>
      </w:r>
      <w:r w:rsidR="00E518AD" w:rsidRPr="006F5BA6">
        <w:rPr>
          <w:szCs w:val="24"/>
        </w:rPr>
        <w:t xml:space="preserve">, and progress against these, </w:t>
      </w:r>
      <w:r w:rsidRPr="006F5BA6">
        <w:rPr>
          <w:szCs w:val="24"/>
        </w:rPr>
        <w:t>will be shared with the ICB</w:t>
      </w:r>
      <w:r w:rsidR="00E518AD" w:rsidRPr="006F5BA6">
        <w:rPr>
          <w:szCs w:val="24"/>
        </w:rPr>
        <w:t>.</w:t>
      </w:r>
    </w:p>
    <w:p w:rsidR="00830792" w:rsidRPr="006F5BA6" w:rsidRDefault="00830792" w:rsidP="00903F09">
      <w:pPr>
        <w:pStyle w:val="PolicybulletLevel3"/>
        <w:rPr>
          <w:szCs w:val="24"/>
        </w:rPr>
      </w:pPr>
      <w:r w:rsidRPr="006F5BA6">
        <w:rPr>
          <w:szCs w:val="24"/>
        </w:rPr>
        <w:t xml:space="preserve">This approach will be closely monitored through the Fundamentals of Care </w:t>
      </w:r>
      <w:r w:rsidR="00E518AD" w:rsidRPr="006F5BA6">
        <w:rPr>
          <w:szCs w:val="24"/>
        </w:rPr>
        <w:t>and other relevant w</w:t>
      </w:r>
      <w:r w:rsidRPr="006F5BA6">
        <w:rPr>
          <w:szCs w:val="24"/>
        </w:rPr>
        <w:t xml:space="preserve">ork </w:t>
      </w:r>
      <w:r w:rsidR="00E518AD" w:rsidRPr="006F5BA6">
        <w:rPr>
          <w:szCs w:val="24"/>
        </w:rPr>
        <w:t>s</w:t>
      </w:r>
      <w:r w:rsidRPr="006F5BA6">
        <w:rPr>
          <w:szCs w:val="24"/>
        </w:rPr>
        <w:t>tream</w:t>
      </w:r>
      <w:r w:rsidR="00E518AD" w:rsidRPr="006F5BA6">
        <w:rPr>
          <w:szCs w:val="24"/>
        </w:rPr>
        <w:t>s</w:t>
      </w:r>
      <w:r w:rsidRPr="006F5BA6">
        <w:rPr>
          <w:szCs w:val="24"/>
        </w:rPr>
        <w:t xml:space="preserve"> monthly. </w:t>
      </w:r>
      <w:r w:rsidR="00E518AD" w:rsidRPr="006F5BA6">
        <w:rPr>
          <w:szCs w:val="24"/>
        </w:rPr>
        <w:t>Relevant meeting</w:t>
      </w:r>
      <w:r w:rsidRPr="006F5BA6">
        <w:rPr>
          <w:szCs w:val="24"/>
        </w:rPr>
        <w:t xml:space="preserve"> agenda</w:t>
      </w:r>
      <w:r w:rsidR="00E518AD" w:rsidRPr="006F5BA6">
        <w:rPr>
          <w:szCs w:val="24"/>
        </w:rPr>
        <w:t>s</w:t>
      </w:r>
      <w:r w:rsidRPr="006F5BA6">
        <w:rPr>
          <w:szCs w:val="24"/>
        </w:rPr>
        <w:t xml:space="preserve"> and papers will be shared with the ICB and at key points in the year, with prior agreement with the ICB, they will be invited to attend to observe </w:t>
      </w:r>
      <w:r w:rsidR="00E518AD" w:rsidRPr="006F5BA6">
        <w:rPr>
          <w:szCs w:val="24"/>
        </w:rPr>
        <w:t>relevant</w:t>
      </w:r>
      <w:r w:rsidRPr="006F5BA6">
        <w:rPr>
          <w:szCs w:val="24"/>
        </w:rPr>
        <w:t xml:space="preserve"> meeting</w:t>
      </w:r>
      <w:r w:rsidR="00E518AD" w:rsidRPr="006F5BA6">
        <w:rPr>
          <w:szCs w:val="24"/>
        </w:rPr>
        <w:t>s</w:t>
      </w:r>
      <w:r w:rsidRPr="006F5BA6">
        <w:rPr>
          <w:szCs w:val="24"/>
        </w:rPr>
        <w:t xml:space="preserve">. </w:t>
      </w:r>
    </w:p>
    <w:p w:rsidR="000E4465" w:rsidRPr="006F5BA6" w:rsidRDefault="000E4465" w:rsidP="00CB0C5C">
      <w:pPr>
        <w:pStyle w:val="Policybulletlevel2"/>
        <w:spacing w:before="240" w:after="240"/>
        <w:rPr>
          <w:b/>
          <w:szCs w:val="24"/>
        </w:rPr>
      </w:pPr>
      <w:r w:rsidRPr="006F5BA6">
        <w:rPr>
          <w:b/>
          <w:szCs w:val="24"/>
        </w:rPr>
        <w:t xml:space="preserve">Individual specialty </w:t>
      </w:r>
      <w:r w:rsidR="00B956DF" w:rsidRPr="006F5BA6">
        <w:rPr>
          <w:b/>
          <w:szCs w:val="24"/>
        </w:rPr>
        <w:t xml:space="preserve">learning </w:t>
      </w:r>
      <w:r w:rsidRPr="006F5BA6">
        <w:rPr>
          <w:b/>
          <w:szCs w:val="24"/>
        </w:rPr>
        <w:t xml:space="preserve">response table </w:t>
      </w:r>
    </w:p>
    <w:p w:rsidR="00EA630D" w:rsidRPr="006F5BA6" w:rsidRDefault="000E4465" w:rsidP="00903F09">
      <w:pPr>
        <w:pStyle w:val="PolicybulletLevel3"/>
        <w:rPr>
          <w:szCs w:val="24"/>
        </w:rPr>
      </w:pPr>
      <w:r w:rsidRPr="006F5BA6">
        <w:rPr>
          <w:szCs w:val="24"/>
        </w:rPr>
        <w:t>There are two areas across the Trust this year 2024/2025, that we are in the process of creating a table</w:t>
      </w:r>
      <w:r w:rsidR="00B956DF" w:rsidRPr="006F5BA6">
        <w:rPr>
          <w:szCs w:val="24"/>
        </w:rPr>
        <w:t xml:space="preserve"> of appropriate and proportionate learning </w:t>
      </w:r>
      <w:r w:rsidRPr="006F5BA6">
        <w:rPr>
          <w:szCs w:val="24"/>
        </w:rPr>
        <w:t>responses</w:t>
      </w:r>
      <w:r w:rsidR="00E518AD" w:rsidRPr="006F5BA6">
        <w:rPr>
          <w:szCs w:val="24"/>
        </w:rPr>
        <w:t>:</w:t>
      </w:r>
      <w:r w:rsidRPr="006F5BA6">
        <w:rPr>
          <w:szCs w:val="24"/>
        </w:rPr>
        <w:t xml:space="preserve"> Maternity Services and Infection Prevention and Control. These will be added to the plan when they have been completed. Each year the Trust will review each of these response plans and update them accordingly. There will also be consideration for the development of new response table</w:t>
      </w:r>
      <w:r w:rsidR="00187066" w:rsidRPr="006F5BA6">
        <w:rPr>
          <w:szCs w:val="24"/>
        </w:rPr>
        <w:t>s</w:t>
      </w:r>
      <w:r w:rsidRPr="006F5BA6">
        <w:rPr>
          <w:szCs w:val="24"/>
        </w:rPr>
        <w:t xml:space="preserve"> for other specialties </w:t>
      </w:r>
      <w:r w:rsidR="00B956DF" w:rsidRPr="006F5BA6">
        <w:rPr>
          <w:szCs w:val="24"/>
        </w:rPr>
        <w:t>with</w:t>
      </w:r>
      <w:r w:rsidRPr="006F5BA6">
        <w:rPr>
          <w:szCs w:val="24"/>
        </w:rPr>
        <w:t xml:space="preserve"> high reporting rates.</w:t>
      </w:r>
    </w:p>
    <w:p w:rsidR="000E4465" w:rsidRPr="006F5BA6" w:rsidRDefault="00DB5FBC" w:rsidP="00CB0C5C">
      <w:pPr>
        <w:pStyle w:val="Policybulletlevel2"/>
        <w:spacing w:before="240" w:after="240"/>
        <w:rPr>
          <w:b/>
          <w:szCs w:val="24"/>
        </w:rPr>
      </w:pPr>
      <w:bookmarkStart w:id="18" w:name="_Hlk163131465"/>
      <w:r w:rsidRPr="006F5BA6">
        <w:rPr>
          <w:b/>
          <w:szCs w:val="24"/>
        </w:rPr>
        <w:t>Responding to Cross-System Incidents/Issues</w:t>
      </w:r>
    </w:p>
    <w:bookmarkEnd w:id="18"/>
    <w:p w:rsidR="00DB5FBC" w:rsidRPr="006F5BA6" w:rsidRDefault="00DB5FBC" w:rsidP="00903F09">
      <w:pPr>
        <w:pStyle w:val="PolicybulletLevel3"/>
        <w:rPr>
          <w:szCs w:val="24"/>
        </w:rPr>
      </w:pPr>
      <w:r w:rsidRPr="006F5BA6">
        <w:rPr>
          <w:szCs w:val="24"/>
        </w:rPr>
        <w:t xml:space="preserve">Should the Trust be involved in a patient safety incident which has been identified by a system partner or the agency, the Trust will ensure that this is also recorded on the local </w:t>
      </w:r>
      <w:r w:rsidR="00A43279" w:rsidRPr="006F5BA6">
        <w:rPr>
          <w:szCs w:val="24"/>
        </w:rPr>
        <w:t>I</w:t>
      </w:r>
      <w:r w:rsidRPr="006F5BA6">
        <w:rPr>
          <w:szCs w:val="24"/>
        </w:rPr>
        <w:t xml:space="preserve">ncident </w:t>
      </w:r>
      <w:r w:rsidR="00A43279" w:rsidRPr="006F5BA6">
        <w:rPr>
          <w:szCs w:val="24"/>
        </w:rPr>
        <w:t>M</w:t>
      </w:r>
      <w:r w:rsidRPr="006F5BA6">
        <w:rPr>
          <w:szCs w:val="24"/>
        </w:rPr>
        <w:t xml:space="preserve">anagement </w:t>
      </w:r>
      <w:r w:rsidR="00A43279" w:rsidRPr="006F5BA6">
        <w:rPr>
          <w:szCs w:val="24"/>
        </w:rPr>
        <w:t>S</w:t>
      </w:r>
      <w:r w:rsidRPr="006F5BA6">
        <w:rPr>
          <w:szCs w:val="24"/>
        </w:rPr>
        <w:t xml:space="preserve">ystem indicating clearly the lead organisation for the investigation. The Trust will contribute to the response which is led by the partner organisation and ensure that recommendations for the Trust are clearly defined and communicated across the organisation. </w:t>
      </w:r>
    </w:p>
    <w:p w:rsidR="00DB5FBC" w:rsidRPr="006F5BA6" w:rsidRDefault="00AB2471" w:rsidP="00903F09">
      <w:pPr>
        <w:pStyle w:val="PolicybulletLevel3"/>
        <w:rPr>
          <w:szCs w:val="24"/>
        </w:rPr>
      </w:pPr>
      <w:r w:rsidRPr="006F5BA6">
        <w:rPr>
          <w:szCs w:val="24"/>
        </w:rPr>
        <w:t>Similarly,</w:t>
      </w:r>
      <w:r w:rsidR="00DB5FBC" w:rsidRPr="006F5BA6">
        <w:rPr>
          <w:szCs w:val="24"/>
        </w:rPr>
        <w:t xml:space="preserve"> should the Trust become aware of an incident that involves a system partner the Patient Safety </w:t>
      </w:r>
      <w:r w:rsidR="00B956DF" w:rsidRPr="006F5BA6">
        <w:rPr>
          <w:szCs w:val="24"/>
        </w:rPr>
        <w:t>team</w:t>
      </w:r>
      <w:r w:rsidR="00DB5FBC" w:rsidRPr="006F5BA6">
        <w:rPr>
          <w:szCs w:val="24"/>
        </w:rPr>
        <w:t xml:space="preserve">, in the partner organisation, would be contacted via their generic email and asked for their collaboration with the learning response. Many of these relationships have been forged over several years and are known to the Trust. Should there be a significant incident, one which either affects many patients or is a very </w:t>
      </w:r>
      <w:r w:rsidR="00B956DF" w:rsidRPr="006F5BA6">
        <w:rPr>
          <w:szCs w:val="24"/>
        </w:rPr>
        <w:t>concerning</w:t>
      </w:r>
      <w:r w:rsidR="00DB5FBC" w:rsidRPr="006F5BA6">
        <w:rPr>
          <w:szCs w:val="24"/>
        </w:rPr>
        <w:t xml:space="preserve"> nature, the ICB </w:t>
      </w:r>
      <w:r w:rsidR="00E518AD" w:rsidRPr="006F5BA6">
        <w:rPr>
          <w:szCs w:val="24"/>
        </w:rPr>
        <w:t>and CQC will</w:t>
      </w:r>
      <w:r w:rsidR="00DB5FBC" w:rsidRPr="006F5BA6">
        <w:rPr>
          <w:szCs w:val="24"/>
        </w:rPr>
        <w:t xml:space="preserve"> be notified</w:t>
      </w:r>
      <w:r w:rsidR="00E518AD" w:rsidRPr="006F5BA6">
        <w:rPr>
          <w:szCs w:val="24"/>
        </w:rPr>
        <w:t>.</w:t>
      </w:r>
    </w:p>
    <w:p w:rsidR="00A86FD3" w:rsidRPr="006F5BA6" w:rsidRDefault="00A86FD3" w:rsidP="00903F09">
      <w:pPr>
        <w:pStyle w:val="PolicybulletLevel3"/>
        <w:rPr>
          <w:szCs w:val="24"/>
        </w:rPr>
      </w:pPr>
      <w:r w:rsidRPr="006F5BA6">
        <w:rPr>
          <w:szCs w:val="24"/>
        </w:rPr>
        <w:t>Should information need to be shared with other providers within the learning response, information governance standards must be met. Please see more details within the Information Governance Policy</w:t>
      </w:r>
      <w:r w:rsidR="003F79D6" w:rsidRPr="006F5BA6">
        <w:rPr>
          <w:szCs w:val="24"/>
        </w:rPr>
        <w:t xml:space="preserve">.  Staff can access this via the </w:t>
      </w:r>
      <w:r w:rsidR="003F79D6" w:rsidRPr="007C5413">
        <w:rPr>
          <w:szCs w:val="24"/>
        </w:rPr>
        <w:t>Policy Centre</w:t>
      </w:r>
      <w:r w:rsidR="003F79D6" w:rsidRPr="006F5BA6">
        <w:rPr>
          <w:szCs w:val="24"/>
        </w:rPr>
        <w:t xml:space="preserve"> and the public can request this by contacting the </w:t>
      </w:r>
      <w:hyperlink r:id="rId12" w:history="1">
        <w:r w:rsidR="003F79D6" w:rsidRPr="006F5BA6">
          <w:rPr>
            <w:rStyle w:val="Hyperlink"/>
            <w:szCs w:val="24"/>
          </w:rPr>
          <w:t>Freedom of Information Team</w:t>
        </w:r>
      </w:hyperlink>
      <w:r w:rsidR="003F79D6" w:rsidRPr="006F5BA6">
        <w:rPr>
          <w:szCs w:val="24"/>
        </w:rPr>
        <w:t>.</w:t>
      </w:r>
      <w:r w:rsidRPr="006F5BA6">
        <w:rPr>
          <w:szCs w:val="24"/>
        </w:rPr>
        <w:t xml:space="preserve"> </w:t>
      </w:r>
    </w:p>
    <w:p w:rsidR="007C5413" w:rsidRDefault="007C5413">
      <w:pPr>
        <w:spacing w:after="0" w:line="240" w:lineRule="auto"/>
        <w:rPr>
          <w:b/>
          <w:szCs w:val="24"/>
        </w:rPr>
      </w:pPr>
      <w:r>
        <w:rPr>
          <w:b/>
          <w:szCs w:val="24"/>
        </w:rPr>
        <w:br w:type="page"/>
      </w:r>
    </w:p>
    <w:p w:rsidR="00DB5FBC" w:rsidRPr="006F5BA6" w:rsidRDefault="00DB5FBC" w:rsidP="00CB0C5C">
      <w:pPr>
        <w:pStyle w:val="Policybulletlevel2"/>
        <w:spacing w:before="240" w:after="240"/>
        <w:rPr>
          <w:b/>
          <w:szCs w:val="24"/>
        </w:rPr>
      </w:pPr>
      <w:r w:rsidRPr="006F5BA6">
        <w:rPr>
          <w:b/>
          <w:szCs w:val="24"/>
        </w:rPr>
        <w:lastRenderedPageBreak/>
        <w:t>Timeframes for Learning Responses</w:t>
      </w:r>
    </w:p>
    <w:p w:rsidR="00DB5FBC" w:rsidRPr="006F5BA6" w:rsidRDefault="00DB5FBC" w:rsidP="00903F09">
      <w:pPr>
        <w:pStyle w:val="PolicybulletLevel3"/>
        <w:rPr>
          <w:szCs w:val="24"/>
        </w:rPr>
      </w:pPr>
      <w:r w:rsidRPr="006F5BA6">
        <w:rPr>
          <w:szCs w:val="24"/>
        </w:rPr>
        <w:t>The response timescales will start on the day the incident has been reported.</w:t>
      </w:r>
    </w:p>
    <w:p w:rsidR="00DB5FBC" w:rsidRPr="006F5BA6" w:rsidRDefault="00DB5FBC" w:rsidP="00903F09">
      <w:pPr>
        <w:pStyle w:val="PolicybulletLevel3"/>
        <w:rPr>
          <w:szCs w:val="24"/>
        </w:rPr>
      </w:pPr>
      <w:r w:rsidRPr="006F5BA6">
        <w:rPr>
          <w:szCs w:val="24"/>
        </w:rPr>
        <w:t xml:space="preserve">These timescales are not rigid and will be determined in collaboration with the patient, family and staff. </w:t>
      </w:r>
    </w:p>
    <w:p w:rsidR="00DB5FBC" w:rsidRPr="006F5BA6" w:rsidRDefault="00DB5FBC" w:rsidP="00903F09">
      <w:pPr>
        <w:pStyle w:val="PolicybulletLevel3"/>
        <w:rPr>
          <w:szCs w:val="24"/>
        </w:rPr>
      </w:pPr>
      <w:r w:rsidRPr="006F5BA6">
        <w:rPr>
          <w:szCs w:val="24"/>
        </w:rPr>
        <w:t>Proposed timescales will be discussed and agreed at the Incident R</w:t>
      </w:r>
      <w:r w:rsidR="00800D7F" w:rsidRPr="006F5BA6">
        <w:rPr>
          <w:szCs w:val="24"/>
        </w:rPr>
        <w:t>eview</w:t>
      </w:r>
      <w:r w:rsidRPr="006F5BA6">
        <w:rPr>
          <w:szCs w:val="24"/>
        </w:rPr>
        <w:t xml:space="preserve"> Panel (IRP) should the incident be reviewed at this meeting. </w:t>
      </w:r>
    </w:p>
    <w:p w:rsidR="00DB5FBC" w:rsidRPr="006F5BA6" w:rsidRDefault="00DB5FBC" w:rsidP="00903F09">
      <w:pPr>
        <w:pStyle w:val="PolicybulletLevel3"/>
        <w:rPr>
          <w:szCs w:val="24"/>
        </w:rPr>
      </w:pPr>
      <w:r w:rsidRPr="006F5BA6">
        <w:rPr>
          <w:szCs w:val="24"/>
        </w:rPr>
        <w:t xml:space="preserve">Guidance and support can be obtained by the Care Groups from the QGBP in relation to timescales. </w:t>
      </w:r>
    </w:p>
    <w:p w:rsidR="00DB5FBC" w:rsidRPr="006F5BA6" w:rsidRDefault="00DB5FBC" w:rsidP="00903F09">
      <w:pPr>
        <w:pStyle w:val="PolicybulletLevel3"/>
        <w:rPr>
          <w:szCs w:val="24"/>
        </w:rPr>
      </w:pPr>
      <w:r w:rsidRPr="006F5BA6">
        <w:rPr>
          <w:szCs w:val="24"/>
        </w:rPr>
        <w:t>Consideration also needs to be given to the staff who may also be affected by the incident. It can be stressful for staff as well as patients</w:t>
      </w:r>
      <w:r w:rsidR="000812D9" w:rsidRPr="006F5BA6">
        <w:rPr>
          <w:szCs w:val="24"/>
        </w:rPr>
        <w:t xml:space="preserve"> and families</w:t>
      </w:r>
      <w:r w:rsidRPr="006F5BA6">
        <w:rPr>
          <w:szCs w:val="24"/>
        </w:rPr>
        <w:t xml:space="preserve"> when investigations are prolonged. </w:t>
      </w:r>
    </w:p>
    <w:p w:rsidR="00DB5FBC" w:rsidRPr="006F5BA6" w:rsidRDefault="00DB5FBC" w:rsidP="00903F09">
      <w:pPr>
        <w:pStyle w:val="PolicybulletLevel3"/>
        <w:rPr>
          <w:szCs w:val="24"/>
        </w:rPr>
      </w:pPr>
      <w:r w:rsidRPr="006F5BA6">
        <w:rPr>
          <w:szCs w:val="24"/>
        </w:rPr>
        <w:t xml:space="preserve">The time needed to conduct the response must be balanced between the impact of long timescales on those affected and the risk that the opportunity for optimum learning and improvement may diminish. </w:t>
      </w:r>
    </w:p>
    <w:p w:rsidR="00DB5FBC" w:rsidRPr="006F5BA6" w:rsidRDefault="00DB5FBC" w:rsidP="00903F09">
      <w:pPr>
        <w:pStyle w:val="PolicybulletLevel3"/>
        <w:rPr>
          <w:szCs w:val="24"/>
        </w:rPr>
      </w:pPr>
      <w:r w:rsidRPr="006F5BA6">
        <w:rPr>
          <w:szCs w:val="24"/>
        </w:rPr>
        <w:t>Where there is delay because of external organisations providing information within a reasonable timescale, the Trust will complete the investigation with the information they have.</w:t>
      </w:r>
      <w:r w:rsidR="00F22F79" w:rsidRPr="006F5BA6">
        <w:rPr>
          <w:szCs w:val="24"/>
        </w:rPr>
        <w:t xml:space="preserve">  Other than outlined in the table below, </w:t>
      </w:r>
      <w:r w:rsidR="00F22F79" w:rsidRPr="006F5BA6">
        <w:rPr>
          <w:rFonts w:cstheme="minorHAnsi"/>
          <w:szCs w:val="24"/>
        </w:rPr>
        <w:t>all other responses for significant incidents will be agreed at the time depending on the communication with the patient and/or family.</w:t>
      </w:r>
    </w:p>
    <w:p w:rsidR="00B956DF" w:rsidRPr="006F5BA6" w:rsidRDefault="00B956DF" w:rsidP="00CB0C5C">
      <w:pPr>
        <w:pStyle w:val="PolicybulletLevel3"/>
        <w:numPr>
          <w:ilvl w:val="0"/>
          <w:numId w:val="0"/>
        </w:numPr>
        <w:spacing w:before="240" w:after="100" w:afterAutospacing="1"/>
        <w:rPr>
          <w:b/>
          <w:szCs w:val="24"/>
        </w:rPr>
      </w:pPr>
      <w:r w:rsidRPr="006F5BA6">
        <w:rPr>
          <w:b/>
          <w:szCs w:val="24"/>
        </w:rPr>
        <w:t>Table 3. Learning response selected with approximate timescales as guidance</w:t>
      </w:r>
    </w:p>
    <w:tbl>
      <w:tblPr>
        <w:tblStyle w:val="TableGrid2"/>
        <w:tblW w:w="9356" w:type="dxa"/>
        <w:tblInd w:w="137" w:type="dxa"/>
        <w:tblLook w:val="04A0" w:firstRow="1" w:lastRow="0" w:firstColumn="1" w:lastColumn="0" w:noHBand="0" w:noVBand="1"/>
      </w:tblPr>
      <w:tblGrid>
        <w:gridCol w:w="3828"/>
        <w:gridCol w:w="5528"/>
      </w:tblGrid>
      <w:tr w:rsidR="00B956DF" w:rsidRPr="006F5BA6" w:rsidTr="00903F09">
        <w:tc>
          <w:tcPr>
            <w:tcW w:w="3828" w:type="dxa"/>
          </w:tcPr>
          <w:p w:rsidR="00B956DF" w:rsidRPr="006F5BA6" w:rsidRDefault="00B956DF" w:rsidP="00B956DF">
            <w:pPr>
              <w:rPr>
                <w:rFonts w:cstheme="minorHAnsi"/>
                <w:b/>
                <w:bCs/>
                <w:szCs w:val="24"/>
              </w:rPr>
            </w:pPr>
            <w:r w:rsidRPr="006F5BA6">
              <w:rPr>
                <w:rFonts w:cstheme="minorHAnsi"/>
                <w:b/>
                <w:bCs/>
                <w:szCs w:val="24"/>
              </w:rPr>
              <w:t xml:space="preserve">Learning Response </w:t>
            </w:r>
          </w:p>
        </w:tc>
        <w:tc>
          <w:tcPr>
            <w:tcW w:w="5528" w:type="dxa"/>
          </w:tcPr>
          <w:p w:rsidR="00B956DF" w:rsidRPr="006F5BA6" w:rsidRDefault="00B956DF" w:rsidP="00B956DF">
            <w:pPr>
              <w:rPr>
                <w:rFonts w:cstheme="minorHAnsi"/>
                <w:b/>
                <w:bCs/>
                <w:szCs w:val="24"/>
              </w:rPr>
            </w:pPr>
            <w:r w:rsidRPr="006F5BA6">
              <w:rPr>
                <w:rFonts w:cstheme="minorHAnsi"/>
                <w:b/>
                <w:bCs/>
                <w:szCs w:val="24"/>
              </w:rPr>
              <w:t>Timescales</w:t>
            </w:r>
          </w:p>
        </w:tc>
      </w:tr>
      <w:tr w:rsidR="00B956DF" w:rsidRPr="006F5BA6" w:rsidTr="00903F09">
        <w:tc>
          <w:tcPr>
            <w:tcW w:w="3828" w:type="dxa"/>
          </w:tcPr>
          <w:p w:rsidR="00B956DF" w:rsidRPr="006F5BA6" w:rsidRDefault="00B956DF" w:rsidP="00B956DF">
            <w:pPr>
              <w:rPr>
                <w:rFonts w:cstheme="minorHAnsi"/>
                <w:szCs w:val="24"/>
              </w:rPr>
            </w:pPr>
            <w:r w:rsidRPr="006F5BA6">
              <w:rPr>
                <w:rFonts w:cstheme="minorHAnsi"/>
                <w:szCs w:val="24"/>
              </w:rPr>
              <w:t>PSII</w:t>
            </w:r>
          </w:p>
        </w:tc>
        <w:tc>
          <w:tcPr>
            <w:tcW w:w="5528" w:type="dxa"/>
          </w:tcPr>
          <w:p w:rsidR="00B956DF" w:rsidRPr="006F5BA6" w:rsidRDefault="00076834" w:rsidP="00B956DF">
            <w:pPr>
              <w:rPr>
                <w:rFonts w:cstheme="minorHAnsi"/>
                <w:szCs w:val="24"/>
              </w:rPr>
            </w:pPr>
            <w:r w:rsidRPr="006F5BA6">
              <w:rPr>
                <w:rFonts w:cstheme="minorHAnsi"/>
                <w:szCs w:val="24"/>
              </w:rPr>
              <w:t>3-6 months</w:t>
            </w:r>
            <w:r w:rsidR="00D64000" w:rsidRPr="006F5BA6">
              <w:rPr>
                <w:rFonts w:cstheme="minorHAnsi"/>
                <w:szCs w:val="24"/>
              </w:rPr>
              <w:t xml:space="preserve"> (</w:t>
            </w:r>
            <w:r w:rsidR="00E518AD" w:rsidRPr="006F5BA6">
              <w:rPr>
                <w:rFonts w:cstheme="minorHAnsi"/>
                <w:szCs w:val="24"/>
              </w:rPr>
              <w:t>a</w:t>
            </w:r>
            <w:r w:rsidR="00D64000" w:rsidRPr="006F5BA6">
              <w:rPr>
                <w:rFonts w:cstheme="minorHAnsi"/>
                <w:szCs w:val="24"/>
              </w:rPr>
              <w:t>s per NHSE guidance)</w:t>
            </w:r>
          </w:p>
        </w:tc>
      </w:tr>
      <w:tr w:rsidR="00B956DF" w:rsidRPr="006F5BA6" w:rsidTr="00903F09">
        <w:tc>
          <w:tcPr>
            <w:tcW w:w="3828" w:type="dxa"/>
          </w:tcPr>
          <w:p w:rsidR="00B956DF" w:rsidRPr="006F5BA6" w:rsidRDefault="00B956DF" w:rsidP="00B956DF">
            <w:pPr>
              <w:rPr>
                <w:rFonts w:cstheme="minorHAnsi"/>
                <w:szCs w:val="24"/>
              </w:rPr>
            </w:pPr>
            <w:r w:rsidRPr="006F5BA6">
              <w:rPr>
                <w:rFonts w:cstheme="minorHAnsi"/>
                <w:szCs w:val="24"/>
              </w:rPr>
              <w:t xml:space="preserve">After Action Review </w:t>
            </w:r>
          </w:p>
        </w:tc>
        <w:tc>
          <w:tcPr>
            <w:tcW w:w="5528" w:type="dxa"/>
          </w:tcPr>
          <w:p w:rsidR="00B956DF" w:rsidRPr="006F5BA6" w:rsidRDefault="00B956DF" w:rsidP="00B956DF">
            <w:pPr>
              <w:rPr>
                <w:rFonts w:cstheme="minorHAnsi"/>
                <w:szCs w:val="24"/>
              </w:rPr>
            </w:pPr>
            <w:r w:rsidRPr="006F5BA6">
              <w:rPr>
                <w:rFonts w:cstheme="minorHAnsi"/>
                <w:szCs w:val="24"/>
              </w:rPr>
              <w:t>1–5 weeks</w:t>
            </w:r>
          </w:p>
        </w:tc>
      </w:tr>
      <w:tr w:rsidR="00B956DF" w:rsidRPr="006F5BA6" w:rsidTr="00903F09">
        <w:tc>
          <w:tcPr>
            <w:tcW w:w="3828" w:type="dxa"/>
          </w:tcPr>
          <w:p w:rsidR="00B956DF" w:rsidRPr="006F5BA6" w:rsidRDefault="00B956DF" w:rsidP="00B956DF">
            <w:pPr>
              <w:rPr>
                <w:rFonts w:cstheme="minorHAnsi"/>
                <w:szCs w:val="24"/>
              </w:rPr>
            </w:pPr>
            <w:r w:rsidRPr="006F5BA6">
              <w:rPr>
                <w:rFonts w:cstheme="minorHAnsi"/>
                <w:szCs w:val="24"/>
              </w:rPr>
              <w:t xml:space="preserve">Multidisciplinary Team </w:t>
            </w:r>
            <w:r w:rsidR="00E518AD" w:rsidRPr="006F5BA6">
              <w:rPr>
                <w:rFonts w:cstheme="minorHAnsi"/>
                <w:szCs w:val="24"/>
              </w:rPr>
              <w:t>Review</w:t>
            </w:r>
          </w:p>
        </w:tc>
        <w:tc>
          <w:tcPr>
            <w:tcW w:w="5528" w:type="dxa"/>
          </w:tcPr>
          <w:p w:rsidR="00B956DF" w:rsidRPr="006F5BA6" w:rsidRDefault="00E518AD" w:rsidP="00B956DF">
            <w:pPr>
              <w:rPr>
                <w:rFonts w:cstheme="minorHAnsi"/>
                <w:szCs w:val="24"/>
              </w:rPr>
            </w:pPr>
            <w:r w:rsidRPr="006F5BA6">
              <w:rPr>
                <w:rFonts w:cstheme="minorHAnsi"/>
                <w:szCs w:val="24"/>
              </w:rPr>
              <w:t>8</w:t>
            </w:r>
            <w:r w:rsidR="00B956DF" w:rsidRPr="006F5BA6">
              <w:rPr>
                <w:rFonts w:cstheme="minorHAnsi"/>
                <w:szCs w:val="24"/>
              </w:rPr>
              <w:t xml:space="preserve"> weeks</w:t>
            </w:r>
          </w:p>
        </w:tc>
      </w:tr>
      <w:tr w:rsidR="00B956DF" w:rsidRPr="006F5BA6" w:rsidTr="00903F09">
        <w:tc>
          <w:tcPr>
            <w:tcW w:w="3828" w:type="dxa"/>
          </w:tcPr>
          <w:p w:rsidR="00B956DF" w:rsidRPr="006F5BA6" w:rsidRDefault="00B956DF" w:rsidP="00B956DF">
            <w:pPr>
              <w:rPr>
                <w:rFonts w:cstheme="minorHAnsi"/>
                <w:szCs w:val="24"/>
              </w:rPr>
            </w:pPr>
            <w:r w:rsidRPr="006F5BA6">
              <w:rPr>
                <w:rFonts w:cstheme="minorHAnsi"/>
                <w:szCs w:val="24"/>
              </w:rPr>
              <w:t xml:space="preserve">SWARM </w:t>
            </w:r>
          </w:p>
        </w:tc>
        <w:tc>
          <w:tcPr>
            <w:tcW w:w="5528" w:type="dxa"/>
          </w:tcPr>
          <w:p w:rsidR="00B956DF" w:rsidRPr="006F5BA6" w:rsidRDefault="00E518AD" w:rsidP="00B956DF">
            <w:pPr>
              <w:rPr>
                <w:rFonts w:cstheme="minorHAnsi"/>
                <w:szCs w:val="24"/>
              </w:rPr>
            </w:pPr>
            <w:r w:rsidRPr="006F5BA6">
              <w:rPr>
                <w:rFonts w:cstheme="minorHAnsi"/>
                <w:szCs w:val="24"/>
              </w:rPr>
              <w:t>2 weeks</w:t>
            </w:r>
            <w:r w:rsidR="00B956DF" w:rsidRPr="006F5BA6">
              <w:rPr>
                <w:rFonts w:cstheme="minorHAnsi"/>
                <w:szCs w:val="24"/>
              </w:rPr>
              <w:t xml:space="preserve"> </w:t>
            </w:r>
          </w:p>
        </w:tc>
      </w:tr>
    </w:tbl>
    <w:p w:rsidR="00DB5FBC" w:rsidRPr="006F5BA6" w:rsidRDefault="00DB5FBC" w:rsidP="00CB0C5C">
      <w:pPr>
        <w:pStyle w:val="Policybulletlevel2"/>
        <w:keepNext/>
        <w:spacing w:before="240" w:after="240"/>
        <w:rPr>
          <w:b/>
          <w:szCs w:val="24"/>
        </w:rPr>
      </w:pPr>
      <w:r w:rsidRPr="006F5BA6">
        <w:rPr>
          <w:b/>
          <w:szCs w:val="24"/>
        </w:rPr>
        <w:t>Safety Action Development and Monitoring Improvement</w:t>
      </w:r>
    </w:p>
    <w:p w:rsidR="00DB5FBC" w:rsidRPr="006F5BA6" w:rsidRDefault="00DB5FBC" w:rsidP="00903F09">
      <w:pPr>
        <w:pStyle w:val="PolicybulletLevel3"/>
        <w:rPr>
          <w:szCs w:val="24"/>
        </w:rPr>
      </w:pPr>
      <w:r w:rsidRPr="006F5BA6">
        <w:rPr>
          <w:szCs w:val="24"/>
        </w:rPr>
        <w:t xml:space="preserve">Safety actions will be monitored using the electronic </w:t>
      </w:r>
      <w:r w:rsidR="00A43279" w:rsidRPr="006F5BA6">
        <w:rPr>
          <w:szCs w:val="24"/>
        </w:rPr>
        <w:t>I</w:t>
      </w:r>
      <w:r w:rsidRPr="006F5BA6">
        <w:rPr>
          <w:szCs w:val="24"/>
        </w:rPr>
        <w:t xml:space="preserve">ncident </w:t>
      </w:r>
      <w:r w:rsidR="00A43279" w:rsidRPr="006F5BA6">
        <w:rPr>
          <w:szCs w:val="24"/>
        </w:rPr>
        <w:t>M</w:t>
      </w:r>
      <w:r w:rsidRPr="006F5BA6">
        <w:rPr>
          <w:szCs w:val="24"/>
        </w:rPr>
        <w:t xml:space="preserve">anagement </w:t>
      </w:r>
      <w:r w:rsidR="00A43279" w:rsidRPr="006F5BA6">
        <w:rPr>
          <w:szCs w:val="24"/>
        </w:rPr>
        <w:t>S</w:t>
      </w:r>
      <w:r w:rsidRPr="006F5BA6">
        <w:rPr>
          <w:szCs w:val="24"/>
        </w:rPr>
        <w:t xml:space="preserve">ystem </w:t>
      </w:r>
      <w:r w:rsidR="00A43279" w:rsidRPr="006F5BA6">
        <w:rPr>
          <w:szCs w:val="24"/>
        </w:rPr>
        <w:t>A</w:t>
      </w:r>
      <w:r w:rsidRPr="006F5BA6">
        <w:rPr>
          <w:szCs w:val="24"/>
        </w:rPr>
        <w:t xml:space="preserve">ctions module. All actions will be entered onto the system which will allow monitoring of those that are due and those that have been completed. This data will be reported monthly as part of the Quality Governance Report to the </w:t>
      </w:r>
      <w:r w:rsidR="00B956DF" w:rsidRPr="006F5BA6">
        <w:rPr>
          <w:szCs w:val="24"/>
        </w:rPr>
        <w:t>Clinical</w:t>
      </w:r>
      <w:r w:rsidRPr="006F5BA6">
        <w:rPr>
          <w:szCs w:val="24"/>
        </w:rPr>
        <w:t xml:space="preserve"> Executive Management Group (CEMG) and the Quality and Safety Committee. </w:t>
      </w:r>
    </w:p>
    <w:p w:rsidR="00DB5FBC" w:rsidRPr="006F5BA6" w:rsidRDefault="00DB5FBC" w:rsidP="00903F09">
      <w:pPr>
        <w:pStyle w:val="PolicybulletLevel3"/>
        <w:rPr>
          <w:szCs w:val="24"/>
        </w:rPr>
      </w:pPr>
      <w:r w:rsidRPr="006F5BA6">
        <w:rPr>
          <w:szCs w:val="24"/>
        </w:rPr>
        <w:t xml:space="preserve">For PSIIs the </w:t>
      </w:r>
      <w:r w:rsidR="00372A83" w:rsidRPr="006F5BA6">
        <w:rPr>
          <w:szCs w:val="24"/>
        </w:rPr>
        <w:t>C</w:t>
      </w:r>
      <w:r w:rsidRPr="006F5BA6">
        <w:rPr>
          <w:szCs w:val="24"/>
        </w:rPr>
        <w:t xml:space="preserve">orporate </w:t>
      </w:r>
      <w:r w:rsidR="00372A83" w:rsidRPr="006F5BA6">
        <w:rPr>
          <w:szCs w:val="24"/>
        </w:rPr>
        <w:t>P</w:t>
      </w:r>
      <w:r w:rsidRPr="006F5BA6">
        <w:rPr>
          <w:szCs w:val="24"/>
        </w:rPr>
        <w:t xml:space="preserve">atient </w:t>
      </w:r>
      <w:r w:rsidR="00372A83" w:rsidRPr="006F5BA6">
        <w:rPr>
          <w:szCs w:val="24"/>
        </w:rPr>
        <w:t>S</w:t>
      </w:r>
      <w:r w:rsidRPr="006F5BA6">
        <w:rPr>
          <w:szCs w:val="24"/>
        </w:rPr>
        <w:t xml:space="preserve">afety </w:t>
      </w:r>
      <w:r w:rsidR="00372A83" w:rsidRPr="006F5BA6">
        <w:rPr>
          <w:szCs w:val="24"/>
        </w:rPr>
        <w:t>T</w:t>
      </w:r>
      <w:r w:rsidRPr="006F5BA6">
        <w:rPr>
          <w:szCs w:val="24"/>
        </w:rPr>
        <w:t xml:space="preserve">eam will take the lead and support the QGBP in the development of local actions in collaboration with the relevant local teams. The QGBP will be responsible for monitoring the completion of actions for their care group. </w:t>
      </w:r>
    </w:p>
    <w:p w:rsidR="00DB5FBC" w:rsidRPr="006F5BA6" w:rsidRDefault="00DB5FBC" w:rsidP="00903F09">
      <w:pPr>
        <w:pStyle w:val="PolicybulletLevel3"/>
        <w:rPr>
          <w:szCs w:val="24"/>
        </w:rPr>
      </w:pPr>
      <w:r w:rsidRPr="006F5BA6">
        <w:rPr>
          <w:szCs w:val="24"/>
        </w:rPr>
        <w:lastRenderedPageBreak/>
        <w:t>The</w:t>
      </w:r>
      <w:r w:rsidR="00372A83" w:rsidRPr="006F5BA6">
        <w:rPr>
          <w:szCs w:val="24"/>
        </w:rPr>
        <w:t xml:space="preserve"> Corporate P</w:t>
      </w:r>
      <w:r w:rsidRPr="006F5BA6">
        <w:rPr>
          <w:szCs w:val="24"/>
        </w:rPr>
        <w:t xml:space="preserve">atient </w:t>
      </w:r>
      <w:r w:rsidR="00372A83" w:rsidRPr="006F5BA6">
        <w:rPr>
          <w:szCs w:val="24"/>
        </w:rPr>
        <w:t>S</w:t>
      </w:r>
      <w:r w:rsidRPr="006F5BA6">
        <w:rPr>
          <w:szCs w:val="24"/>
        </w:rPr>
        <w:t xml:space="preserve">afety </w:t>
      </w:r>
      <w:r w:rsidR="00372A83" w:rsidRPr="006F5BA6">
        <w:rPr>
          <w:szCs w:val="24"/>
        </w:rPr>
        <w:t>T</w:t>
      </w:r>
      <w:r w:rsidRPr="006F5BA6">
        <w:rPr>
          <w:szCs w:val="24"/>
        </w:rPr>
        <w:t xml:space="preserve">eam will </w:t>
      </w:r>
      <w:r w:rsidR="00372A83" w:rsidRPr="006F5BA6">
        <w:rPr>
          <w:szCs w:val="24"/>
        </w:rPr>
        <w:t>work with</w:t>
      </w:r>
      <w:r w:rsidRPr="006F5BA6">
        <w:rPr>
          <w:szCs w:val="24"/>
        </w:rPr>
        <w:t xml:space="preserve"> the </w:t>
      </w:r>
      <w:r w:rsidR="00372A83" w:rsidRPr="006F5BA6">
        <w:rPr>
          <w:szCs w:val="24"/>
        </w:rPr>
        <w:t>Q</w:t>
      </w:r>
      <w:r w:rsidRPr="006F5BA6">
        <w:rPr>
          <w:szCs w:val="24"/>
        </w:rPr>
        <w:t xml:space="preserve">uality </w:t>
      </w:r>
      <w:r w:rsidR="00372A83" w:rsidRPr="006F5BA6">
        <w:rPr>
          <w:szCs w:val="24"/>
        </w:rPr>
        <w:t>I</w:t>
      </w:r>
      <w:r w:rsidRPr="006F5BA6">
        <w:rPr>
          <w:szCs w:val="24"/>
        </w:rPr>
        <w:t xml:space="preserve">mprovement </w:t>
      </w:r>
      <w:r w:rsidR="00372A83" w:rsidRPr="006F5BA6">
        <w:rPr>
          <w:szCs w:val="24"/>
        </w:rPr>
        <w:t>T</w:t>
      </w:r>
      <w:r w:rsidRPr="006F5BA6">
        <w:rPr>
          <w:szCs w:val="24"/>
        </w:rPr>
        <w:t xml:space="preserve">eam in relation to improvement work. There will now be a unified register of all improvement plans that will sit with the </w:t>
      </w:r>
      <w:r w:rsidR="00372A83" w:rsidRPr="006F5BA6">
        <w:rPr>
          <w:szCs w:val="24"/>
        </w:rPr>
        <w:t>Quality I</w:t>
      </w:r>
      <w:r w:rsidRPr="006F5BA6">
        <w:rPr>
          <w:szCs w:val="24"/>
        </w:rPr>
        <w:t xml:space="preserve">mprovement </w:t>
      </w:r>
      <w:r w:rsidR="00372A83" w:rsidRPr="006F5BA6">
        <w:rPr>
          <w:szCs w:val="24"/>
        </w:rPr>
        <w:t>T</w:t>
      </w:r>
      <w:r w:rsidRPr="006F5BA6">
        <w:rPr>
          <w:szCs w:val="24"/>
        </w:rPr>
        <w:t>eam. For the seven themes that will be using an overarching improvement plan rather than reinvestigating, it has been agreed that the</w:t>
      </w:r>
      <w:r w:rsidR="00372A83" w:rsidRPr="006F5BA6">
        <w:rPr>
          <w:szCs w:val="24"/>
        </w:rPr>
        <w:t xml:space="preserve"> Quality I</w:t>
      </w:r>
      <w:r w:rsidRPr="006F5BA6">
        <w:rPr>
          <w:szCs w:val="24"/>
        </w:rPr>
        <w:t xml:space="preserve">mprovement </w:t>
      </w:r>
      <w:r w:rsidR="00372A83" w:rsidRPr="006F5BA6">
        <w:rPr>
          <w:szCs w:val="24"/>
        </w:rPr>
        <w:t>T</w:t>
      </w:r>
      <w:r w:rsidRPr="006F5BA6">
        <w:rPr>
          <w:szCs w:val="24"/>
        </w:rPr>
        <w:t>eam will work with patient safety and key leads to support this work.</w:t>
      </w:r>
    </w:p>
    <w:p w:rsidR="00DB5FBC" w:rsidRPr="006F5BA6" w:rsidRDefault="00DB5FBC" w:rsidP="00903F09">
      <w:pPr>
        <w:pStyle w:val="PolicybulletLevel3"/>
        <w:rPr>
          <w:szCs w:val="24"/>
        </w:rPr>
      </w:pPr>
      <w:r w:rsidRPr="006F5BA6">
        <w:rPr>
          <w:szCs w:val="24"/>
        </w:rPr>
        <w:t>During the first year of PSIRF we will be scoping how patient safety and the improvement team will work more closely as the improvement work starts to increase through the implementation of PSIRF.</w:t>
      </w:r>
    </w:p>
    <w:p w:rsidR="00EC38E3" w:rsidRPr="006F5BA6" w:rsidRDefault="00EC38E3" w:rsidP="00CB0C5C">
      <w:pPr>
        <w:pStyle w:val="Policybulletlevel2"/>
        <w:spacing w:before="240" w:after="240"/>
        <w:rPr>
          <w:b/>
          <w:szCs w:val="24"/>
        </w:rPr>
      </w:pPr>
      <w:r w:rsidRPr="006F5BA6">
        <w:rPr>
          <w:b/>
          <w:szCs w:val="24"/>
        </w:rPr>
        <w:t xml:space="preserve">Oversight from the ICB </w:t>
      </w:r>
    </w:p>
    <w:p w:rsidR="00EA630D" w:rsidRPr="006F5BA6" w:rsidRDefault="00EA630D" w:rsidP="00903F09">
      <w:pPr>
        <w:pStyle w:val="PolicybulletLevel3"/>
        <w:rPr>
          <w:szCs w:val="24"/>
        </w:rPr>
      </w:pPr>
      <w:r w:rsidRPr="006F5BA6">
        <w:rPr>
          <w:szCs w:val="24"/>
        </w:rPr>
        <w:t xml:space="preserve">NHS Kent and Medway Integrated Care Board (ICB) has a responsibility to provide an oversight role under PSIRF.  The ICB has collaborated with East Kent Hospitals University </w:t>
      </w:r>
      <w:r w:rsidR="00372A83" w:rsidRPr="006F5BA6">
        <w:rPr>
          <w:szCs w:val="24"/>
        </w:rPr>
        <w:t xml:space="preserve">NHS </w:t>
      </w:r>
      <w:r w:rsidRPr="006F5BA6">
        <w:rPr>
          <w:szCs w:val="24"/>
        </w:rPr>
        <w:t>Foundation Trust in the development of this PSIR</w:t>
      </w:r>
      <w:r w:rsidR="00372A83" w:rsidRPr="006F5BA6">
        <w:rPr>
          <w:szCs w:val="24"/>
        </w:rPr>
        <w:t xml:space="preserve"> </w:t>
      </w:r>
      <w:r w:rsidRPr="006F5BA6">
        <w:rPr>
          <w:szCs w:val="24"/>
        </w:rPr>
        <w:t>P</w:t>
      </w:r>
      <w:r w:rsidR="00372A83" w:rsidRPr="006F5BA6">
        <w:rPr>
          <w:szCs w:val="24"/>
        </w:rPr>
        <w:t>olicy</w:t>
      </w:r>
      <w:r w:rsidRPr="006F5BA6">
        <w:rPr>
          <w:szCs w:val="24"/>
        </w:rPr>
        <w:t xml:space="preserve"> and will continue to collaborate with them in its maintenance and review.  The PSIR</w:t>
      </w:r>
      <w:r w:rsidR="00372A83" w:rsidRPr="006F5BA6">
        <w:rPr>
          <w:szCs w:val="24"/>
        </w:rPr>
        <w:t xml:space="preserve"> </w:t>
      </w:r>
      <w:r w:rsidRPr="006F5BA6">
        <w:rPr>
          <w:szCs w:val="24"/>
        </w:rPr>
        <w:t>P</w:t>
      </w:r>
      <w:r w:rsidR="00372A83" w:rsidRPr="006F5BA6">
        <w:rPr>
          <w:szCs w:val="24"/>
        </w:rPr>
        <w:t>olicy</w:t>
      </w:r>
      <w:r w:rsidRPr="006F5BA6">
        <w:rPr>
          <w:szCs w:val="24"/>
        </w:rPr>
        <w:t xml:space="preserve"> will be reviewed by both East Kent Hospitals University </w:t>
      </w:r>
      <w:r w:rsidR="00372A83" w:rsidRPr="006F5BA6">
        <w:rPr>
          <w:szCs w:val="24"/>
        </w:rPr>
        <w:t xml:space="preserve">NHS </w:t>
      </w:r>
      <w:r w:rsidRPr="006F5BA6">
        <w:rPr>
          <w:szCs w:val="24"/>
        </w:rPr>
        <w:t>Foundation Trust and the ICB at months 6 and 12 following implementation of PSIRF, and will then be reviewed at least annually.</w:t>
      </w:r>
    </w:p>
    <w:p w:rsidR="00EA630D" w:rsidRPr="006F5BA6" w:rsidRDefault="00EA630D" w:rsidP="00903F09">
      <w:pPr>
        <w:pStyle w:val="PolicybulletLevel3"/>
        <w:rPr>
          <w:szCs w:val="24"/>
        </w:rPr>
      </w:pPr>
      <w:r w:rsidRPr="006F5BA6">
        <w:rPr>
          <w:szCs w:val="24"/>
        </w:rPr>
        <w:t xml:space="preserve">East Kent Hospitals University </w:t>
      </w:r>
      <w:r w:rsidR="00576CDA" w:rsidRPr="006F5BA6">
        <w:rPr>
          <w:szCs w:val="24"/>
        </w:rPr>
        <w:t xml:space="preserve">NHS </w:t>
      </w:r>
      <w:r w:rsidRPr="006F5BA6">
        <w:rPr>
          <w:szCs w:val="24"/>
        </w:rPr>
        <w:t>Foundation Trust is requested to invite their named ICB PSIRF Partner (or a suitable representative) to attend core internal meetings.  The purpose of the ICB representative at these meetings is to observe interactions between staff (in terms of culture and psychological safety) and to ensure that they are following the PSIR</w:t>
      </w:r>
      <w:r w:rsidR="00372A83" w:rsidRPr="006F5BA6">
        <w:rPr>
          <w:szCs w:val="24"/>
        </w:rPr>
        <w:t xml:space="preserve"> </w:t>
      </w:r>
      <w:r w:rsidRPr="006F5BA6">
        <w:rPr>
          <w:szCs w:val="24"/>
        </w:rPr>
        <w:t>P</w:t>
      </w:r>
      <w:r w:rsidR="00372A83" w:rsidRPr="006F5BA6">
        <w:rPr>
          <w:szCs w:val="24"/>
        </w:rPr>
        <w:t>olicy</w:t>
      </w:r>
      <w:r w:rsidR="00FE2C73" w:rsidRPr="006F5BA6">
        <w:rPr>
          <w:szCs w:val="24"/>
        </w:rPr>
        <w:t xml:space="preserve"> and Plan</w:t>
      </w:r>
      <w:r w:rsidRPr="006F5BA6">
        <w:rPr>
          <w:szCs w:val="24"/>
        </w:rPr>
        <w:t xml:space="preserve">.  These meetings may have different names within each provider, but their functions are described </w:t>
      </w:r>
      <w:r w:rsidR="00372A83" w:rsidRPr="006F5BA6">
        <w:rPr>
          <w:szCs w:val="24"/>
        </w:rPr>
        <w:t xml:space="preserve">within this policy. </w:t>
      </w:r>
      <w:r w:rsidRPr="006F5BA6">
        <w:rPr>
          <w:szCs w:val="24"/>
        </w:rPr>
        <w:t>Where additional meetings take place, the ICB requests an invite to also attend these meetings.</w:t>
      </w:r>
    </w:p>
    <w:p w:rsidR="00FE2C73" w:rsidRPr="006F5BA6" w:rsidRDefault="00FE2C73" w:rsidP="00903F09">
      <w:pPr>
        <w:pStyle w:val="PolicybulletLevel3"/>
        <w:numPr>
          <w:ilvl w:val="2"/>
          <w:numId w:val="8"/>
        </w:numPr>
        <w:spacing w:before="0" w:after="0"/>
        <w:ind w:left="1418"/>
        <w:rPr>
          <w:szCs w:val="24"/>
        </w:rPr>
      </w:pPr>
      <w:r w:rsidRPr="006F5BA6">
        <w:rPr>
          <w:szCs w:val="24"/>
        </w:rPr>
        <w:t>Incident review/declaration meetings, i.e., where incidents are discussed, and type of learning response is determined.</w:t>
      </w:r>
    </w:p>
    <w:p w:rsidR="00FE2C73" w:rsidRPr="006F5BA6" w:rsidRDefault="00FE2C73" w:rsidP="00903F09">
      <w:pPr>
        <w:pStyle w:val="PolicybulletLevel3"/>
        <w:numPr>
          <w:ilvl w:val="2"/>
          <w:numId w:val="8"/>
        </w:numPr>
        <w:spacing w:before="0" w:after="0"/>
        <w:ind w:left="1418"/>
        <w:rPr>
          <w:szCs w:val="24"/>
        </w:rPr>
      </w:pPr>
      <w:r w:rsidRPr="006F5BA6">
        <w:rPr>
          <w:szCs w:val="24"/>
        </w:rPr>
        <w:t>Investigation review/closure meetings, i.e., where the completed learning response is reviewed.</w:t>
      </w:r>
    </w:p>
    <w:p w:rsidR="00FE2C73" w:rsidRPr="006F5BA6" w:rsidRDefault="00FE2C73" w:rsidP="00903F09">
      <w:pPr>
        <w:pStyle w:val="PolicybulletLevel3"/>
        <w:rPr>
          <w:szCs w:val="24"/>
        </w:rPr>
      </w:pPr>
      <w:r w:rsidRPr="006F5BA6">
        <w:rPr>
          <w:szCs w:val="24"/>
        </w:rPr>
        <w:t>The ICB PSIRF Partner will feed into the monthly ICB PSIRF Partners System meeting.  The purpose of this meeting is to ensure and support learning across the wider system.</w:t>
      </w:r>
    </w:p>
    <w:p w:rsidR="0007392B" w:rsidRPr="00903F09" w:rsidRDefault="00EA630D" w:rsidP="00903F09">
      <w:pPr>
        <w:pStyle w:val="PolicybulletLevel3"/>
        <w:rPr>
          <w:szCs w:val="24"/>
        </w:rPr>
      </w:pPr>
      <w:r w:rsidRPr="006F5BA6">
        <w:rPr>
          <w:szCs w:val="24"/>
        </w:rPr>
        <w:t xml:space="preserve">The ICB will be listed on all relevant Terms of Reference and be invited to attend any </w:t>
      </w:r>
      <w:r w:rsidR="00576CDA" w:rsidRPr="006F5BA6">
        <w:rPr>
          <w:szCs w:val="24"/>
        </w:rPr>
        <w:t>relevant</w:t>
      </w:r>
      <w:r w:rsidRPr="006F5BA6">
        <w:rPr>
          <w:szCs w:val="24"/>
        </w:rPr>
        <w:t xml:space="preserve"> meeting</w:t>
      </w:r>
      <w:r w:rsidR="00372A83" w:rsidRPr="006F5BA6">
        <w:rPr>
          <w:szCs w:val="24"/>
        </w:rPr>
        <w:t>s</w:t>
      </w:r>
      <w:r w:rsidRPr="006F5BA6">
        <w:rPr>
          <w:szCs w:val="24"/>
        </w:rPr>
        <w:t>.</w:t>
      </w:r>
    </w:p>
    <w:p w:rsidR="00DB5FBC" w:rsidRPr="00DB5FBC" w:rsidRDefault="00DB5FBC" w:rsidP="00903F09">
      <w:pPr>
        <w:pStyle w:val="Policyheader"/>
      </w:pPr>
      <w:bookmarkStart w:id="19" w:name="_Toc166674439"/>
      <w:r w:rsidRPr="00DB5FBC">
        <w:t>Quality Review</w:t>
      </w:r>
      <w:bookmarkEnd w:id="19"/>
    </w:p>
    <w:p w:rsidR="00DB5FBC" w:rsidRPr="00903F09" w:rsidRDefault="00DB5FBC" w:rsidP="00903F09">
      <w:pPr>
        <w:pStyle w:val="PolicybulletLevel3"/>
        <w:rPr>
          <w:szCs w:val="24"/>
        </w:rPr>
      </w:pPr>
      <w:r w:rsidRPr="00903F09">
        <w:rPr>
          <w:szCs w:val="24"/>
        </w:rPr>
        <w:t>During the transition</w:t>
      </w:r>
      <w:r w:rsidR="000C5297" w:rsidRPr="00903F09">
        <w:rPr>
          <w:szCs w:val="24"/>
        </w:rPr>
        <w:t>,</w:t>
      </w:r>
      <w:r w:rsidRPr="00903F09">
        <w:rPr>
          <w:szCs w:val="24"/>
        </w:rPr>
        <w:t xml:space="preserve"> of both the care group quality governance teams </w:t>
      </w:r>
      <w:r w:rsidR="00372A83" w:rsidRPr="00903F09">
        <w:rPr>
          <w:szCs w:val="24"/>
        </w:rPr>
        <w:t xml:space="preserve">joining the Quality Governance Directorate and the Trust </w:t>
      </w:r>
      <w:r w:rsidRPr="00903F09">
        <w:rPr>
          <w:szCs w:val="24"/>
        </w:rPr>
        <w:t>transition to</w:t>
      </w:r>
      <w:r w:rsidR="00372A83" w:rsidRPr="00903F09">
        <w:rPr>
          <w:szCs w:val="24"/>
        </w:rPr>
        <w:t xml:space="preserve"> the</w:t>
      </w:r>
      <w:r w:rsidRPr="00903F09">
        <w:rPr>
          <w:szCs w:val="24"/>
        </w:rPr>
        <w:t xml:space="preserve"> PSIRF, there will be a peer review process implemented</w:t>
      </w:r>
      <w:r w:rsidR="00372A83" w:rsidRPr="00903F09">
        <w:rPr>
          <w:szCs w:val="24"/>
        </w:rPr>
        <w:t>,</w:t>
      </w:r>
      <w:r w:rsidRPr="00903F09">
        <w:rPr>
          <w:szCs w:val="24"/>
        </w:rPr>
        <w:t xml:space="preserve"> at all levels</w:t>
      </w:r>
      <w:r w:rsidR="00372A83" w:rsidRPr="00903F09">
        <w:rPr>
          <w:szCs w:val="24"/>
        </w:rPr>
        <w:t>,</w:t>
      </w:r>
      <w:r w:rsidRPr="00903F09">
        <w:rPr>
          <w:szCs w:val="24"/>
        </w:rPr>
        <w:t xml:space="preserve"> to ensure consistency in approach and style in relation to undertaking and reviewing all incident learning responses.</w:t>
      </w:r>
    </w:p>
    <w:p w:rsidR="00DB5FBC" w:rsidRPr="00AC250F" w:rsidRDefault="00DB5FBC" w:rsidP="00903F09">
      <w:pPr>
        <w:pStyle w:val="Policyheader"/>
      </w:pPr>
      <w:bookmarkStart w:id="20" w:name="_Toc166674440"/>
      <w:r w:rsidRPr="00AC250F">
        <w:lastRenderedPageBreak/>
        <w:t>Complaints and Appeals</w:t>
      </w:r>
      <w:bookmarkEnd w:id="20"/>
    </w:p>
    <w:p w:rsidR="00076834" w:rsidRPr="00903F09" w:rsidRDefault="00372A83" w:rsidP="00903F09">
      <w:pPr>
        <w:pStyle w:val="PolicybulletLevel3"/>
        <w:rPr>
          <w:szCs w:val="24"/>
        </w:rPr>
      </w:pPr>
      <w:r w:rsidRPr="00903F09">
        <w:rPr>
          <w:szCs w:val="24"/>
        </w:rPr>
        <w:t xml:space="preserve">The </w:t>
      </w:r>
      <w:r w:rsidR="00DB5FBC" w:rsidRPr="00903F09">
        <w:rPr>
          <w:szCs w:val="24"/>
        </w:rPr>
        <w:t xml:space="preserve">PSIRF provides a very different approach to how we will manage patient safety incidents in the future. If you would like more information or to offer suggestions or feedback on this policy, please email the Patient Safety Team at </w:t>
      </w:r>
      <w:hyperlink r:id="rId13" w:history="1">
        <w:r w:rsidR="00C83873" w:rsidRPr="00903F09">
          <w:rPr>
            <w:rStyle w:val="Hyperlink"/>
            <w:szCs w:val="24"/>
          </w:rPr>
          <w:t>ekhuft.psirf@nhs.net</w:t>
        </w:r>
      </w:hyperlink>
    </w:p>
    <w:p w:rsidR="00F46F80" w:rsidRPr="00903F09" w:rsidRDefault="00DB5FBC" w:rsidP="00903F09">
      <w:pPr>
        <w:pStyle w:val="PolicybulletLevel3"/>
        <w:rPr>
          <w:szCs w:val="24"/>
        </w:rPr>
      </w:pPr>
      <w:r w:rsidRPr="00903F09">
        <w:rPr>
          <w:szCs w:val="24"/>
        </w:rPr>
        <w:t>If you have a concern and you would like to make a complaint, please can you use the Trusts complaints process</w:t>
      </w:r>
      <w:r w:rsidR="006F6056" w:rsidRPr="00903F09">
        <w:rPr>
          <w:szCs w:val="24"/>
        </w:rPr>
        <w:t xml:space="preserve"> (</w:t>
      </w:r>
      <w:hyperlink r:id="rId14" w:history="1">
        <w:r w:rsidR="006F6056" w:rsidRPr="00903F09">
          <w:rPr>
            <w:rStyle w:val="Hyperlink"/>
            <w:rFonts w:cstheme="minorHAnsi"/>
            <w:szCs w:val="24"/>
          </w:rPr>
          <w:t>https://www.ekhuft.nhs.uk/contact-us/giving-feedback/pals/making-a-complaint/</w:t>
        </w:r>
      </w:hyperlink>
      <w:r w:rsidR="006F6056" w:rsidRPr="00903F09">
        <w:rPr>
          <w:rFonts w:cs="Arial"/>
          <w:color w:val="002060"/>
          <w:szCs w:val="24"/>
        </w:rPr>
        <w:t>)</w:t>
      </w:r>
    </w:p>
    <w:p w:rsidR="00DB5FBC" w:rsidRPr="00903F09" w:rsidRDefault="00DB5FBC" w:rsidP="00903F09">
      <w:pPr>
        <w:pStyle w:val="PolicybulletLevel3"/>
        <w:rPr>
          <w:szCs w:val="24"/>
        </w:rPr>
      </w:pPr>
      <w:r w:rsidRPr="00903F09">
        <w:rPr>
          <w:szCs w:val="24"/>
        </w:rPr>
        <w:t>To make a complaint you can:</w:t>
      </w:r>
    </w:p>
    <w:p w:rsidR="00DB5FBC" w:rsidRPr="00903F09" w:rsidRDefault="00DB5FBC" w:rsidP="00DB5FBC">
      <w:pPr>
        <w:pStyle w:val="PolicybulletLevel3"/>
        <w:numPr>
          <w:ilvl w:val="0"/>
          <w:numId w:val="0"/>
        </w:numPr>
        <w:ind w:left="1497"/>
        <w:rPr>
          <w:szCs w:val="24"/>
        </w:rPr>
      </w:pPr>
      <w:r w:rsidRPr="00903F09">
        <w:rPr>
          <w:szCs w:val="24"/>
        </w:rPr>
        <w:t xml:space="preserve">Call us: </w:t>
      </w:r>
      <w:r w:rsidR="00372A83" w:rsidRPr="00903F09">
        <w:rPr>
          <w:szCs w:val="24"/>
        </w:rPr>
        <w:tab/>
      </w:r>
      <w:r w:rsidRPr="00903F09">
        <w:rPr>
          <w:szCs w:val="24"/>
        </w:rPr>
        <w:t>01227 783145</w:t>
      </w:r>
    </w:p>
    <w:p w:rsidR="00DB5FBC" w:rsidRPr="00903F09" w:rsidRDefault="00DB5FBC" w:rsidP="00DB5FBC">
      <w:pPr>
        <w:pStyle w:val="PolicybulletLevel3"/>
        <w:numPr>
          <w:ilvl w:val="0"/>
          <w:numId w:val="0"/>
        </w:numPr>
        <w:ind w:left="1497"/>
        <w:rPr>
          <w:szCs w:val="24"/>
        </w:rPr>
      </w:pPr>
      <w:r w:rsidRPr="00903F09">
        <w:rPr>
          <w:szCs w:val="24"/>
        </w:rPr>
        <w:t xml:space="preserve">Email us: </w:t>
      </w:r>
      <w:r w:rsidR="00372A83" w:rsidRPr="00903F09">
        <w:rPr>
          <w:szCs w:val="24"/>
        </w:rPr>
        <w:tab/>
      </w:r>
      <w:hyperlink r:id="rId15" w:history="1">
        <w:r w:rsidR="00372A83" w:rsidRPr="00903F09">
          <w:rPr>
            <w:rStyle w:val="Hyperlink"/>
            <w:szCs w:val="24"/>
          </w:rPr>
          <w:t>ekh-tr.pals@nhs.net</w:t>
        </w:r>
      </w:hyperlink>
    </w:p>
    <w:p w:rsidR="00DB5FBC" w:rsidRPr="00903F09" w:rsidRDefault="00DB5FBC" w:rsidP="00DB5FBC">
      <w:pPr>
        <w:pStyle w:val="PolicybulletLevel3"/>
        <w:numPr>
          <w:ilvl w:val="0"/>
          <w:numId w:val="0"/>
        </w:numPr>
        <w:ind w:left="1497"/>
        <w:rPr>
          <w:szCs w:val="24"/>
        </w:rPr>
      </w:pPr>
      <w:r w:rsidRPr="00903F09">
        <w:rPr>
          <w:szCs w:val="24"/>
        </w:rPr>
        <w:t>Write to us at:</w:t>
      </w:r>
      <w:r w:rsidR="00C83873" w:rsidRPr="00903F09">
        <w:rPr>
          <w:szCs w:val="24"/>
        </w:rPr>
        <w:t xml:space="preserve"> </w:t>
      </w:r>
    </w:p>
    <w:p w:rsidR="00DB5FBC" w:rsidRPr="00903F09" w:rsidRDefault="00DB5FBC" w:rsidP="00913004">
      <w:pPr>
        <w:pStyle w:val="PolicybulletLevel3"/>
        <w:numPr>
          <w:ilvl w:val="0"/>
          <w:numId w:val="0"/>
        </w:numPr>
        <w:spacing w:before="0" w:after="0"/>
        <w:ind w:left="1702" w:firstLine="851"/>
        <w:rPr>
          <w:szCs w:val="24"/>
        </w:rPr>
      </w:pPr>
      <w:r w:rsidRPr="00903F09">
        <w:rPr>
          <w:szCs w:val="24"/>
        </w:rPr>
        <w:t>The Complaints Team</w:t>
      </w:r>
    </w:p>
    <w:p w:rsidR="00DB5FBC" w:rsidRPr="00903F09" w:rsidRDefault="00DB5FBC" w:rsidP="00913004">
      <w:pPr>
        <w:pStyle w:val="PolicybulletLevel3"/>
        <w:numPr>
          <w:ilvl w:val="0"/>
          <w:numId w:val="0"/>
        </w:numPr>
        <w:spacing w:before="0" w:after="0"/>
        <w:ind w:left="2553"/>
        <w:rPr>
          <w:szCs w:val="24"/>
        </w:rPr>
      </w:pPr>
      <w:r w:rsidRPr="00903F09">
        <w:rPr>
          <w:szCs w:val="24"/>
        </w:rPr>
        <w:t>East Kent Hospitals University NHS Foundation Trust</w:t>
      </w:r>
    </w:p>
    <w:p w:rsidR="00DB5FBC" w:rsidRPr="00903F09" w:rsidRDefault="00DB5FBC" w:rsidP="00913004">
      <w:pPr>
        <w:pStyle w:val="PolicybulletLevel3"/>
        <w:numPr>
          <w:ilvl w:val="0"/>
          <w:numId w:val="0"/>
        </w:numPr>
        <w:spacing w:before="0" w:after="0"/>
        <w:ind w:left="2553"/>
        <w:rPr>
          <w:szCs w:val="24"/>
        </w:rPr>
      </w:pPr>
      <w:r w:rsidRPr="00903F09">
        <w:rPr>
          <w:szCs w:val="24"/>
        </w:rPr>
        <w:t>Trust Offices</w:t>
      </w:r>
    </w:p>
    <w:p w:rsidR="00DB5FBC" w:rsidRPr="00903F09" w:rsidRDefault="00DB5FBC" w:rsidP="00913004">
      <w:pPr>
        <w:pStyle w:val="PolicybulletLevel3"/>
        <w:numPr>
          <w:ilvl w:val="0"/>
          <w:numId w:val="0"/>
        </w:numPr>
        <w:spacing w:before="0" w:after="0"/>
        <w:ind w:left="2553"/>
        <w:rPr>
          <w:szCs w:val="24"/>
        </w:rPr>
      </w:pPr>
      <w:r w:rsidRPr="00903F09">
        <w:rPr>
          <w:szCs w:val="24"/>
        </w:rPr>
        <w:t>Kent and Canterbury Hospital</w:t>
      </w:r>
    </w:p>
    <w:p w:rsidR="00DB5FBC" w:rsidRPr="00903F09" w:rsidRDefault="00DB5FBC" w:rsidP="00913004">
      <w:pPr>
        <w:pStyle w:val="PolicybulletLevel3"/>
        <w:numPr>
          <w:ilvl w:val="0"/>
          <w:numId w:val="0"/>
        </w:numPr>
        <w:spacing w:before="0" w:after="0"/>
        <w:ind w:left="2553"/>
        <w:rPr>
          <w:szCs w:val="24"/>
        </w:rPr>
      </w:pPr>
      <w:r w:rsidRPr="00903F09">
        <w:rPr>
          <w:szCs w:val="24"/>
        </w:rPr>
        <w:t>Ethelbert Road</w:t>
      </w:r>
    </w:p>
    <w:p w:rsidR="00DB5FBC" w:rsidRPr="00903F09" w:rsidRDefault="00DB5FBC" w:rsidP="00913004">
      <w:pPr>
        <w:pStyle w:val="PolicybulletLevel3"/>
        <w:numPr>
          <w:ilvl w:val="0"/>
          <w:numId w:val="0"/>
        </w:numPr>
        <w:spacing w:before="0" w:after="0"/>
        <w:ind w:left="2553"/>
        <w:rPr>
          <w:szCs w:val="24"/>
        </w:rPr>
      </w:pPr>
      <w:r w:rsidRPr="00903F09">
        <w:rPr>
          <w:szCs w:val="24"/>
        </w:rPr>
        <w:t>Canterbury</w:t>
      </w:r>
    </w:p>
    <w:p w:rsidR="00D00CD5" w:rsidRPr="00903F09" w:rsidRDefault="00DB5FBC" w:rsidP="00903F09">
      <w:pPr>
        <w:pStyle w:val="PolicybulletLevel3"/>
        <w:numPr>
          <w:ilvl w:val="0"/>
          <w:numId w:val="0"/>
        </w:numPr>
        <w:spacing w:before="0" w:after="0"/>
        <w:ind w:left="2553"/>
        <w:rPr>
          <w:szCs w:val="24"/>
        </w:rPr>
      </w:pPr>
      <w:r w:rsidRPr="00903F09">
        <w:rPr>
          <w:szCs w:val="24"/>
        </w:rPr>
        <w:t>CT1 3NG</w:t>
      </w:r>
    </w:p>
    <w:p w:rsidR="006A1E48" w:rsidRPr="00F6032D" w:rsidRDefault="006A1E48" w:rsidP="00913004">
      <w:pPr>
        <w:pStyle w:val="Policyheader"/>
        <w:ind w:left="567" w:hanging="567"/>
      </w:pPr>
      <w:bookmarkStart w:id="21" w:name="_Toc4687550"/>
      <w:bookmarkStart w:id="22" w:name="_Toc166674441"/>
      <w:bookmarkStart w:id="23" w:name="_Toc523986727"/>
      <w:bookmarkStart w:id="24" w:name="_Toc523989245"/>
      <w:r w:rsidRPr="009B13EE">
        <w:t xml:space="preserve">Policy Development, Approval and </w:t>
      </w:r>
      <w:bookmarkEnd w:id="21"/>
      <w:r w:rsidR="00871C1C">
        <w:t>Authorisation</w:t>
      </w:r>
      <w:bookmarkEnd w:id="22"/>
      <w:r w:rsidRPr="009B13EE">
        <w:t xml:space="preserve"> </w:t>
      </w:r>
    </w:p>
    <w:bookmarkEnd w:id="23"/>
    <w:bookmarkEnd w:id="24"/>
    <w:p w:rsidR="00F70BA6" w:rsidRPr="00903F09" w:rsidRDefault="00E81F61" w:rsidP="00913004">
      <w:pPr>
        <w:pStyle w:val="Policybulletlevel2"/>
        <w:ind w:left="567" w:hanging="567"/>
        <w:rPr>
          <w:szCs w:val="24"/>
        </w:rPr>
      </w:pPr>
      <w:r w:rsidRPr="00903F09">
        <w:rPr>
          <w:szCs w:val="24"/>
        </w:rPr>
        <w:t xml:space="preserve">This policy will be approved by the Quality </w:t>
      </w:r>
      <w:r w:rsidR="00913004" w:rsidRPr="00903F09">
        <w:rPr>
          <w:szCs w:val="24"/>
        </w:rPr>
        <w:t>and</w:t>
      </w:r>
      <w:r w:rsidRPr="00903F09">
        <w:rPr>
          <w:szCs w:val="24"/>
        </w:rPr>
        <w:t xml:space="preserve"> </w:t>
      </w:r>
      <w:r w:rsidR="00E83468" w:rsidRPr="00903F09">
        <w:rPr>
          <w:szCs w:val="24"/>
        </w:rPr>
        <w:t>S</w:t>
      </w:r>
      <w:r w:rsidRPr="00903F09">
        <w:rPr>
          <w:szCs w:val="24"/>
        </w:rPr>
        <w:t>af</w:t>
      </w:r>
      <w:r w:rsidR="00E83468" w:rsidRPr="00903F09">
        <w:rPr>
          <w:szCs w:val="24"/>
        </w:rPr>
        <w:t>ety Committee</w:t>
      </w:r>
      <w:r w:rsidR="00913004" w:rsidRPr="00903F09">
        <w:rPr>
          <w:szCs w:val="24"/>
        </w:rPr>
        <w:t>.</w:t>
      </w:r>
    </w:p>
    <w:p w:rsidR="00913004" w:rsidRPr="00903F09" w:rsidRDefault="00A51641" w:rsidP="00903F09">
      <w:pPr>
        <w:pStyle w:val="Policybulletlevel2"/>
        <w:ind w:left="567" w:hanging="567"/>
        <w:rPr>
          <w:szCs w:val="24"/>
        </w:rPr>
      </w:pPr>
      <w:r w:rsidRPr="00903F09">
        <w:rPr>
          <w:szCs w:val="24"/>
        </w:rPr>
        <w:t xml:space="preserve">This policy will be ratified by the Policy </w:t>
      </w:r>
      <w:r w:rsidR="00871C1C" w:rsidRPr="00903F09">
        <w:rPr>
          <w:szCs w:val="24"/>
        </w:rPr>
        <w:t>Authorisation</w:t>
      </w:r>
      <w:r w:rsidRPr="00903F09">
        <w:rPr>
          <w:szCs w:val="24"/>
        </w:rPr>
        <w:t xml:space="preserve"> Group.</w:t>
      </w:r>
    </w:p>
    <w:p w:rsidR="00901EDC" w:rsidRDefault="00901EDC" w:rsidP="00913004">
      <w:pPr>
        <w:pStyle w:val="Policyheader"/>
        <w:ind w:left="567" w:hanging="567"/>
      </w:pPr>
      <w:bookmarkStart w:id="25" w:name="_Toc523986728"/>
      <w:bookmarkStart w:id="26" w:name="_Toc523989246"/>
      <w:bookmarkStart w:id="27" w:name="_Toc166674442"/>
      <w:r w:rsidRPr="00D5698E">
        <w:t>Review</w:t>
      </w:r>
      <w:r w:rsidRPr="00AE6AAE">
        <w:t xml:space="preserve"> and Revision Arrangements</w:t>
      </w:r>
      <w:bookmarkEnd w:id="25"/>
      <w:bookmarkEnd w:id="26"/>
      <w:bookmarkEnd w:id="27"/>
    </w:p>
    <w:p w:rsidR="00A4563E" w:rsidRPr="00903F09" w:rsidRDefault="00A4563E" w:rsidP="00913004">
      <w:pPr>
        <w:pStyle w:val="Policybulletlevel2"/>
        <w:ind w:left="567" w:hanging="567"/>
        <w:rPr>
          <w:szCs w:val="24"/>
        </w:rPr>
      </w:pPr>
      <w:r w:rsidRPr="00903F09">
        <w:rPr>
          <w:szCs w:val="24"/>
        </w:rPr>
        <w:t xml:space="preserve">This policy will be reviewed </w:t>
      </w:r>
      <w:r w:rsidR="000812D9" w:rsidRPr="00903F09">
        <w:rPr>
          <w:szCs w:val="24"/>
        </w:rPr>
        <w:t xml:space="preserve">at three months (September 2024) six months (December 2024) and at one year (May 2025). Thereafter it will be reviewed annually for the second and third year. Following this it will be </w:t>
      </w:r>
      <w:r w:rsidRPr="00903F09">
        <w:rPr>
          <w:szCs w:val="24"/>
        </w:rPr>
        <w:t>scheduled in three years’ time unless legislative or other changes necessitate an earlier review.</w:t>
      </w:r>
    </w:p>
    <w:p w:rsidR="00913004" w:rsidRPr="00903F09" w:rsidRDefault="006A1E48" w:rsidP="00903F09">
      <w:pPr>
        <w:pStyle w:val="Policybulletlevel2"/>
        <w:ind w:left="567" w:hanging="567"/>
        <w:rPr>
          <w:szCs w:val="24"/>
        </w:rPr>
      </w:pPr>
      <w:r w:rsidRPr="00903F09">
        <w:rPr>
          <w:szCs w:val="24"/>
        </w:rPr>
        <w:t xml:space="preserve">It will be </w:t>
      </w:r>
      <w:r w:rsidR="00C402BA" w:rsidRPr="00903F09">
        <w:rPr>
          <w:szCs w:val="24"/>
        </w:rPr>
        <w:t>reviewed/</w:t>
      </w:r>
      <w:r w:rsidRPr="00903F09">
        <w:rPr>
          <w:szCs w:val="24"/>
        </w:rPr>
        <w:t xml:space="preserve">ratified by the Policy </w:t>
      </w:r>
      <w:r w:rsidR="00871C1C" w:rsidRPr="00903F09">
        <w:rPr>
          <w:szCs w:val="24"/>
        </w:rPr>
        <w:t>Authorisation</w:t>
      </w:r>
      <w:r w:rsidRPr="00903F09">
        <w:rPr>
          <w:szCs w:val="24"/>
        </w:rPr>
        <w:t xml:space="preserve"> Group every three years, or when there are significant changes and/or changes to underpinning legislation in accordance with the policy for the Development and Management of Trust Policies</w:t>
      </w:r>
      <w:r w:rsidR="00AD2E91" w:rsidRPr="00903F09">
        <w:rPr>
          <w:szCs w:val="24"/>
        </w:rPr>
        <w:t>.</w:t>
      </w:r>
    </w:p>
    <w:p w:rsidR="00901EDC" w:rsidRDefault="006A1E48" w:rsidP="00913004">
      <w:pPr>
        <w:pStyle w:val="Policyheader"/>
        <w:ind w:left="567" w:hanging="567"/>
      </w:pPr>
      <w:bookmarkStart w:id="28" w:name="_Toc523986729"/>
      <w:bookmarkStart w:id="29" w:name="_Toc523989247"/>
      <w:bookmarkStart w:id="30" w:name="_Toc166674443"/>
      <w:r>
        <w:t xml:space="preserve">Policy </w:t>
      </w:r>
      <w:r w:rsidR="00901EDC" w:rsidRPr="00A37AEE">
        <w:t>Implementation</w:t>
      </w:r>
      <w:bookmarkEnd w:id="28"/>
      <w:bookmarkEnd w:id="29"/>
      <w:bookmarkEnd w:id="30"/>
    </w:p>
    <w:p w:rsidR="00A51641" w:rsidRPr="00903F09" w:rsidRDefault="002D69EB" w:rsidP="00913004">
      <w:pPr>
        <w:pStyle w:val="Policybulletlevel2"/>
        <w:ind w:left="567" w:hanging="567"/>
        <w:rPr>
          <w:szCs w:val="24"/>
        </w:rPr>
      </w:pPr>
      <w:r w:rsidRPr="00903F09">
        <w:rPr>
          <w:szCs w:val="24"/>
        </w:rPr>
        <w:t xml:space="preserve">Refer to Appendix </w:t>
      </w:r>
      <w:r w:rsidR="00AB2471" w:rsidRPr="00903F09">
        <w:rPr>
          <w:szCs w:val="24"/>
        </w:rPr>
        <w:t>5</w:t>
      </w:r>
      <w:r w:rsidR="00913004" w:rsidRPr="00903F09">
        <w:rPr>
          <w:szCs w:val="24"/>
        </w:rPr>
        <w:t>.</w:t>
      </w:r>
    </w:p>
    <w:p w:rsidR="00901EDC" w:rsidRDefault="00901EDC" w:rsidP="00913004">
      <w:pPr>
        <w:pStyle w:val="Policyheader"/>
        <w:ind w:left="567" w:hanging="567"/>
      </w:pPr>
      <w:bookmarkStart w:id="31" w:name="_Toc523986730"/>
      <w:bookmarkStart w:id="32" w:name="_Toc523989248"/>
      <w:bookmarkStart w:id="33" w:name="_Toc166674444"/>
      <w:r w:rsidRPr="00A37AEE">
        <w:lastRenderedPageBreak/>
        <w:t>Document Control including Archiving Arrangements</w:t>
      </w:r>
      <w:bookmarkEnd w:id="31"/>
      <w:bookmarkEnd w:id="32"/>
      <w:bookmarkEnd w:id="33"/>
    </w:p>
    <w:p w:rsidR="006A1E48" w:rsidRPr="00903F09" w:rsidRDefault="006A1E48" w:rsidP="00913004">
      <w:pPr>
        <w:pStyle w:val="Policybulletlevel2"/>
        <w:ind w:left="567" w:hanging="567"/>
        <w:rPr>
          <w:szCs w:val="24"/>
        </w:rPr>
      </w:pPr>
      <w:r w:rsidRPr="00903F09">
        <w:rPr>
          <w:szCs w:val="24"/>
        </w:rPr>
        <w:t>Archiving of this policy will conform to the Trust’s Information Lifecycle and Records Management Policy, which sets out the Trust’s policy on the management of its information.</w:t>
      </w:r>
    </w:p>
    <w:p w:rsidR="00913004" w:rsidRPr="00903F09" w:rsidRDefault="00A51641" w:rsidP="00903F09">
      <w:pPr>
        <w:pStyle w:val="Policybulletlevel2"/>
        <w:ind w:left="567" w:hanging="567"/>
        <w:rPr>
          <w:szCs w:val="24"/>
        </w:rPr>
      </w:pPr>
      <w:r w:rsidRPr="00903F09">
        <w:rPr>
          <w:szCs w:val="24"/>
        </w:rPr>
        <w:t>This policy will be uploaded to the Trust’s policy management system</w:t>
      </w:r>
      <w:r w:rsidR="006C366E" w:rsidRPr="00903F09">
        <w:rPr>
          <w:szCs w:val="24"/>
        </w:rPr>
        <w:t>.</w:t>
      </w:r>
    </w:p>
    <w:p w:rsidR="000014C7" w:rsidRDefault="000014C7" w:rsidP="00913004">
      <w:pPr>
        <w:pStyle w:val="Policyheader"/>
        <w:ind w:left="567" w:hanging="567"/>
      </w:pPr>
      <w:bookmarkStart w:id="34" w:name="_Toc166674445"/>
      <w:bookmarkStart w:id="35" w:name="_Toc523986732"/>
      <w:bookmarkStart w:id="36" w:name="_Toc523989250"/>
      <w:r>
        <w:t>Monitoring and Assurance</w:t>
      </w:r>
      <w:bookmarkEnd w:id="34"/>
    </w:p>
    <w:p w:rsidR="000014C7" w:rsidRPr="008B2D75" w:rsidRDefault="000014C7" w:rsidP="00913004">
      <w:pPr>
        <w:pStyle w:val="Policybulletlevel2"/>
        <w:ind w:left="567" w:hanging="567"/>
        <w:rPr>
          <w:szCs w:val="24"/>
        </w:rPr>
      </w:pPr>
      <w:r w:rsidRPr="008B2D75">
        <w:rPr>
          <w:szCs w:val="24"/>
        </w:rPr>
        <w:t xml:space="preserve">The following table outlines the monitoring arrangements in place for </w:t>
      </w:r>
      <w:r w:rsidR="0071472D" w:rsidRPr="008B2D75">
        <w:rPr>
          <w:szCs w:val="24"/>
        </w:rPr>
        <w:t>this policy</w:t>
      </w:r>
      <w:r w:rsidR="00913004" w:rsidRPr="008B2D75">
        <w:rPr>
          <w:szCs w:val="24"/>
        </w:rPr>
        <w:t>.</w:t>
      </w:r>
    </w:p>
    <w:tbl>
      <w:tblPr>
        <w:tblStyle w:val="TableGrid"/>
        <w:tblW w:w="9498" w:type="dxa"/>
        <w:tblInd w:w="-5" w:type="dxa"/>
        <w:tblLayout w:type="fixed"/>
        <w:tblCellMar>
          <w:top w:w="57" w:type="dxa"/>
          <w:bottom w:w="57" w:type="dxa"/>
        </w:tblCellMar>
        <w:tblLook w:val="0620" w:firstRow="1" w:lastRow="0" w:firstColumn="0" w:lastColumn="0" w:noHBand="1" w:noVBand="1"/>
      </w:tblPr>
      <w:tblGrid>
        <w:gridCol w:w="4111"/>
        <w:gridCol w:w="2693"/>
        <w:gridCol w:w="2694"/>
      </w:tblGrid>
      <w:tr w:rsidR="00913004" w:rsidRPr="00903F09" w:rsidTr="002D1412">
        <w:trPr>
          <w:tblHeader/>
        </w:trPr>
        <w:tc>
          <w:tcPr>
            <w:tcW w:w="4111" w:type="dxa"/>
          </w:tcPr>
          <w:p w:rsidR="00913004" w:rsidRPr="00903F09" w:rsidRDefault="00913004" w:rsidP="002D7476">
            <w:pPr>
              <w:pStyle w:val="Tablesubhead"/>
              <w:rPr>
                <w:rFonts w:cs="Arial"/>
                <w:szCs w:val="24"/>
              </w:rPr>
            </w:pPr>
            <w:r w:rsidRPr="00903F09">
              <w:rPr>
                <w:rFonts w:cs="Arial"/>
                <w:szCs w:val="24"/>
              </w:rPr>
              <w:t>Policy Objectives</w:t>
            </w:r>
          </w:p>
        </w:tc>
        <w:tc>
          <w:tcPr>
            <w:tcW w:w="2693" w:type="dxa"/>
          </w:tcPr>
          <w:p w:rsidR="00913004" w:rsidRPr="00903F09" w:rsidRDefault="00913004" w:rsidP="002D7476">
            <w:pPr>
              <w:pStyle w:val="Tablesubhead"/>
              <w:rPr>
                <w:rFonts w:cs="Arial"/>
                <w:szCs w:val="24"/>
              </w:rPr>
            </w:pPr>
            <w:r w:rsidRPr="00903F09">
              <w:rPr>
                <w:rFonts w:cs="Arial"/>
                <w:szCs w:val="24"/>
              </w:rPr>
              <w:t>Monitoring methods</w:t>
            </w:r>
          </w:p>
        </w:tc>
        <w:tc>
          <w:tcPr>
            <w:tcW w:w="2694" w:type="dxa"/>
            <w:noWrap/>
          </w:tcPr>
          <w:p w:rsidR="00913004" w:rsidRPr="00903F09" w:rsidRDefault="00913004" w:rsidP="002D7476">
            <w:pPr>
              <w:pStyle w:val="Tablesubhead"/>
              <w:rPr>
                <w:rFonts w:cs="Arial"/>
                <w:szCs w:val="24"/>
              </w:rPr>
            </w:pPr>
            <w:r w:rsidRPr="00903F09">
              <w:rPr>
                <w:rFonts w:cs="Arial"/>
                <w:szCs w:val="24"/>
              </w:rPr>
              <w:t>Assurance</w:t>
            </w:r>
          </w:p>
        </w:tc>
      </w:tr>
      <w:tr w:rsidR="00913004" w:rsidRPr="00903F09" w:rsidTr="002D1412">
        <w:tc>
          <w:tcPr>
            <w:tcW w:w="4111" w:type="dxa"/>
          </w:tcPr>
          <w:p w:rsidR="00913004" w:rsidRPr="00903F09" w:rsidRDefault="00913004" w:rsidP="007C5413">
            <w:pPr>
              <w:pStyle w:val="Tabletext"/>
              <w:spacing w:line="276" w:lineRule="auto"/>
              <w:rPr>
                <w:sz w:val="24"/>
                <w:szCs w:val="24"/>
              </w:rPr>
            </w:pPr>
            <w:r w:rsidRPr="00903F09">
              <w:rPr>
                <w:sz w:val="24"/>
                <w:szCs w:val="24"/>
              </w:rPr>
              <w:t>To ensure a safe and smooth transition from the Serious Incident Framework to the implementation of PSIRF</w:t>
            </w:r>
          </w:p>
        </w:tc>
        <w:tc>
          <w:tcPr>
            <w:tcW w:w="2693" w:type="dxa"/>
          </w:tcPr>
          <w:p w:rsidR="00913004" w:rsidRPr="00903F09" w:rsidRDefault="00913004" w:rsidP="007C5413">
            <w:pPr>
              <w:pStyle w:val="Tabletext"/>
              <w:spacing w:line="276" w:lineRule="auto"/>
              <w:rPr>
                <w:sz w:val="24"/>
                <w:szCs w:val="24"/>
              </w:rPr>
            </w:pPr>
            <w:r w:rsidRPr="00903F09">
              <w:rPr>
                <w:sz w:val="24"/>
                <w:szCs w:val="24"/>
              </w:rPr>
              <w:t>Via the Patient Safety Committee (PSC) and the Quality and Safety Committee (QSC)</w:t>
            </w:r>
          </w:p>
        </w:tc>
        <w:tc>
          <w:tcPr>
            <w:tcW w:w="2694" w:type="dxa"/>
            <w:noWrap/>
          </w:tcPr>
          <w:p w:rsidR="00913004" w:rsidRPr="00903F09" w:rsidRDefault="00913004" w:rsidP="007C5413">
            <w:pPr>
              <w:pStyle w:val="Tabletext"/>
              <w:spacing w:line="276" w:lineRule="auto"/>
              <w:rPr>
                <w:sz w:val="24"/>
                <w:szCs w:val="24"/>
              </w:rPr>
            </w:pPr>
            <w:r w:rsidRPr="00903F09">
              <w:rPr>
                <w:sz w:val="24"/>
                <w:szCs w:val="24"/>
              </w:rPr>
              <w:t>Monthly agreed metric reporting including improvement plans</w:t>
            </w:r>
          </w:p>
        </w:tc>
      </w:tr>
      <w:tr w:rsidR="00913004" w:rsidRPr="00903F09" w:rsidTr="002D1412">
        <w:tc>
          <w:tcPr>
            <w:tcW w:w="4111" w:type="dxa"/>
          </w:tcPr>
          <w:p w:rsidR="00913004" w:rsidRPr="00903F09" w:rsidRDefault="00913004" w:rsidP="007C5413">
            <w:pPr>
              <w:pStyle w:val="Tabletext"/>
              <w:spacing w:line="276" w:lineRule="auto"/>
              <w:rPr>
                <w:sz w:val="24"/>
                <w:szCs w:val="24"/>
              </w:rPr>
            </w:pPr>
            <w:r w:rsidRPr="00903F09">
              <w:rPr>
                <w:sz w:val="24"/>
                <w:szCs w:val="24"/>
              </w:rPr>
              <w:t>To provide clear guidance on how the Trust will manage patient safety incidents in the future and to provide a framework by which the Trust will be able to identify key areas for improvement that relate to patient safety</w:t>
            </w:r>
          </w:p>
        </w:tc>
        <w:tc>
          <w:tcPr>
            <w:tcW w:w="2693" w:type="dxa"/>
          </w:tcPr>
          <w:p w:rsidR="00913004" w:rsidRPr="00903F09" w:rsidRDefault="00913004" w:rsidP="007C5413">
            <w:pPr>
              <w:pStyle w:val="Tabletext"/>
              <w:spacing w:line="276" w:lineRule="auto"/>
              <w:rPr>
                <w:sz w:val="24"/>
                <w:szCs w:val="24"/>
              </w:rPr>
            </w:pPr>
            <w:r w:rsidRPr="00903F09">
              <w:rPr>
                <w:sz w:val="24"/>
                <w:szCs w:val="24"/>
              </w:rPr>
              <w:t>Via the Patient Safety Committee (PSC) and the Quality and Safety Committee (QSC)</w:t>
            </w:r>
          </w:p>
        </w:tc>
        <w:tc>
          <w:tcPr>
            <w:tcW w:w="2694" w:type="dxa"/>
            <w:noWrap/>
          </w:tcPr>
          <w:p w:rsidR="00913004" w:rsidRPr="00903F09" w:rsidRDefault="00913004" w:rsidP="007C5413">
            <w:pPr>
              <w:pStyle w:val="Tabletext"/>
              <w:spacing w:line="276" w:lineRule="auto"/>
              <w:rPr>
                <w:sz w:val="24"/>
                <w:szCs w:val="24"/>
              </w:rPr>
            </w:pPr>
            <w:r w:rsidRPr="00903F09">
              <w:rPr>
                <w:sz w:val="24"/>
                <w:szCs w:val="24"/>
              </w:rPr>
              <w:t>Monthly agreed metric reporting including improvement plans</w:t>
            </w:r>
          </w:p>
        </w:tc>
      </w:tr>
    </w:tbl>
    <w:p w:rsidR="00901EDC" w:rsidRDefault="00901EDC" w:rsidP="007E7332">
      <w:pPr>
        <w:pStyle w:val="Policyheader"/>
      </w:pPr>
      <w:bookmarkStart w:id="37" w:name="_Toc166674446"/>
      <w:r>
        <w:t>References</w:t>
      </w:r>
      <w:bookmarkEnd w:id="35"/>
      <w:bookmarkEnd w:id="36"/>
      <w:bookmarkEnd w:id="37"/>
    </w:p>
    <w:p w:rsidR="00E35DF7" w:rsidRPr="00903F09" w:rsidRDefault="00E97DB2" w:rsidP="002D1412">
      <w:pPr>
        <w:spacing w:before="240" w:after="240"/>
        <w:ind w:left="851"/>
        <w:rPr>
          <w:szCs w:val="24"/>
        </w:rPr>
      </w:pPr>
      <w:hyperlink r:id="rId16" w:history="1">
        <w:r w:rsidR="00E35DF7" w:rsidRPr="00903F09">
          <w:rPr>
            <w:rStyle w:val="Hyperlink"/>
            <w:szCs w:val="24"/>
          </w:rPr>
          <w:t>Academy of Medical Royal Colleges. (2022) Patient Safety Syllabus. Version 2.1. London.</w:t>
        </w:r>
      </w:hyperlink>
    </w:p>
    <w:p w:rsidR="00704306" w:rsidRPr="00903F09" w:rsidRDefault="00E97DB2" w:rsidP="002D1412">
      <w:pPr>
        <w:spacing w:before="240" w:after="240"/>
        <w:ind w:left="851"/>
        <w:rPr>
          <w:rStyle w:val="Hyperlink"/>
          <w:szCs w:val="24"/>
        </w:rPr>
      </w:pPr>
      <w:hyperlink r:id="rId17" w:history="1">
        <w:r w:rsidR="007969D5" w:rsidRPr="00903F09">
          <w:rPr>
            <w:rStyle w:val="Hyperlink"/>
            <w:szCs w:val="24"/>
          </w:rPr>
          <w:t xml:space="preserve">NHS England. (2022) </w:t>
        </w:r>
        <w:r w:rsidR="007969D5" w:rsidRPr="00903F09">
          <w:rPr>
            <w:rStyle w:val="Hyperlink"/>
            <w:i/>
            <w:szCs w:val="24"/>
          </w:rPr>
          <w:t>Patient Safety Incident Response Framework.</w:t>
        </w:r>
        <w:r w:rsidR="007969D5" w:rsidRPr="00903F09">
          <w:rPr>
            <w:rStyle w:val="Hyperlink"/>
            <w:szCs w:val="24"/>
          </w:rPr>
          <w:t xml:space="preserve"> London</w:t>
        </w:r>
      </w:hyperlink>
    </w:p>
    <w:p w:rsidR="00913004" w:rsidRPr="00903F09" w:rsidRDefault="00E97DB2" w:rsidP="002D1412">
      <w:pPr>
        <w:spacing w:before="240" w:after="240"/>
        <w:ind w:left="851"/>
        <w:rPr>
          <w:szCs w:val="24"/>
        </w:rPr>
      </w:pPr>
      <w:hyperlink r:id="rId18" w:history="1">
        <w:r w:rsidR="00E35DF7" w:rsidRPr="00903F09">
          <w:rPr>
            <w:rStyle w:val="Hyperlink"/>
            <w:szCs w:val="24"/>
          </w:rPr>
          <w:t xml:space="preserve">NHS England. (2022) </w:t>
        </w:r>
        <w:r w:rsidR="00913004" w:rsidRPr="00903F09">
          <w:rPr>
            <w:rStyle w:val="Hyperlink"/>
            <w:szCs w:val="24"/>
          </w:rPr>
          <w:t xml:space="preserve">Safety Action Development Guide. </w:t>
        </w:r>
        <w:r w:rsidR="00E35DF7" w:rsidRPr="00903F09">
          <w:rPr>
            <w:rStyle w:val="Hyperlink"/>
            <w:szCs w:val="24"/>
          </w:rPr>
          <w:t>London</w:t>
        </w:r>
      </w:hyperlink>
    </w:p>
    <w:p w:rsidR="00913004" w:rsidRPr="00903F09" w:rsidRDefault="00913004" w:rsidP="00273DE7">
      <w:pPr>
        <w:ind w:left="851"/>
        <w:rPr>
          <w:b/>
          <w:bCs/>
          <w:noProof/>
          <w:szCs w:val="24"/>
        </w:rPr>
      </w:pPr>
      <w:bookmarkStart w:id="38" w:name="_Toc523986733"/>
      <w:bookmarkStart w:id="39" w:name="_Toc523989251"/>
      <w:r w:rsidRPr="00903F09">
        <w:rPr>
          <w:szCs w:val="24"/>
        </w:rPr>
        <w:br w:type="page"/>
      </w:r>
    </w:p>
    <w:p w:rsidR="008515C5" w:rsidRDefault="008515C5" w:rsidP="00913004">
      <w:pPr>
        <w:pStyle w:val="Policyheader"/>
        <w:numPr>
          <w:ilvl w:val="0"/>
          <w:numId w:val="0"/>
        </w:numPr>
      </w:pPr>
      <w:bookmarkStart w:id="40" w:name="_Toc166674447"/>
      <w:bookmarkStart w:id="41" w:name="_Hlk163131860"/>
      <w:bookmarkEnd w:id="38"/>
      <w:bookmarkEnd w:id="39"/>
      <w:r w:rsidRPr="008515C5">
        <w:lastRenderedPageBreak/>
        <w:t>Appendix 1</w:t>
      </w:r>
      <w:r w:rsidR="00913004">
        <w:t xml:space="preserve">: </w:t>
      </w:r>
      <w:r w:rsidRPr="008515C5">
        <w:t>Safety Action Development Process</w:t>
      </w:r>
      <w:bookmarkEnd w:id="40"/>
    </w:p>
    <w:p w:rsidR="00F22F79" w:rsidRDefault="008515C5" w:rsidP="00273DE7">
      <w:bookmarkStart w:id="42" w:name="_Toc163219682"/>
      <w:bookmarkEnd w:id="41"/>
      <w:r>
        <w:rPr>
          <w:noProof/>
        </w:rPr>
        <w:drawing>
          <wp:inline distT="0" distB="0" distL="0" distR="0" wp14:anchorId="677EA500" wp14:editId="41555EEF">
            <wp:extent cx="4667885" cy="6794500"/>
            <wp:effectExtent l="0" t="0" r="0" b="6350"/>
            <wp:docPr id="4" name="Picture 1" descr="Overview of safety action development process flowchart.&#10;&#10;Agree areas for improvement, Define context, Define safety actions to address areas for improvement, Prioritise safety actions, Define safety measures, Write safety actions, Monitor and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885" cy="6794500"/>
                    </a:xfrm>
                    <a:prstGeom prst="rect">
                      <a:avLst/>
                    </a:prstGeom>
                    <a:noFill/>
                    <a:ln>
                      <a:noFill/>
                    </a:ln>
                  </pic:spPr>
                </pic:pic>
              </a:graphicData>
            </a:graphic>
          </wp:inline>
        </w:drawing>
      </w:r>
      <w:bookmarkEnd w:id="42"/>
    </w:p>
    <w:p w:rsidR="00913004" w:rsidRPr="00913004" w:rsidRDefault="00913004" w:rsidP="00273DE7">
      <w:pPr>
        <w:sectPr w:rsidR="00913004" w:rsidRPr="00913004" w:rsidSect="00D93AB2">
          <w:footerReference w:type="default" r:id="rId20"/>
          <w:headerReference w:type="first" r:id="rId21"/>
          <w:footerReference w:type="first" r:id="rId22"/>
          <w:pgSz w:w="11906" w:h="16838" w:code="9"/>
          <w:pgMar w:top="1383" w:right="1134" w:bottom="1440" w:left="1276" w:header="697" w:footer="737" w:gutter="0"/>
          <w:cols w:space="708"/>
          <w:docGrid w:linePitch="360"/>
        </w:sectPr>
      </w:pPr>
      <w:r w:rsidRPr="00913004">
        <w:t>NHS England, Safety Action Development Guide, August 2022</w:t>
      </w:r>
    </w:p>
    <w:p w:rsidR="000C5297" w:rsidRDefault="008515C5" w:rsidP="000C5297">
      <w:pPr>
        <w:pStyle w:val="Policyheader"/>
        <w:numPr>
          <w:ilvl w:val="0"/>
          <w:numId w:val="0"/>
        </w:numPr>
      </w:pPr>
      <w:bookmarkStart w:id="43" w:name="_Hlk163218559"/>
      <w:bookmarkStart w:id="44" w:name="_Toc166674448"/>
      <w:bookmarkStart w:id="45" w:name="_Toc523986734"/>
      <w:bookmarkStart w:id="46" w:name="_Toc523989252"/>
      <w:r w:rsidRPr="008515C5">
        <w:lastRenderedPageBreak/>
        <w:t>Appendix 2</w:t>
      </w:r>
      <w:r w:rsidR="000C5297">
        <w:t>:</w:t>
      </w:r>
      <w:r w:rsidRPr="008515C5">
        <w:t xml:space="preserve"> Incident Response Decision Making Flowchart</w:t>
      </w:r>
      <w:bookmarkEnd w:id="43"/>
      <w:bookmarkEnd w:id="44"/>
    </w:p>
    <w:p w:rsidR="000C5297" w:rsidRDefault="000C5297" w:rsidP="00D00CD5">
      <w:pPr>
        <w:jc w:val="center"/>
      </w:pPr>
      <w:r w:rsidRPr="000C5297">
        <w:rPr>
          <w:noProof/>
        </w:rPr>
        <w:drawing>
          <wp:inline distT="0" distB="0" distL="0" distR="0" wp14:anchorId="57A78281" wp14:editId="51AECC09">
            <wp:extent cx="7789653" cy="5457873"/>
            <wp:effectExtent l="0" t="0" r="1905" b="0"/>
            <wp:docPr id="1537894467" name="Picture 1537894467" descr="Patient Safety Incident Response Decision Making Flowchart which outlines the process from a patient safety event being reported and the review process against the PSI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820374" cy="5479398"/>
                    </a:xfrm>
                    <a:prstGeom prst="rect">
                      <a:avLst/>
                    </a:prstGeom>
                  </pic:spPr>
                </pic:pic>
              </a:graphicData>
            </a:graphic>
          </wp:inline>
        </w:drawing>
      </w:r>
    </w:p>
    <w:p w:rsidR="00985622" w:rsidRDefault="007969D5" w:rsidP="00D27AF9">
      <w:pPr>
        <w:pStyle w:val="Policyheader"/>
        <w:numPr>
          <w:ilvl w:val="0"/>
          <w:numId w:val="0"/>
        </w:numPr>
      </w:pPr>
      <w:bookmarkStart w:id="47" w:name="_Toc166674449"/>
      <w:r w:rsidRPr="007969D5">
        <w:lastRenderedPageBreak/>
        <w:t xml:space="preserve">Appendix </w:t>
      </w:r>
      <w:r>
        <w:t>3</w:t>
      </w:r>
      <w:r w:rsidR="00273DE7">
        <w:t>:</w:t>
      </w:r>
      <w:r w:rsidRPr="007969D5">
        <w:t xml:space="preserve"> </w:t>
      </w:r>
      <w:r w:rsidR="00273DE7">
        <w:t>Quality Governance</w:t>
      </w:r>
      <w:r w:rsidR="00FB497A">
        <w:t xml:space="preserve"> Structure Chart</w:t>
      </w:r>
      <w:bookmarkEnd w:id="47"/>
    </w:p>
    <w:p w:rsidR="00F22F79" w:rsidRDefault="00F22F79" w:rsidP="002D1412">
      <w:pPr>
        <w:sectPr w:rsidR="00F22F79" w:rsidSect="00AE0C37">
          <w:pgSz w:w="16838" w:h="11906" w:orient="landscape" w:code="9"/>
          <w:pgMar w:top="1276" w:right="1383" w:bottom="1134" w:left="1440" w:header="697" w:footer="709" w:gutter="0"/>
          <w:cols w:space="708"/>
          <w:docGrid w:linePitch="360"/>
        </w:sectPr>
      </w:pPr>
      <w:r w:rsidRPr="00085E0F">
        <w:rPr>
          <w:noProof/>
        </w:rPr>
        <w:lastRenderedPageBreak/>
        <w:drawing>
          <wp:inline distT="0" distB="0" distL="0" distR="0" wp14:anchorId="5D325D81" wp14:editId="33231C8D">
            <wp:extent cx="7990840" cy="5615305"/>
            <wp:effectExtent l="0" t="0" r="0" b="4445"/>
            <wp:docPr id="1" name="Picture 1" descr="Structure chart for the teams reporting to the Deputy Director of Quality Governance.  These include the Quality Governance Business partners; Corporate Patient Safety and Corporate Quality Governance teams; Legal Services; Complaints, PALS and Bereavement; and Clinical 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7990840" cy="5615305"/>
                    </a:xfrm>
                    <a:prstGeom prst="rect">
                      <a:avLst/>
                    </a:prstGeom>
                  </pic:spPr>
                </pic:pic>
              </a:graphicData>
            </a:graphic>
          </wp:inline>
        </w:drawing>
      </w:r>
    </w:p>
    <w:p w:rsidR="003A26FA" w:rsidRPr="00273DE7" w:rsidRDefault="00901720" w:rsidP="00273DE7">
      <w:pPr>
        <w:pStyle w:val="Policyheader"/>
        <w:numPr>
          <w:ilvl w:val="0"/>
          <w:numId w:val="0"/>
        </w:numPr>
      </w:pPr>
      <w:bookmarkStart w:id="48" w:name="_Toc523986735"/>
      <w:bookmarkStart w:id="49" w:name="_Toc523989253"/>
      <w:bookmarkStart w:id="50" w:name="_Toc166674450"/>
      <w:bookmarkEnd w:id="45"/>
      <w:bookmarkEnd w:id="46"/>
      <w:r w:rsidRPr="00273DE7">
        <w:lastRenderedPageBreak/>
        <w:t>A</w:t>
      </w:r>
      <w:r w:rsidR="0022378C" w:rsidRPr="00273DE7">
        <w:t xml:space="preserve">ppendix </w:t>
      </w:r>
      <w:r w:rsidR="00FB497A" w:rsidRPr="00273DE7">
        <w:t>4</w:t>
      </w:r>
      <w:r w:rsidR="00273DE7" w:rsidRPr="00273DE7">
        <w:t xml:space="preserve">: </w:t>
      </w:r>
      <w:r w:rsidR="003A26FA" w:rsidRPr="00273DE7">
        <w:t xml:space="preserve">Equality </w:t>
      </w:r>
      <w:r w:rsidR="004805F3" w:rsidRPr="00273DE7">
        <w:t>Analysis</w:t>
      </w:r>
      <w:bookmarkEnd w:id="48"/>
      <w:bookmarkEnd w:id="49"/>
      <w:bookmarkEnd w:id="50"/>
    </w:p>
    <w:p w:rsidR="00FB769F" w:rsidRPr="00903F09" w:rsidRDefault="00BC6BD1" w:rsidP="00903F09">
      <w:pPr>
        <w:spacing w:after="120" w:line="300" w:lineRule="auto"/>
        <w:rPr>
          <w:rFonts w:eastAsia="Times New Roman" w:cs="Arial"/>
          <w:szCs w:val="24"/>
        </w:rPr>
      </w:pPr>
      <w:r w:rsidRPr="00903F09">
        <w:rPr>
          <w:rFonts w:eastAsia="Times New Roman" w:cs="Arial"/>
          <w:szCs w:val="24"/>
        </w:rPr>
        <w:t>An Equality Analysis not just about addressing discrimination or adverse impact; the policy should also positively promote equal opportunities, improved access, participation in public life and good relations.</w:t>
      </w:r>
    </w:p>
    <w:p w:rsidR="00BC6BD1" w:rsidRPr="00903F09" w:rsidRDefault="00BC6BD1" w:rsidP="00903F09">
      <w:pPr>
        <w:spacing w:after="120" w:line="300" w:lineRule="auto"/>
        <w:rPr>
          <w:rFonts w:cs="Arial"/>
          <w:b/>
          <w:szCs w:val="24"/>
        </w:rPr>
      </w:pPr>
      <w:r w:rsidRPr="00903F09">
        <w:rPr>
          <w:rFonts w:cs="Arial"/>
          <w:b/>
          <w:szCs w:val="24"/>
        </w:rPr>
        <w:t>Person completing the Analysis</w:t>
      </w:r>
    </w:p>
    <w:p w:rsidR="002C16FA" w:rsidRPr="00903F09" w:rsidRDefault="002C16FA" w:rsidP="00903F09">
      <w:pPr>
        <w:tabs>
          <w:tab w:val="left" w:pos="2835"/>
        </w:tabs>
        <w:spacing w:after="120" w:line="300" w:lineRule="auto"/>
        <w:rPr>
          <w:rFonts w:cs="Arial"/>
          <w:szCs w:val="24"/>
        </w:rPr>
      </w:pPr>
      <w:r w:rsidRPr="00903F09">
        <w:rPr>
          <w:rFonts w:cs="Arial"/>
          <w:szCs w:val="24"/>
        </w:rPr>
        <w:t xml:space="preserve">Job title: </w:t>
      </w:r>
      <w:r w:rsidR="00FD03DA" w:rsidRPr="00903F09">
        <w:rPr>
          <w:rFonts w:cs="Arial"/>
          <w:szCs w:val="24"/>
        </w:rPr>
        <w:t>Deputy Director of Quality Governance</w:t>
      </w:r>
      <w:r w:rsidRPr="00903F09">
        <w:rPr>
          <w:rFonts w:cs="Arial"/>
          <w:szCs w:val="24"/>
        </w:rPr>
        <w:tab/>
      </w:r>
    </w:p>
    <w:p w:rsidR="002C16FA" w:rsidRPr="00903F09" w:rsidRDefault="002C16FA" w:rsidP="00903F09">
      <w:pPr>
        <w:tabs>
          <w:tab w:val="left" w:pos="2835"/>
        </w:tabs>
        <w:spacing w:after="120" w:line="300" w:lineRule="auto"/>
        <w:rPr>
          <w:rFonts w:cs="Arial"/>
          <w:szCs w:val="24"/>
        </w:rPr>
      </w:pPr>
      <w:r w:rsidRPr="00903F09">
        <w:rPr>
          <w:rFonts w:cs="Arial"/>
          <w:szCs w:val="24"/>
        </w:rPr>
        <w:t>Care Group/Department:</w:t>
      </w:r>
      <w:r w:rsidR="00FD03DA" w:rsidRPr="00903F09">
        <w:rPr>
          <w:rFonts w:cs="Arial"/>
          <w:szCs w:val="24"/>
        </w:rPr>
        <w:t xml:space="preserve"> Quality Governance Directorate</w:t>
      </w:r>
      <w:r w:rsidRPr="00903F09">
        <w:rPr>
          <w:rFonts w:cs="Arial"/>
          <w:szCs w:val="24"/>
        </w:rPr>
        <w:tab/>
      </w:r>
    </w:p>
    <w:p w:rsidR="002C16FA" w:rsidRPr="00903F09" w:rsidRDefault="002C16FA" w:rsidP="00903F09">
      <w:pPr>
        <w:tabs>
          <w:tab w:val="left" w:pos="2835"/>
        </w:tabs>
        <w:spacing w:after="120" w:line="300" w:lineRule="auto"/>
        <w:rPr>
          <w:rFonts w:cs="Arial"/>
          <w:szCs w:val="24"/>
        </w:rPr>
      </w:pPr>
      <w:r w:rsidRPr="00903F09">
        <w:rPr>
          <w:rFonts w:cs="Arial"/>
          <w:szCs w:val="24"/>
        </w:rPr>
        <w:t>Date completed:</w:t>
      </w:r>
      <w:r w:rsidR="00FD03DA" w:rsidRPr="00903F09">
        <w:rPr>
          <w:rFonts w:cs="Arial"/>
          <w:szCs w:val="24"/>
        </w:rPr>
        <w:t xml:space="preserve"> </w:t>
      </w:r>
      <w:r w:rsidR="00913004" w:rsidRPr="00903F09">
        <w:rPr>
          <w:rFonts w:cs="Arial"/>
          <w:szCs w:val="24"/>
        </w:rPr>
        <w:t>0</w:t>
      </w:r>
      <w:r w:rsidR="00FD03DA" w:rsidRPr="00903F09">
        <w:rPr>
          <w:rFonts w:cs="Arial"/>
          <w:szCs w:val="24"/>
        </w:rPr>
        <w:t>5 April 2024</w:t>
      </w:r>
      <w:r w:rsidRPr="00903F09">
        <w:rPr>
          <w:rFonts w:cs="Arial"/>
          <w:szCs w:val="24"/>
        </w:rPr>
        <w:tab/>
      </w:r>
    </w:p>
    <w:p w:rsidR="002C16FA" w:rsidRPr="00903F09" w:rsidRDefault="002C16FA" w:rsidP="00903F09">
      <w:pPr>
        <w:spacing w:after="120" w:line="300" w:lineRule="auto"/>
        <w:rPr>
          <w:rFonts w:cs="Arial"/>
          <w:b/>
          <w:szCs w:val="24"/>
        </w:rPr>
      </w:pPr>
      <w:r w:rsidRPr="00903F09">
        <w:rPr>
          <w:rFonts w:cs="Arial"/>
          <w:b/>
          <w:szCs w:val="24"/>
        </w:rPr>
        <w:t>Who will be impacted by this policy</w:t>
      </w:r>
    </w:p>
    <w:p w:rsidR="002C16FA" w:rsidRPr="00903F09" w:rsidRDefault="002C16FA" w:rsidP="00903F09">
      <w:pPr>
        <w:tabs>
          <w:tab w:val="left" w:pos="2835"/>
        </w:tabs>
        <w:spacing w:after="120" w:line="300" w:lineRule="auto"/>
        <w:rPr>
          <w:rFonts w:eastAsia="Times New Roman" w:cs="Arial"/>
          <w:szCs w:val="24"/>
        </w:rPr>
      </w:pPr>
      <w:r w:rsidRPr="00903F09">
        <w:rPr>
          <w:rFonts w:eastAsia="Times New Roman" w:cs="Arial"/>
          <w:szCs w:val="24"/>
        </w:rPr>
        <w:t>[</w:t>
      </w:r>
      <w:r w:rsidR="0095550B" w:rsidRPr="00903F09">
        <w:rPr>
          <w:rFonts w:eastAsia="Times New Roman" w:cs="Arial"/>
          <w:szCs w:val="24"/>
        </w:rPr>
        <w:t>x]</w:t>
      </w:r>
      <w:r w:rsidRPr="00903F09">
        <w:rPr>
          <w:rFonts w:eastAsia="Times New Roman" w:cs="Arial"/>
          <w:szCs w:val="24"/>
        </w:rPr>
        <w:t xml:space="preserve"> Staff (Trust)</w:t>
      </w:r>
    </w:p>
    <w:p w:rsidR="002C16FA" w:rsidRPr="00903F09" w:rsidRDefault="002C16FA" w:rsidP="00903F09">
      <w:pPr>
        <w:tabs>
          <w:tab w:val="left" w:pos="2835"/>
        </w:tabs>
        <w:spacing w:after="120" w:line="300" w:lineRule="auto"/>
        <w:rPr>
          <w:rFonts w:eastAsia="Times New Roman" w:cs="Arial"/>
          <w:szCs w:val="24"/>
        </w:rPr>
      </w:pPr>
      <w:r w:rsidRPr="00903F09">
        <w:rPr>
          <w:rFonts w:eastAsia="Times New Roman" w:cs="Arial"/>
          <w:szCs w:val="24"/>
        </w:rPr>
        <w:t>[</w:t>
      </w:r>
      <w:r w:rsidR="0095550B" w:rsidRPr="00903F09">
        <w:rPr>
          <w:rFonts w:eastAsia="Times New Roman" w:cs="Arial"/>
          <w:szCs w:val="24"/>
        </w:rPr>
        <w:t>x]</w:t>
      </w:r>
      <w:r w:rsidRPr="00903F09">
        <w:rPr>
          <w:rFonts w:eastAsia="Times New Roman" w:cs="Arial"/>
          <w:szCs w:val="24"/>
        </w:rPr>
        <w:t xml:space="preserve"> Staff (Other)</w:t>
      </w:r>
    </w:p>
    <w:p w:rsidR="002C16FA" w:rsidRPr="00903F09" w:rsidRDefault="002C16FA" w:rsidP="00903F09">
      <w:pPr>
        <w:tabs>
          <w:tab w:val="left" w:pos="2835"/>
        </w:tabs>
        <w:spacing w:after="120" w:line="300" w:lineRule="auto"/>
        <w:rPr>
          <w:rFonts w:eastAsia="Times New Roman" w:cs="Arial"/>
          <w:szCs w:val="24"/>
        </w:rPr>
      </w:pPr>
      <w:r w:rsidRPr="00903F09">
        <w:rPr>
          <w:rFonts w:eastAsia="Times New Roman" w:cs="Arial"/>
          <w:szCs w:val="24"/>
        </w:rPr>
        <w:t>[</w:t>
      </w:r>
      <w:r w:rsidR="00FD03DA" w:rsidRPr="00903F09">
        <w:rPr>
          <w:rFonts w:eastAsia="Times New Roman" w:cs="Arial"/>
          <w:szCs w:val="24"/>
        </w:rPr>
        <w:t>x</w:t>
      </w:r>
      <w:r w:rsidRPr="00903F09">
        <w:rPr>
          <w:rFonts w:eastAsia="Times New Roman" w:cs="Arial"/>
          <w:szCs w:val="24"/>
        </w:rPr>
        <w:t>] Clients</w:t>
      </w:r>
    </w:p>
    <w:p w:rsidR="002C16FA" w:rsidRPr="00903F09" w:rsidRDefault="002C16FA" w:rsidP="00903F09">
      <w:pPr>
        <w:tabs>
          <w:tab w:val="left" w:pos="2835"/>
        </w:tabs>
        <w:spacing w:after="120" w:line="300" w:lineRule="auto"/>
        <w:rPr>
          <w:rFonts w:eastAsia="Times New Roman" w:cs="Arial"/>
          <w:szCs w:val="24"/>
        </w:rPr>
      </w:pPr>
      <w:r w:rsidRPr="00903F09">
        <w:rPr>
          <w:rFonts w:eastAsia="Times New Roman" w:cs="Arial"/>
          <w:szCs w:val="24"/>
        </w:rPr>
        <w:t>[</w:t>
      </w:r>
      <w:r w:rsidR="0095550B" w:rsidRPr="00903F09">
        <w:rPr>
          <w:rFonts w:eastAsia="Times New Roman" w:cs="Arial"/>
          <w:szCs w:val="24"/>
        </w:rPr>
        <w:t>x]</w:t>
      </w:r>
      <w:r w:rsidR="0071472D" w:rsidRPr="00903F09">
        <w:rPr>
          <w:rFonts w:eastAsia="Times New Roman" w:cs="Arial"/>
          <w:szCs w:val="24"/>
        </w:rPr>
        <w:t xml:space="preserve"> </w:t>
      </w:r>
      <w:r w:rsidRPr="00903F09">
        <w:rPr>
          <w:rFonts w:eastAsia="Times New Roman" w:cs="Arial"/>
          <w:szCs w:val="24"/>
        </w:rPr>
        <w:t xml:space="preserve">Carers </w:t>
      </w:r>
    </w:p>
    <w:p w:rsidR="002C16FA" w:rsidRPr="00903F09" w:rsidRDefault="002C16FA" w:rsidP="00903F09">
      <w:pPr>
        <w:tabs>
          <w:tab w:val="left" w:pos="2835"/>
        </w:tabs>
        <w:spacing w:after="120" w:line="300" w:lineRule="auto"/>
        <w:rPr>
          <w:rFonts w:eastAsia="Times New Roman" w:cs="Arial"/>
          <w:szCs w:val="24"/>
        </w:rPr>
      </w:pPr>
      <w:r w:rsidRPr="00903F09">
        <w:rPr>
          <w:rFonts w:eastAsia="Times New Roman" w:cs="Arial"/>
          <w:szCs w:val="24"/>
        </w:rPr>
        <w:t>[</w:t>
      </w:r>
      <w:r w:rsidR="0095550B" w:rsidRPr="00903F09">
        <w:rPr>
          <w:rFonts w:eastAsia="Times New Roman" w:cs="Arial"/>
          <w:szCs w:val="24"/>
        </w:rPr>
        <w:t>x]</w:t>
      </w:r>
      <w:r w:rsidRPr="00903F09">
        <w:rPr>
          <w:rFonts w:eastAsia="Times New Roman" w:cs="Arial"/>
          <w:szCs w:val="24"/>
        </w:rPr>
        <w:t xml:space="preserve"> Patients</w:t>
      </w:r>
    </w:p>
    <w:p w:rsidR="002C16FA" w:rsidRPr="00903F09" w:rsidRDefault="002C16FA" w:rsidP="00903F09">
      <w:pPr>
        <w:tabs>
          <w:tab w:val="left" w:pos="2835"/>
        </w:tabs>
        <w:spacing w:after="120" w:line="300" w:lineRule="auto"/>
        <w:rPr>
          <w:rFonts w:eastAsia="Times New Roman" w:cs="Arial"/>
          <w:szCs w:val="24"/>
        </w:rPr>
      </w:pPr>
      <w:r w:rsidRPr="00903F09">
        <w:rPr>
          <w:rFonts w:eastAsia="Times New Roman" w:cs="Arial"/>
          <w:szCs w:val="24"/>
        </w:rPr>
        <w:t>[</w:t>
      </w:r>
      <w:r w:rsidR="0095550B" w:rsidRPr="00903F09">
        <w:rPr>
          <w:rFonts w:eastAsia="Times New Roman" w:cs="Arial"/>
          <w:szCs w:val="24"/>
        </w:rPr>
        <w:t>x]</w:t>
      </w:r>
      <w:r w:rsidRPr="00903F09">
        <w:rPr>
          <w:rFonts w:eastAsia="Times New Roman" w:cs="Arial"/>
          <w:szCs w:val="24"/>
        </w:rPr>
        <w:t xml:space="preserve"> Relatives</w:t>
      </w:r>
    </w:p>
    <w:p w:rsidR="00DF2A36" w:rsidRPr="00903F09" w:rsidRDefault="00DF2A36" w:rsidP="00903F09">
      <w:pPr>
        <w:spacing w:after="120" w:line="300" w:lineRule="auto"/>
        <w:rPr>
          <w:rFonts w:cs="Arial"/>
          <w:b/>
          <w:szCs w:val="24"/>
        </w:rPr>
      </w:pPr>
      <w:r w:rsidRPr="00903F09">
        <w:rPr>
          <w:rFonts w:cs="Arial"/>
          <w:b/>
          <w:szCs w:val="24"/>
        </w:rPr>
        <w:t>Assess the impact of the policy on people with different protected characteristics</w:t>
      </w:r>
    </w:p>
    <w:p w:rsidR="002D7476" w:rsidRPr="00903F09" w:rsidRDefault="00DF2A36" w:rsidP="00903F09">
      <w:pPr>
        <w:spacing w:after="120" w:line="300" w:lineRule="auto"/>
        <w:rPr>
          <w:rFonts w:cs="Arial"/>
          <w:szCs w:val="24"/>
        </w:rPr>
      </w:pPr>
      <w:r w:rsidRPr="00903F09">
        <w:rPr>
          <w:rFonts w:cs="Arial"/>
          <w:szCs w:val="24"/>
        </w:rPr>
        <w:t>When assessing impact, make it clear who will be impacted within the protected characteristic category.  For example, it may have a positive impact on women but a neutral impact on men.</w:t>
      </w:r>
    </w:p>
    <w:tbl>
      <w:tblPr>
        <w:tblStyle w:val="TableGrid"/>
        <w:tblW w:w="0" w:type="auto"/>
        <w:tblLook w:val="0620" w:firstRow="1" w:lastRow="0" w:firstColumn="0" w:lastColumn="0" w:noHBand="1" w:noVBand="1"/>
      </w:tblPr>
      <w:tblGrid>
        <w:gridCol w:w="2327"/>
        <w:gridCol w:w="4607"/>
        <w:gridCol w:w="2552"/>
      </w:tblGrid>
      <w:tr w:rsidR="00FB769F" w:rsidRPr="00903F09" w:rsidTr="002D1412">
        <w:trPr>
          <w:trHeight w:val="20"/>
          <w:tblHeader/>
        </w:trPr>
        <w:tc>
          <w:tcPr>
            <w:tcW w:w="2547" w:type="dxa"/>
          </w:tcPr>
          <w:p w:rsidR="00FB769F" w:rsidRPr="00903F09" w:rsidRDefault="00FB769F" w:rsidP="00FB769F">
            <w:pPr>
              <w:rPr>
                <w:rFonts w:cs="Arial"/>
                <w:b/>
                <w:szCs w:val="24"/>
              </w:rPr>
            </w:pPr>
            <w:r w:rsidRPr="00903F09">
              <w:rPr>
                <w:rFonts w:cs="Arial"/>
                <w:b/>
                <w:szCs w:val="24"/>
              </w:rPr>
              <w:t>Protected characteristic</w:t>
            </w:r>
          </w:p>
        </w:tc>
        <w:tc>
          <w:tcPr>
            <w:tcW w:w="5386" w:type="dxa"/>
          </w:tcPr>
          <w:p w:rsidR="00FB769F" w:rsidRPr="00903F09" w:rsidRDefault="00FB769F" w:rsidP="001B5DE0">
            <w:pPr>
              <w:spacing w:after="60"/>
              <w:contextualSpacing/>
              <w:rPr>
                <w:rFonts w:cs="Arial"/>
                <w:b/>
                <w:szCs w:val="24"/>
              </w:rPr>
            </w:pPr>
            <w:r w:rsidRPr="00903F09">
              <w:rPr>
                <w:rFonts w:cs="Arial"/>
                <w:b/>
                <w:szCs w:val="24"/>
              </w:rPr>
              <w:t>Characteristic Group</w:t>
            </w:r>
          </w:p>
        </w:tc>
        <w:tc>
          <w:tcPr>
            <w:tcW w:w="1553" w:type="dxa"/>
          </w:tcPr>
          <w:p w:rsidR="00FB769F" w:rsidRPr="00903F09" w:rsidRDefault="00FB769F" w:rsidP="001B5DE0">
            <w:pPr>
              <w:spacing w:after="60"/>
              <w:contextualSpacing/>
              <w:rPr>
                <w:rFonts w:cs="Arial"/>
                <w:b/>
                <w:szCs w:val="24"/>
              </w:rPr>
            </w:pPr>
            <w:r w:rsidRPr="00903F09">
              <w:rPr>
                <w:rFonts w:cs="Arial"/>
                <w:b/>
                <w:szCs w:val="24"/>
              </w:rPr>
              <w:t>Impact of decision</w:t>
            </w:r>
          </w:p>
          <w:p w:rsidR="00FB769F" w:rsidRPr="00903F09" w:rsidRDefault="00FB769F" w:rsidP="001B5DE0">
            <w:pPr>
              <w:spacing w:after="60"/>
              <w:contextualSpacing/>
              <w:rPr>
                <w:rFonts w:cs="Arial"/>
                <w:szCs w:val="24"/>
              </w:rPr>
            </w:pPr>
            <w:r w:rsidRPr="00903F09">
              <w:rPr>
                <w:rFonts w:cs="Arial"/>
                <w:szCs w:val="24"/>
              </w:rPr>
              <w:t>Positive/Neutral/Negative</w:t>
            </w:r>
          </w:p>
        </w:tc>
      </w:tr>
      <w:tr w:rsidR="0027103C" w:rsidRPr="00903F09" w:rsidTr="002D1412">
        <w:trPr>
          <w:trHeight w:val="20"/>
        </w:trPr>
        <w:tc>
          <w:tcPr>
            <w:tcW w:w="2547" w:type="dxa"/>
          </w:tcPr>
          <w:p w:rsidR="0027103C" w:rsidRPr="00903F09" w:rsidRDefault="0027103C" w:rsidP="0027103C">
            <w:pPr>
              <w:spacing w:before="60" w:after="60"/>
              <w:rPr>
                <w:rFonts w:cs="Arial"/>
                <w:b/>
                <w:szCs w:val="24"/>
              </w:rPr>
            </w:pPr>
            <w:r w:rsidRPr="00903F09">
              <w:rPr>
                <w:rFonts w:cs="Arial"/>
                <w:b/>
                <w:szCs w:val="24"/>
              </w:rPr>
              <w:t>Age</w:t>
            </w:r>
          </w:p>
        </w:tc>
        <w:tc>
          <w:tcPr>
            <w:tcW w:w="5386" w:type="dxa"/>
          </w:tcPr>
          <w:p w:rsidR="0027103C" w:rsidRPr="00903F09" w:rsidRDefault="0027103C" w:rsidP="0027103C">
            <w:pPr>
              <w:spacing w:before="60" w:after="60"/>
              <w:rPr>
                <w:rFonts w:cs="Arial"/>
                <w:szCs w:val="24"/>
              </w:rPr>
            </w:pPr>
            <w:r w:rsidRPr="00903F09">
              <w:rPr>
                <w:rFonts w:cs="Arial"/>
                <w:szCs w:val="24"/>
              </w:rPr>
              <w:t>Older people are more likely to be affected by a patient safety incident, due to the profile of patients in the Trust’s care.  Having a robust policy and process, with inclusive involvement will benefit older patients.  Consideration needs to be given the parents of children and young people affected by a Patient Safety incident.</w:t>
            </w:r>
          </w:p>
        </w:tc>
        <w:tc>
          <w:tcPr>
            <w:tcW w:w="1553" w:type="dxa"/>
          </w:tcPr>
          <w:p w:rsidR="0027103C" w:rsidRPr="00903F09" w:rsidRDefault="0027103C" w:rsidP="0027103C">
            <w:pPr>
              <w:spacing w:before="60" w:after="60"/>
              <w:rPr>
                <w:rFonts w:cs="Arial"/>
                <w:szCs w:val="24"/>
              </w:rPr>
            </w:pPr>
            <w:r w:rsidRPr="00903F09">
              <w:rPr>
                <w:rFonts w:cs="Arial"/>
                <w:szCs w:val="24"/>
              </w:rPr>
              <w:t>Positive</w:t>
            </w:r>
          </w:p>
        </w:tc>
      </w:tr>
      <w:tr w:rsidR="0027103C" w:rsidRPr="00903F09" w:rsidTr="002D1412">
        <w:trPr>
          <w:trHeight w:val="20"/>
        </w:trPr>
        <w:tc>
          <w:tcPr>
            <w:tcW w:w="2547" w:type="dxa"/>
          </w:tcPr>
          <w:p w:rsidR="0027103C" w:rsidRPr="00903F09" w:rsidRDefault="0027103C" w:rsidP="0027103C">
            <w:pPr>
              <w:spacing w:before="60" w:after="60"/>
              <w:rPr>
                <w:rFonts w:cs="Arial"/>
                <w:b/>
                <w:szCs w:val="24"/>
              </w:rPr>
            </w:pPr>
            <w:r w:rsidRPr="00903F09">
              <w:rPr>
                <w:rFonts w:cs="Arial"/>
                <w:b/>
                <w:szCs w:val="24"/>
              </w:rPr>
              <w:t>Disability</w:t>
            </w:r>
          </w:p>
        </w:tc>
        <w:tc>
          <w:tcPr>
            <w:tcW w:w="5386" w:type="dxa"/>
          </w:tcPr>
          <w:p w:rsidR="0027103C" w:rsidRPr="00903F09" w:rsidRDefault="0027103C" w:rsidP="0027103C">
            <w:pPr>
              <w:spacing w:before="60" w:after="60"/>
              <w:rPr>
                <w:rFonts w:cs="Arial"/>
                <w:szCs w:val="24"/>
              </w:rPr>
            </w:pPr>
            <w:r w:rsidRPr="00903F09">
              <w:rPr>
                <w:rFonts w:cs="Arial"/>
                <w:szCs w:val="24"/>
              </w:rPr>
              <w:t>Disabled people (as defined by the Equality Act 2010). are more likely to be affected by a patient safety incident, due to the profile of patients in the Trust’s care.  Having a robust policy and process, with inclusive involvement will benefit</w:t>
            </w:r>
            <w:r w:rsidRPr="00903F09" w:rsidDel="008F2665">
              <w:rPr>
                <w:rFonts w:cs="Arial"/>
                <w:szCs w:val="24"/>
              </w:rPr>
              <w:t xml:space="preserve"> </w:t>
            </w:r>
            <w:r w:rsidRPr="00903F09">
              <w:rPr>
                <w:rFonts w:cs="Arial"/>
                <w:szCs w:val="24"/>
              </w:rPr>
              <w:t>disabled people, including people with learning disabilities and autism, people with dementia, and people with long-term health conditions</w:t>
            </w:r>
          </w:p>
        </w:tc>
        <w:tc>
          <w:tcPr>
            <w:tcW w:w="1553" w:type="dxa"/>
          </w:tcPr>
          <w:p w:rsidR="0027103C" w:rsidRPr="00903F09" w:rsidRDefault="0027103C" w:rsidP="0027103C">
            <w:pPr>
              <w:spacing w:before="60" w:after="60"/>
              <w:rPr>
                <w:rFonts w:cs="Arial"/>
                <w:szCs w:val="24"/>
              </w:rPr>
            </w:pPr>
            <w:r w:rsidRPr="00903F09">
              <w:rPr>
                <w:rFonts w:cs="Arial"/>
                <w:szCs w:val="24"/>
              </w:rPr>
              <w:t>Positive</w:t>
            </w:r>
          </w:p>
        </w:tc>
      </w:tr>
      <w:tr w:rsidR="0027103C" w:rsidRPr="00903F09" w:rsidTr="002D1412">
        <w:trPr>
          <w:trHeight w:val="20"/>
        </w:trPr>
        <w:tc>
          <w:tcPr>
            <w:tcW w:w="2547" w:type="dxa"/>
          </w:tcPr>
          <w:p w:rsidR="0027103C" w:rsidRPr="00903F09" w:rsidRDefault="0027103C" w:rsidP="0027103C">
            <w:pPr>
              <w:spacing w:before="60" w:after="60"/>
              <w:rPr>
                <w:rFonts w:cs="Arial"/>
                <w:b/>
                <w:szCs w:val="24"/>
              </w:rPr>
            </w:pPr>
            <w:r w:rsidRPr="00903F09">
              <w:rPr>
                <w:rFonts w:cs="Arial"/>
                <w:b/>
                <w:szCs w:val="24"/>
              </w:rPr>
              <w:t>Gender reassignment</w:t>
            </w:r>
          </w:p>
        </w:tc>
        <w:tc>
          <w:tcPr>
            <w:tcW w:w="5386" w:type="dxa"/>
          </w:tcPr>
          <w:p w:rsidR="0027103C" w:rsidRPr="00903F09" w:rsidRDefault="0027103C" w:rsidP="0027103C">
            <w:pPr>
              <w:spacing w:before="60" w:after="60"/>
              <w:rPr>
                <w:rFonts w:cs="Arial"/>
                <w:szCs w:val="24"/>
              </w:rPr>
            </w:pPr>
            <w:r w:rsidRPr="00903F09">
              <w:rPr>
                <w:rFonts w:cs="Arial"/>
                <w:szCs w:val="24"/>
              </w:rPr>
              <w:t xml:space="preserve">Research shows that transgender people risk significant harm given the number of </w:t>
            </w:r>
            <w:r w:rsidRPr="00903F09">
              <w:rPr>
                <w:rFonts w:cs="Arial"/>
                <w:szCs w:val="24"/>
              </w:rPr>
              <w:lastRenderedPageBreak/>
              <w:t>transpeople who opt to free birth.  Providing a safe and inclusive care environment for transgender people will improve patient safety.</w:t>
            </w:r>
          </w:p>
        </w:tc>
        <w:tc>
          <w:tcPr>
            <w:tcW w:w="1553" w:type="dxa"/>
          </w:tcPr>
          <w:p w:rsidR="0027103C" w:rsidRPr="00903F09" w:rsidRDefault="0027103C" w:rsidP="0027103C">
            <w:pPr>
              <w:spacing w:before="60" w:after="60"/>
              <w:rPr>
                <w:rFonts w:cs="Arial"/>
                <w:szCs w:val="24"/>
              </w:rPr>
            </w:pPr>
            <w:r w:rsidRPr="00903F09">
              <w:rPr>
                <w:rFonts w:cs="Arial"/>
                <w:szCs w:val="24"/>
              </w:rPr>
              <w:lastRenderedPageBreak/>
              <w:t>Positive</w:t>
            </w:r>
          </w:p>
        </w:tc>
      </w:tr>
      <w:tr w:rsidR="0027103C" w:rsidRPr="00903F09" w:rsidTr="002D1412">
        <w:trPr>
          <w:trHeight w:val="20"/>
        </w:trPr>
        <w:tc>
          <w:tcPr>
            <w:tcW w:w="2547" w:type="dxa"/>
          </w:tcPr>
          <w:p w:rsidR="0027103C" w:rsidRPr="00903F09" w:rsidRDefault="0027103C" w:rsidP="0027103C">
            <w:pPr>
              <w:spacing w:before="60" w:after="60"/>
              <w:rPr>
                <w:rFonts w:cs="Arial"/>
                <w:b/>
                <w:szCs w:val="24"/>
              </w:rPr>
            </w:pPr>
            <w:r w:rsidRPr="00903F09">
              <w:rPr>
                <w:rFonts w:cs="Arial"/>
                <w:b/>
                <w:szCs w:val="24"/>
              </w:rPr>
              <w:t>Marriage and civil partnership</w:t>
            </w:r>
          </w:p>
        </w:tc>
        <w:tc>
          <w:tcPr>
            <w:tcW w:w="5386" w:type="dxa"/>
          </w:tcPr>
          <w:p w:rsidR="0027103C" w:rsidRPr="00903F09" w:rsidRDefault="0027103C" w:rsidP="0027103C">
            <w:pPr>
              <w:spacing w:before="60" w:after="60"/>
              <w:rPr>
                <w:rFonts w:cs="Arial"/>
                <w:szCs w:val="24"/>
              </w:rPr>
            </w:pPr>
            <w:r w:rsidRPr="00903F09">
              <w:rPr>
                <w:rFonts w:cs="Arial"/>
                <w:szCs w:val="24"/>
              </w:rPr>
              <w:t>All</w:t>
            </w:r>
          </w:p>
        </w:tc>
        <w:tc>
          <w:tcPr>
            <w:tcW w:w="1553" w:type="dxa"/>
          </w:tcPr>
          <w:p w:rsidR="0027103C" w:rsidRPr="00903F09" w:rsidRDefault="0027103C" w:rsidP="0027103C">
            <w:pPr>
              <w:spacing w:before="60" w:after="60"/>
              <w:rPr>
                <w:rFonts w:cs="Arial"/>
                <w:szCs w:val="24"/>
              </w:rPr>
            </w:pPr>
            <w:r w:rsidRPr="00903F09">
              <w:rPr>
                <w:rFonts w:cs="Arial"/>
                <w:szCs w:val="24"/>
              </w:rPr>
              <w:t>Neutral</w:t>
            </w:r>
          </w:p>
        </w:tc>
      </w:tr>
      <w:tr w:rsidR="0027103C" w:rsidRPr="00903F09" w:rsidTr="002D1412">
        <w:trPr>
          <w:trHeight w:val="20"/>
        </w:trPr>
        <w:tc>
          <w:tcPr>
            <w:tcW w:w="2547" w:type="dxa"/>
          </w:tcPr>
          <w:p w:rsidR="0027103C" w:rsidRPr="00903F09" w:rsidRDefault="0027103C" w:rsidP="0027103C">
            <w:pPr>
              <w:spacing w:before="60" w:after="60"/>
              <w:rPr>
                <w:rFonts w:cs="Arial"/>
                <w:b/>
                <w:szCs w:val="24"/>
              </w:rPr>
            </w:pPr>
            <w:r w:rsidRPr="00903F09">
              <w:rPr>
                <w:rFonts w:cs="Arial"/>
                <w:b/>
                <w:szCs w:val="24"/>
              </w:rPr>
              <w:t>Pregnancy and maternity</w:t>
            </w:r>
          </w:p>
        </w:tc>
        <w:tc>
          <w:tcPr>
            <w:tcW w:w="5386" w:type="dxa"/>
          </w:tcPr>
          <w:p w:rsidR="0027103C" w:rsidRPr="00903F09" w:rsidRDefault="0027103C" w:rsidP="0027103C">
            <w:pPr>
              <w:spacing w:before="60" w:after="60"/>
              <w:rPr>
                <w:rFonts w:cs="Arial"/>
                <w:szCs w:val="24"/>
              </w:rPr>
            </w:pPr>
            <w:r w:rsidRPr="00903F09">
              <w:rPr>
                <w:rFonts w:cs="Arial"/>
                <w:szCs w:val="24"/>
              </w:rPr>
              <w:t>Women who are Black, Asian or other White are more likely to experience harm and more likely to lose a baby whilst pregnant or after birth.  Improving the management and learning from patient safety incidents related to Maternity will be part of improving outcomes for all women.</w:t>
            </w:r>
          </w:p>
        </w:tc>
        <w:tc>
          <w:tcPr>
            <w:tcW w:w="1553" w:type="dxa"/>
          </w:tcPr>
          <w:p w:rsidR="0027103C" w:rsidRPr="00903F09" w:rsidRDefault="0027103C" w:rsidP="0027103C">
            <w:pPr>
              <w:spacing w:before="60" w:after="60"/>
              <w:rPr>
                <w:rFonts w:cs="Arial"/>
                <w:szCs w:val="24"/>
              </w:rPr>
            </w:pPr>
            <w:r w:rsidRPr="00903F09">
              <w:rPr>
                <w:rFonts w:cs="Arial"/>
                <w:szCs w:val="24"/>
              </w:rPr>
              <w:t>Positive</w:t>
            </w:r>
          </w:p>
        </w:tc>
      </w:tr>
      <w:tr w:rsidR="0027103C" w:rsidRPr="00903F09" w:rsidTr="002D1412">
        <w:trPr>
          <w:trHeight w:val="20"/>
        </w:trPr>
        <w:tc>
          <w:tcPr>
            <w:tcW w:w="2547" w:type="dxa"/>
          </w:tcPr>
          <w:p w:rsidR="0027103C" w:rsidRPr="00903F09" w:rsidRDefault="0027103C" w:rsidP="0027103C">
            <w:pPr>
              <w:spacing w:before="60" w:after="60"/>
              <w:rPr>
                <w:rFonts w:cs="Arial"/>
                <w:b/>
                <w:szCs w:val="24"/>
              </w:rPr>
            </w:pPr>
            <w:r w:rsidRPr="00903F09">
              <w:rPr>
                <w:rFonts w:cs="Arial"/>
                <w:b/>
                <w:szCs w:val="24"/>
              </w:rPr>
              <w:t>Race</w:t>
            </w:r>
          </w:p>
        </w:tc>
        <w:tc>
          <w:tcPr>
            <w:tcW w:w="5386" w:type="dxa"/>
          </w:tcPr>
          <w:p w:rsidR="0027103C" w:rsidRPr="00903F09" w:rsidRDefault="0027103C" w:rsidP="0027103C">
            <w:pPr>
              <w:spacing w:before="60" w:after="60"/>
              <w:rPr>
                <w:rFonts w:cs="Arial"/>
                <w:szCs w:val="24"/>
              </w:rPr>
            </w:pPr>
            <w:r w:rsidRPr="00903F09">
              <w:rPr>
                <w:rFonts w:cs="Arial"/>
                <w:szCs w:val="24"/>
              </w:rPr>
              <w:t>Women who are Black, Asian or other White are more likely to experience harm and more likely to lose a baby whilst pregnant or after birth.  Improving the management and learning from patient safety incidents related to Maternity will be part of improving outcomes for all women</w:t>
            </w:r>
          </w:p>
        </w:tc>
        <w:tc>
          <w:tcPr>
            <w:tcW w:w="1553" w:type="dxa"/>
          </w:tcPr>
          <w:p w:rsidR="0027103C" w:rsidRPr="00903F09" w:rsidRDefault="0027103C" w:rsidP="0027103C">
            <w:pPr>
              <w:spacing w:before="60" w:after="60"/>
              <w:rPr>
                <w:rFonts w:cs="Arial"/>
                <w:szCs w:val="24"/>
              </w:rPr>
            </w:pPr>
            <w:r w:rsidRPr="00903F09">
              <w:rPr>
                <w:rFonts w:cs="Arial"/>
                <w:szCs w:val="24"/>
              </w:rPr>
              <w:t>Positive</w:t>
            </w:r>
          </w:p>
        </w:tc>
      </w:tr>
      <w:tr w:rsidR="0027103C" w:rsidRPr="00903F09" w:rsidTr="002D1412">
        <w:trPr>
          <w:trHeight w:val="20"/>
        </w:trPr>
        <w:tc>
          <w:tcPr>
            <w:tcW w:w="2547" w:type="dxa"/>
          </w:tcPr>
          <w:p w:rsidR="0027103C" w:rsidRPr="00903F09" w:rsidRDefault="0027103C" w:rsidP="0027103C">
            <w:pPr>
              <w:spacing w:before="60" w:after="60"/>
              <w:rPr>
                <w:rFonts w:cs="Arial"/>
                <w:b/>
                <w:szCs w:val="24"/>
              </w:rPr>
            </w:pPr>
            <w:r w:rsidRPr="00903F09">
              <w:rPr>
                <w:rFonts w:cs="Arial"/>
                <w:b/>
                <w:szCs w:val="24"/>
              </w:rPr>
              <w:t>Religion or belief</w:t>
            </w:r>
          </w:p>
        </w:tc>
        <w:tc>
          <w:tcPr>
            <w:tcW w:w="5386" w:type="dxa"/>
          </w:tcPr>
          <w:p w:rsidR="0027103C" w:rsidRPr="00903F09" w:rsidRDefault="0027103C" w:rsidP="0027103C">
            <w:pPr>
              <w:spacing w:before="60" w:after="60"/>
              <w:rPr>
                <w:rFonts w:cs="Arial"/>
                <w:szCs w:val="24"/>
              </w:rPr>
            </w:pPr>
            <w:r w:rsidRPr="00903F09">
              <w:rPr>
                <w:rFonts w:cs="Arial"/>
                <w:szCs w:val="24"/>
              </w:rPr>
              <w:t>All</w:t>
            </w:r>
          </w:p>
        </w:tc>
        <w:tc>
          <w:tcPr>
            <w:tcW w:w="1553" w:type="dxa"/>
          </w:tcPr>
          <w:p w:rsidR="0027103C" w:rsidRPr="00903F09" w:rsidRDefault="0027103C" w:rsidP="0027103C">
            <w:pPr>
              <w:spacing w:before="60" w:after="60"/>
              <w:rPr>
                <w:rFonts w:cs="Arial"/>
                <w:szCs w:val="24"/>
              </w:rPr>
            </w:pPr>
            <w:r w:rsidRPr="00903F09">
              <w:rPr>
                <w:rFonts w:cs="Arial"/>
                <w:szCs w:val="24"/>
              </w:rPr>
              <w:t xml:space="preserve">Neutral </w:t>
            </w:r>
          </w:p>
        </w:tc>
      </w:tr>
      <w:tr w:rsidR="0027103C" w:rsidRPr="00903F09" w:rsidTr="002D1412">
        <w:trPr>
          <w:trHeight w:val="20"/>
        </w:trPr>
        <w:tc>
          <w:tcPr>
            <w:tcW w:w="2547" w:type="dxa"/>
          </w:tcPr>
          <w:p w:rsidR="0027103C" w:rsidRPr="00903F09" w:rsidRDefault="0027103C" w:rsidP="0027103C">
            <w:pPr>
              <w:spacing w:before="60" w:after="60"/>
              <w:rPr>
                <w:rFonts w:cs="Arial"/>
                <w:b/>
                <w:szCs w:val="24"/>
              </w:rPr>
            </w:pPr>
            <w:r w:rsidRPr="00903F09">
              <w:rPr>
                <w:rFonts w:cs="Arial"/>
                <w:b/>
                <w:szCs w:val="24"/>
              </w:rPr>
              <w:t>Sex</w:t>
            </w:r>
          </w:p>
        </w:tc>
        <w:tc>
          <w:tcPr>
            <w:tcW w:w="5386" w:type="dxa"/>
          </w:tcPr>
          <w:p w:rsidR="0027103C" w:rsidRPr="00903F09" w:rsidRDefault="0027103C" w:rsidP="0027103C">
            <w:pPr>
              <w:spacing w:before="60" w:after="60"/>
              <w:rPr>
                <w:rFonts w:cs="Arial"/>
                <w:szCs w:val="24"/>
              </w:rPr>
            </w:pPr>
            <w:r w:rsidRPr="00903F09">
              <w:rPr>
                <w:rFonts w:cs="Arial"/>
                <w:szCs w:val="24"/>
              </w:rPr>
              <w:t>All</w:t>
            </w:r>
          </w:p>
        </w:tc>
        <w:tc>
          <w:tcPr>
            <w:tcW w:w="1553" w:type="dxa"/>
          </w:tcPr>
          <w:p w:rsidR="0027103C" w:rsidRPr="00903F09" w:rsidRDefault="0027103C" w:rsidP="0027103C">
            <w:pPr>
              <w:spacing w:before="60" w:after="60"/>
              <w:rPr>
                <w:rFonts w:cs="Arial"/>
                <w:szCs w:val="24"/>
              </w:rPr>
            </w:pPr>
            <w:r w:rsidRPr="00903F09">
              <w:rPr>
                <w:rFonts w:cs="Arial"/>
                <w:szCs w:val="24"/>
              </w:rPr>
              <w:t xml:space="preserve">Neutral </w:t>
            </w:r>
          </w:p>
        </w:tc>
      </w:tr>
      <w:tr w:rsidR="0027103C" w:rsidRPr="00903F09" w:rsidTr="002D1412">
        <w:trPr>
          <w:trHeight w:val="76"/>
        </w:trPr>
        <w:tc>
          <w:tcPr>
            <w:tcW w:w="2547" w:type="dxa"/>
          </w:tcPr>
          <w:p w:rsidR="0027103C" w:rsidRPr="00903F09" w:rsidRDefault="0027103C" w:rsidP="0027103C">
            <w:pPr>
              <w:spacing w:before="60" w:after="60"/>
              <w:rPr>
                <w:rFonts w:cs="Arial"/>
                <w:b/>
                <w:szCs w:val="24"/>
              </w:rPr>
            </w:pPr>
            <w:r w:rsidRPr="00903F09">
              <w:rPr>
                <w:rFonts w:cs="Arial"/>
                <w:b/>
                <w:szCs w:val="24"/>
              </w:rPr>
              <w:t>Sexual orientation</w:t>
            </w:r>
          </w:p>
        </w:tc>
        <w:tc>
          <w:tcPr>
            <w:tcW w:w="5386" w:type="dxa"/>
          </w:tcPr>
          <w:p w:rsidR="0027103C" w:rsidRPr="00903F09" w:rsidRDefault="0027103C" w:rsidP="0027103C">
            <w:pPr>
              <w:spacing w:before="60" w:after="60"/>
              <w:rPr>
                <w:rFonts w:cs="Arial"/>
                <w:szCs w:val="24"/>
              </w:rPr>
            </w:pPr>
            <w:r w:rsidRPr="00903F09">
              <w:rPr>
                <w:rFonts w:cs="Arial"/>
                <w:szCs w:val="24"/>
              </w:rPr>
              <w:t>LGBTQIA+ people experience discrimination when using healthcare services and therefore may be less likely to access services or to raise a concern when there is an incident.  Having inclusive practice and inclusive</w:t>
            </w:r>
          </w:p>
        </w:tc>
        <w:tc>
          <w:tcPr>
            <w:tcW w:w="1553" w:type="dxa"/>
          </w:tcPr>
          <w:p w:rsidR="0027103C" w:rsidRPr="00903F09" w:rsidRDefault="0027103C" w:rsidP="0027103C">
            <w:pPr>
              <w:spacing w:before="60" w:after="60"/>
              <w:rPr>
                <w:rFonts w:cs="Arial"/>
                <w:szCs w:val="24"/>
              </w:rPr>
            </w:pPr>
            <w:r w:rsidRPr="00903F09">
              <w:rPr>
                <w:rFonts w:cs="Arial"/>
                <w:szCs w:val="24"/>
              </w:rPr>
              <w:t>Positive</w:t>
            </w:r>
          </w:p>
        </w:tc>
      </w:tr>
    </w:tbl>
    <w:p w:rsidR="00FB769F" w:rsidRPr="00903F09" w:rsidRDefault="00FB769F" w:rsidP="00FB769F">
      <w:pPr>
        <w:rPr>
          <w:rFonts w:cs="Arial"/>
          <w:szCs w:val="24"/>
        </w:rPr>
      </w:pPr>
    </w:p>
    <w:p w:rsidR="002D7476" w:rsidRPr="00903F09" w:rsidRDefault="00DF2A36" w:rsidP="00903F09">
      <w:pPr>
        <w:spacing w:after="120" w:line="300" w:lineRule="auto"/>
      </w:pPr>
      <w:r w:rsidRPr="00903F09">
        <w:t xml:space="preserve">If there is insufficient evidence to </w:t>
      </w:r>
      <w:r w:rsidR="0095550B" w:rsidRPr="00903F09">
        <w:t>decide</w:t>
      </w:r>
      <w:r w:rsidRPr="00903F09">
        <w:t xml:space="preserve"> about the impact of the policy it may be necessary to consult with members of protected characteristic groups to establish how best to meet their needs or to overcome barriers.</w:t>
      </w:r>
    </w:p>
    <w:p w:rsidR="00CC054B" w:rsidRPr="00903F09" w:rsidRDefault="00CC054B" w:rsidP="00903F09">
      <w:pPr>
        <w:spacing w:after="120" w:line="300" w:lineRule="auto"/>
        <w:rPr>
          <w:rFonts w:cs="Arial"/>
          <w:b/>
          <w:szCs w:val="24"/>
        </w:rPr>
      </w:pPr>
      <w:r w:rsidRPr="00903F09">
        <w:rPr>
          <w:rFonts w:cs="Arial"/>
          <w:b/>
          <w:szCs w:val="24"/>
        </w:rPr>
        <w:t>Has there been specific consultation on this policy?</w:t>
      </w:r>
    </w:p>
    <w:p w:rsidR="002D7476" w:rsidRPr="00903F09" w:rsidRDefault="00FD03DA" w:rsidP="00903F09">
      <w:pPr>
        <w:spacing w:after="120" w:line="300" w:lineRule="auto"/>
        <w:rPr>
          <w:rFonts w:cs="Arial"/>
          <w:szCs w:val="24"/>
        </w:rPr>
      </w:pPr>
      <w:r w:rsidRPr="00903F09">
        <w:rPr>
          <w:rFonts w:cs="Arial"/>
          <w:szCs w:val="24"/>
        </w:rPr>
        <w:t>N/A</w:t>
      </w:r>
    </w:p>
    <w:p w:rsidR="00CC054B" w:rsidRPr="00903F09" w:rsidRDefault="00CC054B" w:rsidP="00903F09">
      <w:pPr>
        <w:spacing w:after="120" w:line="300" w:lineRule="auto"/>
        <w:rPr>
          <w:rFonts w:cs="Arial"/>
          <w:b/>
          <w:szCs w:val="24"/>
        </w:rPr>
      </w:pPr>
      <w:r w:rsidRPr="00903F09">
        <w:rPr>
          <w:rFonts w:cs="Arial"/>
          <w:b/>
          <w:szCs w:val="24"/>
        </w:rPr>
        <w:t>Did the consultation analysis reveal any difference in views across the protected characteristics?</w:t>
      </w:r>
    </w:p>
    <w:p w:rsidR="002D7476" w:rsidRPr="00903F09" w:rsidRDefault="00FD03DA" w:rsidP="00903F09">
      <w:pPr>
        <w:spacing w:after="120" w:line="300" w:lineRule="auto"/>
        <w:rPr>
          <w:rFonts w:cs="Arial"/>
          <w:szCs w:val="24"/>
        </w:rPr>
      </w:pPr>
      <w:r w:rsidRPr="00903F09">
        <w:rPr>
          <w:rFonts w:cs="Arial"/>
          <w:szCs w:val="24"/>
        </w:rPr>
        <w:t>No</w:t>
      </w:r>
    </w:p>
    <w:p w:rsidR="00CC054B" w:rsidRPr="00903F09" w:rsidRDefault="00CC054B" w:rsidP="00903F09">
      <w:pPr>
        <w:spacing w:after="120" w:line="300" w:lineRule="auto"/>
        <w:rPr>
          <w:rFonts w:cs="Arial"/>
          <w:b/>
          <w:szCs w:val="24"/>
        </w:rPr>
      </w:pPr>
      <w:r w:rsidRPr="00903F09">
        <w:rPr>
          <w:rFonts w:cs="Arial"/>
          <w:b/>
          <w:szCs w:val="24"/>
        </w:rPr>
        <w:t>Mitigating negative impact:</w:t>
      </w:r>
    </w:p>
    <w:p w:rsidR="00CC054B" w:rsidRPr="00903F09" w:rsidRDefault="002C16FA" w:rsidP="00903F09">
      <w:pPr>
        <w:spacing w:after="120" w:line="300" w:lineRule="auto"/>
        <w:rPr>
          <w:rFonts w:cs="Arial"/>
          <w:szCs w:val="24"/>
        </w:rPr>
      </w:pPr>
      <w:r w:rsidRPr="00903F09">
        <w:rPr>
          <w:rFonts w:cs="Arial"/>
          <w:szCs w:val="24"/>
        </w:rPr>
        <w:t>(</w:t>
      </w:r>
      <w:r w:rsidR="00CC054B" w:rsidRPr="00903F09">
        <w:rPr>
          <w:rFonts w:cs="Arial"/>
          <w:szCs w:val="24"/>
        </w:rPr>
        <w:t xml:space="preserve">Where any negative </w:t>
      </w:r>
      <w:r w:rsidR="00CC054B" w:rsidRPr="00903F09">
        <w:t>impact</w:t>
      </w:r>
      <w:r w:rsidR="00CC054B" w:rsidRPr="00903F09">
        <w:rPr>
          <w:rFonts w:cs="Arial"/>
          <w:szCs w:val="24"/>
        </w:rPr>
        <w:t xml:space="preserve"> has been identified, outline the measures taken to mitigate against it.</w:t>
      </w:r>
      <w:r w:rsidRPr="00903F09">
        <w:rPr>
          <w:rFonts w:cs="Arial"/>
          <w:szCs w:val="24"/>
        </w:rPr>
        <w:t>)</w:t>
      </w:r>
    </w:p>
    <w:p w:rsidR="002D7476" w:rsidRPr="00903F09" w:rsidRDefault="00FD03DA" w:rsidP="00903F09">
      <w:pPr>
        <w:spacing w:after="120" w:line="300" w:lineRule="auto"/>
        <w:rPr>
          <w:rFonts w:cs="Arial"/>
          <w:szCs w:val="24"/>
        </w:rPr>
      </w:pPr>
      <w:r w:rsidRPr="00903F09">
        <w:rPr>
          <w:rFonts w:cs="Arial"/>
          <w:szCs w:val="24"/>
        </w:rPr>
        <w:t>None</w:t>
      </w:r>
    </w:p>
    <w:p w:rsidR="001E6B21" w:rsidRPr="00903F09" w:rsidRDefault="001E6B21" w:rsidP="00903F09">
      <w:pPr>
        <w:spacing w:after="120" w:line="300" w:lineRule="auto"/>
        <w:rPr>
          <w:rFonts w:cs="Arial"/>
          <w:b/>
          <w:szCs w:val="24"/>
        </w:rPr>
      </w:pPr>
      <w:r w:rsidRPr="00903F09">
        <w:rPr>
          <w:rFonts w:cs="Arial"/>
          <w:b/>
          <w:szCs w:val="24"/>
        </w:rPr>
        <w:t>Conclusion:</w:t>
      </w:r>
    </w:p>
    <w:p w:rsidR="001E6B21" w:rsidRPr="00903F09" w:rsidRDefault="002C16FA" w:rsidP="00903F09">
      <w:pPr>
        <w:spacing w:after="120" w:line="300" w:lineRule="auto"/>
        <w:rPr>
          <w:rFonts w:cs="Arial"/>
          <w:szCs w:val="24"/>
        </w:rPr>
      </w:pPr>
      <w:r w:rsidRPr="00903F09">
        <w:rPr>
          <w:rFonts w:cs="Arial"/>
          <w:szCs w:val="24"/>
        </w:rPr>
        <w:lastRenderedPageBreak/>
        <w:t>(</w:t>
      </w:r>
      <w:r w:rsidR="001E6B21" w:rsidRPr="00903F09">
        <w:t>Advise</w:t>
      </w:r>
      <w:r w:rsidR="001E6B21" w:rsidRPr="00903F09">
        <w:rPr>
          <w:rFonts w:cs="Arial"/>
          <w:szCs w:val="24"/>
        </w:rPr>
        <w:t xml:space="preserve"> on the overall equality implications that should be </w:t>
      </w:r>
      <w:r w:rsidR="0095550B" w:rsidRPr="00903F09">
        <w:rPr>
          <w:rFonts w:cs="Arial"/>
          <w:szCs w:val="24"/>
        </w:rPr>
        <w:t>considered</w:t>
      </w:r>
      <w:r w:rsidR="001E6B21" w:rsidRPr="00903F09">
        <w:rPr>
          <w:rFonts w:cs="Arial"/>
          <w:szCs w:val="24"/>
        </w:rPr>
        <w:t xml:space="preserve"> by the policy approving committee.</w:t>
      </w:r>
      <w:r w:rsidRPr="00903F09">
        <w:rPr>
          <w:rFonts w:cs="Arial"/>
          <w:szCs w:val="24"/>
        </w:rPr>
        <w:t>)</w:t>
      </w:r>
    </w:p>
    <w:p w:rsidR="006549BB" w:rsidRPr="00903F09" w:rsidRDefault="006549BB" w:rsidP="00903F09">
      <w:pPr>
        <w:spacing w:after="120" w:line="300" w:lineRule="auto"/>
        <w:rPr>
          <w:rFonts w:cs="Arial"/>
          <w:szCs w:val="24"/>
        </w:rPr>
      </w:pPr>
      <w:r w:rsidRPr="00903F09">
        <w:rPr>
          <w:rFonts w:cs="Arial"/>
          <w:szCs w:val="24"/>
        </w:rPr>
        <w:t>The are many positive i</w:t>
      </w:r>
      <w:r w:rsidR="00FD03DA" w:rsidRPr="00903F09">
        <w:rPr>
          <w:rFonts w:cs="Arial"/>
          <w:szCs w:val="24"/>
        </w:rPr>
        <w:t>m</w:t>
      </w:r>
      <w:r w:rsidRPr="00903F09">
        <w:rPr>
          <w:rFonts w:cs="Arial"/>
          <w:szCs w:val="24"/>
        </w:rPr>
        <w:t>plication</w:t>
      </w:r>
      <w:r w:rsidR="00FD03DA" w:rsidRPr="00903F09">
        <w:rPr>
          <w:rFonts w:cs="Arial"/>
          <w:szCs w:val="24"/>
        </w:rPr>
        <w:t>s</w:t>
      </w:r>
      <w:r w:rsidRPr="00903F09">
        <w:rPr>
          <w:rFonts w:cs="Arial"/>
          <w:szCs w:val="24"/>
        </w:rPr>
        <w:t xml:space="preserve"> to the implementation </w:t>
      </w:r>
      <w:r w:rsidR="00FD03DA" w:rsidRPr="00903F09">
        <w:rPr>
          <w:rFonts w:cs="Arial"/>
          <w:szCs w:val="24"/>
        </w:rPr>
        <w:t>of</w:t>
      </w:r>
      <w:r w:rsidRPr="00903F09">
        <w:rPr>
          <w:rFonts w:cs="Arial"/>
          <w:szCs w:val="24"/>
        </w:rPr>
        <w:t xml:space="preserve"> this policy. There is a specific focus within </w:t>
      </w:r>
      <w:r w:rsidR="00FD03DA" w:rsidRPr="00903F09">
        <w:rPr>
          <w:rFonts w:cs="Arial"/>
          <w:szCs w:val="24"/>
        </w:rPr>
        <w:t>P</w:t>
      </w:r>
      <w:r w:rsidRPr="00903F09">
        <w:rPr>
          <w:rFonts w:cs="Arial"/>
          <w:szCs w:val="24"/>
        </w:rPr>
        <w:t xml:space="preserve">SIRF for the </w:t>
      </w:r>
      <w:r w:rsidR="0095550B" w:rsidRPr="00903F09">
        <w:rPr>
          <w:rFonts w:cs="Arial"/>
          <w:szCs w:val="24"/>
        </w:rPr>
        <w:t>T</w:t>
      </w:r>
      <w:r w:rsidRPr="00903F09">
        <w:rPr>
          <w:rFonts w:cs="Arial"/>
          <w:szCs w:val="24"/>
        </w:rPr>
        <w:t xml:space="preserve">rust to address health </w:t>
      </w:r>
      <w:r w:rsidR="002D7476" w:rsidRPr="00903F09">
        <w:rPr>
          <w:rFonts w:cs="Arial"/>
          <w:szCs w:val="24"/>
        </w:rPr>
        <w:t>in</w:t>
      </w:r>
      <w:r w:rsidR="00FD03DA" w:rsidRPr="00903F09">
        <w:rPr>
          <w:rFonts w:cs="Arial"/>
          <w:szCs w:val="24"/>
        </w:rPr>
        <w:t>equalities</w:t>
      </w:r>
      <w:r w:rsidRPr="00903F09">
        <w:rPr>
          <w:rFonts w:cs="Arial"/>
          <w:szCs w:val="24"/>
        </w:rPr>
        <w:t xml:space="preserve"> as well as a much </w:t>
      </w:r>
      <w:r w:rsidR="00FD03DA" w:rsidRPr="00903F09">
        <w:rPr>
          <w:rFonts w:cs="Arial"/>
          <w:szCs w:val="24"/>
        </w:rPr>
        <w:t>greater</w:t>
      </w:r>
      <w:r w:rsidRPr="00903F09">
        <w:rPr>
          <w:rFonts w:cs="Arial"/>
          <w:szCs w:val="24"/>
        </w:rPr>
        <w:t xml:space="preserve"> </w:t>
      </w:r>
      <w:r w:rsidR="00FD03DA" w:rsidRPr="00903F09">
        <w:rPr>
          <w:rFonts w:cs="Arial"/>
          <w:szCs w:val="24"/>
        </w:rPr>
        <w:t>emphasis</w:t>
      </w:r>
      <w:r w:rsidRPr="00903F09">
        <w:rPr>
          <w:rFonts w:cs="Arial"/>
          <w:szCs w:val="24"/>
        </w:rPr>
        <w:t xml:space="preserve"> on the </w:t>
      </w:r>
      <w:r w:rsidR="00FD03DA" w:rsidRPr="00903F09">
        <w:rPr>
          <w:rFonts w:cs="Arial"/>
          <w:szCs w:val="24"/>
        </w:rPr>
        <w:t>engagement</w:t>
      </w:r>
      <w:r w:rsidRPr="00903F09">
        <w:rPr>
          <w:rFonts w:cs="Arial"/>
          <w:szCs w:val="24"/>
        </w:rPr>
        <w:t xml:space="preserve"> of all parties that would be affected by an incident occurring</w:t>
      </w:r>
      <w:r w:rsidR="00FD03DA" w:rsidRPr="00903F09">
        <w:rPr>
          <w:rFonts w:cs="Arial"/>
          <w:szCs w:val="24"/>
        </w:rPr>
        <w:t>.</w:t>
      </w:r>
    </w:p>
    <w:p w:rsidR="0071472D" w:rsidRPr="00903F09" w:rsidRDefault="0071472D" w:rsidP="00903F09">
      <w:pPr>
        <w:spacing w:after="120" w:line="300" w:lineRule="auto"/>
        <w:rPr>
          <w:rFonts w:cs="Arial"/>
          <w:szCs w:val="24"/>
        </w:rPr>
      </w:pPr>
    </w:p>
    <w:p w:rsidR="007A078D" w:rsidRDefault="003A26FA" w:rsidP="00273DE7">
      <w:pPr>
        <w:pStyle w:val="Policyheader"/>
        <w:numPr>
          <w:ilvl w:val="0"/>
          <w:numId w:val="0"/>
        </w:numPr>
      </w:pPr>
      <w:r w:rsidRPr="00903F09">
        <w:rPr>
          <w:rFonts w:cs="Arial"/>
          <w:sz w:val="24"/>
          <w:szCs w:val="24"/>
        </w:rPr>
        <w:br w:type="page"/>
      </w:r>
      <w:bookmarkStart w:id="51" w:name="_Toc523986736"/>
      <w:bookmarkStart w:id="52" w:name="_Toc523989254"/>
      <w:bookmarkStart w:id="53" w:name="_Toc166674451"/>
      <w:r w:rsidR="00310C5D" w:rsidRPr="00C54512">
        <w:lastRenderedPageBreak/>
        <w:t xml:space="preserve">Appendix </w:t>
      </w:r>
      <w:r w:rsidR="00FD03DA" w:rsidRPr="00FD03DA">
        <w:t>5</w:t>
      </w:r>
      <w:bookmarkEnd w:id="51"/>
      <w:bookmarkEnd w:id="52"/>
      <w:r w:rsidR="002D7476">
        <w:t xml:space="preserve">: </w:t>
      </w:r>
      <w:r w:rsidR="005F08FC">
        <w:t>Policy Implementation</w:t>
      </w:r>
      <w:r w:rsidR="00832DB4">
        <w:t xml:space="preserve"> Plan</w:t>
      </w:r>
      <w:bookmarkEnd w:id="53"/>
    </w:p>
    <w:p w:rsidR="001E6B21" w:rsidRPr="00903F09" w:rsidRDefault="001E6B21" w:rsidP="002D7476">
      <w:pPr>
        <w:spacing w:line="300" w:lineRule="auto"/>
        <w:rPr>
          <w:szCs w:val="24"/>
        </w:rPr>
      </w:pPr>
      <w:r w:rsidRPr="00903F09">
        <w:rPr>
          <w:b/>
          <w:szCs w:val="24"/>
        </w:rPr>
        <w:t>Policy Title:</w:t>
      </w:r>
      <w:r w:rsidR="002C16FA" w:rsidRPr="00903F09">
        <w:rPr>
          <w:b/>
          <w:szCs w:val="24"/>
        </w:rPr>
        <w:t xml:space="preserve"> </w:t>
      </w:r>
      <w:r w:rsidR="00AC250F" w:rsidRPr="00903F09">
        <w:rPr>
          <w:szCs w:val="24"/>
        </w:rPr>
        <w:t>Patient Safety Incident Response Policy</w:t>
      </w:r>
    </w:p>
    <w:p w:rsidR="001E6B21" w:rsidRPr="00903F09" w:rsidRDefault="001E6B21" w:rsidP="002D7476">
      <w:pPr>
        <w:spacing w:line="300" w:lineRule="auto"/>
        <w:rPr>
          <w:szCs w:val="24"/>
        </w:rPr>
      </w:pPr>
      <w:r w:rsidRPr="00903F09">
        <w:rPr>
          <w:b/>
          <w:szCs w:val="24"/>
        </w:rPr>
        <w:t>Implementation Lead:</w:t>
      </w:r>
      <w:r w:rsidR="002C16FA" w:rsidRPr="00903F09">
        <w:rPr>
          <w:b/>
          <w:szCs w:val="24"/>
        </w:rPr>
        <w:t xml:space="preserve"> </w:t>
      </w:r>
      <w:r w:rsidR="00FD03DA" w:rsidRPr="00903F09">
        <w:rPr>
          <w:szCs w:val="24"/>
        </w:rPr>
        <w:t>Deputy Director of Quality Governance</w:t>
      </w:r>
      <w:r w:rsidR="006549BB" w:rsidRPr="00903F09">
        <w:rPr>
          <w:szCs w:val="24"/>
        </w:rPr>
        <w:t xml:space="preserve"> in </w:t>
      </w:r>
      <w:r w:rsidR="00FD03DA" w:rsidRPr="00903F09">
        <w:rPr>
          <w:szCs w:val="24"/>
        </w:rPr>
        <w:t>partnership</w:t>
      </w:r>
      <w:r w:rsidR="006549BB" w:rsidRPr="00903F09">
        <w:rPr>
          <w:szCs w:val="24"/>
        </w:rPr>
        <w:t xml:space="preserve"> </w:t>
      </w:r>
      <w:r w:rsidR="00FD03DA" w:rsidRPr="00903F09">
        <w:rPr>
          <w:szCs w:val="24"/>
        </w:rPr>
        <w:t>with</w:t>
      </w:r>
      <w:r w:rsidR="006549BB" w:rsidRPr="00903F09">
        <w:rPr>
          <w:szCs w:val="24"/>
        </w:rPr>
        <w:t xml:space="preserve"> the </w:t>
      </w:r>
      <w:r w:rsidR="00FD03DA" w:rsidRPr="00903F09">
        <w:rPr>
          <w:szCs w:val="24"/>
        </w:rPr>
        <w:t>H</w:t>
      </w:r>
      <w:r w:rsidR="006549BB" w:rsidRPr="00903F09">
        <w:rPr>
          <w:szCs w:val="24"/>
        </w:rPr>
        <w:t xml:space="preserve">ead of </w:t>
      </w:r>
      <w:r w:rsidR="00FD03DA" w:rsidRPr="00903F09">
        <w:rPr>
          <w:szCs w:val="24"/>
        </w:rPr>
        <w:t>Patient</w:t>
      </w:r>
      <w:r w:rsidR="00822B21" w:rsidRPr="00903F09">
        <w:rPr>
          <w:szCs w:val="24"/>
        </w:rPr>
        <w:t xml:space="preserve"> </w:t>
      </w:r>
      <w:r w:rsidR="00FD03DA" w:rsidRPr="00903F09">
        <w:rPr>
          <w:szCs w:val="24"/>
        </w:rPr>
        <w:t>S</w:t>
      </w:r>
      <w:r w:rsidR="00822B21" w:rsidRPr="00903F09">
        <w:rPr>
          <w:szCs w:val="24"/>
        </w:rPr>
        <w:t xml:space="preserve">afety </w:t>
      </w:r>
      <w:r w:rsidR="002D7476" w:rsidRPr="00903F09">
        <w:rPr>
          <w:szCs w:val="24"/>
        </w:rPr>
        <w:t>and</w:t>
      </w:r>
      <w:r w:rsidR="00822B21" w:rsidRPr="00903F09">
        <w:rPr>
          <w:szCs w:val="24"/>
        </w:rPr>
        <w:t xml:space="preserve"> </w:t>
      </w:r>
      <w:r w:rsidR="00FD03DA" w:rsidRPr="00903F09">
        <w:rPr>
          <w:szCs w:val="24"/>
        </w:rPr>
        <w:t>I</w:t>
      </w:r>
      <w:r w:rsidR="00822B21" w:rsidRPr="00903F09">
        <w:rPr>
          <w:szCs w:val="24"/>
        </w:rPr>
        <w:t>mprovement</w:t>
      </w:r>
    </w:p>
    <w:p w:rsidR="001E6B21" w:rsidRPr="00903F09" w:rsidRDefault="001E6B21" w:rsidP="002D7476">
      <w:pPr>
        <w:spacing w:line="300" w:lineRule="auto"/>
        <w:rPr>
          <w:b/>
          <w:szCs w:val="24"/>
        </w:rPr>
      </w:pPr>
      <w:r w:rsidRPr="00903F09">
        <w:rPr>
          <w:b/>
          <w:szCs w:val="24"/>
        </w:rPr>
        <w:t>Staff Groups affected by policy:</w:t>
      </w:r>
      <w:r w:rsidR="002C16FA" w:rsidRPr="00903F09">
        <w:rPr>
          <w:b/>
          <w:szCs w:val="24"/>
        </w:rPr>
        <w:t xml:space="preserve"> </w:t>
      </w:r>
      <w:r w:rsidR="00822B21" w:rsidRPr="00903F09">
        <w:rPr>
          <w:szCs w:val="24"/>
        </w:rPr>
        <w:t>All staff</w:t>
      </w:r>
      <w:r w:rsidR="00AC250F" w:rsidRPr="00903F09">
        <w:rPr>
          <w:b/>
          <w:szCs w:val="24"/>
        </w:rPr>
        <w:t xml:space="preserve"> </w:t>
      </w:r>
    </w:p>
    <w:p w:rsidR="002D7476" w:rsidRPr="00903F09" w:rsidRDefault="001E6B21" w:rsidP="002D7476">
      <w:pPr>
        <w:spacing w:line="300" w:lineRule="auto"/>
        <w:rPr>
          <w:b/>
          <w:szCs w:val="24"/>
        </w:rPr>
      </w:pPr>
      <w:r w:rsidRPr="00903F09">
        <w:rPr>
          <w:b/>
          <w:szCs w:val="24"/>
        </w:rPr>
        <w:t>Subsidiary Companies affected by policy:</w:t>
      </w:r>
      <w:r w:rsidR="002C16FA" w:rsidRPr="00903F09">
        <w:rPr>
          <w:b/>
          <w:szCs w:val="24"/>
        </w:rPr>
        <w:t xml:space="preserve"> </w:t>
      </w:r>
    </w:p>
    <w:p w:rsidR="002D7476" w:rsidRPr="00903F09" w:rsidRDefault="002D7476" w:rsidP="002D7476">
      <w:pPr>
        <w:spacing w:line="300" w:lineRule="auto"/>
        <w:rPr>
          <w:szCs w:val="24"/>
        </w:rPr>
      </w:pPr>
      <w:r w:rsidRPr="00903F09">
        <w:rPr>
          <w:szCs w:val="24"/>
        </w:rPr>
        <w:t>Spencer Private Hospitals</w:t>
      </w:r>
    </w:p>
    <w:p w:rsidR="001E6B21" w:rsidRPr="00903F09" w:rsidRDefault="001E6B21" w:rsidP="002D7476">
      <w:pPr>
        <w:spacing w:line="300" w:lineRule="auto"/>
        <w:rPr>
          <w:szCs w:val="24"/>
        </w:rPr>
      </w:pPr>
      <w:r w:rsidRPr="00903F09">
        <w:rPr>
          <w:b/>
          <w:szCs w:val="24"/>
        </w:rPr>
        <w:t>Detail changes to current processes or practice:</w:t>
      </w:r>
    </w:p>
    <w:p w:rsidR="001E6B21" w:rsidRPr="00903F09" w:rsidRDefault="00822B21" w:rsidP="00985622">
      <w:pPr>
        <w:pStyle w:val="ListParagraph"/>
        <w:numPr>
          <w:ilvl w:val="0"/>
          <w:numId w:val="6"/>
        </w:numPr>
        <w:spacing w:line="300" w:lineRule="auto"/>
        <w:rPr>
          <w:szCs w:val="24"/>
        </w:rPr>
      </w:pPr>
      <w:r w:rsidRPr="00903F09">
        <w:rPr>
          <w:szCs w:val="24"/>
        </w:rPr>
        <w:t>Ou</w:t>
      </w:r>
      <w:r w:rsidR="00FD03DA" w:rsidRPr="00903F09">
        <w:rPr>
          <w:szCs w:val="24"/>
        </w:rPr>
        <w:t>r</w:t>
      </w:r>
      <w:r w:rsidRPr="00903F09">
        <w:rPr>
          <w:szCs w:val="24"/>
        </w:rPr>
        <w:t xml:space="preserve"> response to incidents, method of investigations </w:t>
      </w:r>
      <w:r w:rsidR="00FD03DA" w:rsidRPr="00903F09">
        <w:rPr>
          <w:szCs w:val="24"/>
        </w:rPr>
        <w:t>and</w:t>
      </w:r>
      <w:r w:rsidRPr="00903F09">
        <w:rPr>
          <w:szCs w:val="24"/>
        </w:rPr>
        <w:t xml:space="preserve"> level of engagement of those affected</w:t>
      </w:r>
      <w:r w:rsidR="00FD03DA" w:rsidRPr="00903F09">
        <w:rPr>
          <w:szCs w:val="24"/>
        </w:rPr>
        <w:t xml:space="preserve"> is changing</w:t>
      </w:r>
      <w:r w:rsidR="002D7476" w:rsidRPr="00903F09">
        <w:rPr>
          <w:szCs w:val="24"/>
        </w:rPr>
        <w:t>.</w:t>
      </w:r>
    </w:p>
    <w:p w:rsidR="00822B21" w:rsidRPr="00903F09" w:rsidRDefault="00822B21" w:rsidP="00985622">
      <w:pPr>
        <w:pStyle w:val="ListParagraph"/>
        <w:numPr>
          <w:ilvl w:val="0"/>
          <w:numId w:val="6"/>
        </w:numPr>
        <w:spacing w:line="300" w:lineRule="auto"/>
        <w:rPr>
          <w:szCs w:val="24"/>
        </w:rPr>
      </w:pPr>
      <w:r w:rsidRPr="00903F09">
        <w:rPr>
          <w:szCs w:val="24"/>
        </w:rPr>
        <w:t>Greater involvement of staff</w:t>
      </w:r>
      <w:r w:rsidR="002D7476" w:rsidRPr="00903F09">
        <w:rPr>
          <w:szCs w:val="24"/>
        </w:rPr>
        <w:t xml:space="preserve"> and patients and their families</w:t>
      </w:r>
      <w:r w:rsidRPr="00903F09">
        <w:rPr>
          <w:szCs w:val="24"/>
        </w:rPr>
        <w:t xml:space="preserve"> in the</w:t>
      </w:r>
      <w:r w:rsidR="00FD03DA" w:rsidRPr="00903F09">
        <w:rPr>
          <w:szCs w:val="24"/>
        </w:rPr>
        <w:t xml:space="preserve"> incident</w:t>
      </w:r>
      <w:r w:rsidRPr="00903F09">
        <w:rPr>
          <w:szCs w:val="24"/>
        </w:rPr>
        <w:t xml:space="preserve"> investigation</w:t>
      </w:r>
      <w:r w:rsidR="002D7476" w:rsidRPr="00903F09">
        <w:rPr>
          <w:szCs w:val="24"/>
        </w:rPr>
        <w:t>.</w:t>
      </w:r>
    </w:p>
    <w:p w:rsidR="00822B21" w:rsidRPr="00903F09" w:rsidRDefault="00822B21" w:rsidP="00985622">
      <w:pPr>
        <w:pStyle w:val="ListParagraph"/>
        <w:numPr>
          <w:ilvl w:val="0"/>
          <w:numId w:val="6"/>
        </w:numPr>
        <w:spacing w:line="300" w:lineRule="auto"/>
        <w:rPr>
          <w:szCs w:val="24"/>
        </w:rPr>
      </w:pPr>
      <w:r w:rsidRPr="00903F09">
        <w:rPr>
          <w:szCs w:val="24"/>
        </w:rPr>
        <w:t>Higher standards of the role of the investigator and investigation to be applied</w:t>
      </w:r>
      <w:r w:rsidR="002D7476" w:rsidRPr="00903F09">
        <w:rPr>
          <w:szCs w:val="24"/>
        </w:rPr>
        <w:t>.</w:t>
      </w:r>
    </w:p>
    <w:p w:rsidR="00822B21" w:rsidRPr="00903F09" w:rsidRDefault="00822B21" w:rsidP="00985622">
      <w:pPr>
        <w:pStyle w:val="ListParagraph"/>
        <w:numPr>
          <w:ilvl w:val="0"/>
          <w:numId w:val="6"/>
        </w:numPr>
        <w:spacing w:line="300" w:lineRule="auto"/>
        <w:rPr>
          <w:szCs w:val="24"/>
        </w:rPr>
      </w:pPr>
      <w:r w:rsidRPr="00903F09">
        <w:rPr>
          <w:szCs w:val="24"/>
        </w:rPr>
        <w:t>Oversight from the ICB will adapt to becoming a collaborative approach to pr</w:t>
      </w:r>
      <w:r w:rsidR="00FD03DA" w:rsidRPr="00903F09">
        <w:rPr>
          <w:szCs w:val="24"/>
        </w:rPr>
        <w:t>ovide</w:t>
      </w:r>
      <w:r w:rsidRPr="00903F09">
        <w:rPr>
          <w:szCs w:val="24"/>
        </w:rPr>
        <w:t xml:space="preserve"> assurance</w:t>
      </w:r>
      <w:r w:rsidR="002D7476" w:rsidRPr="00903F09">
        <w:rPr>
          <w:szCs w:val="24"/>
        </w:rPr>
        <w:t>.</w:t>
      </w:r>
    </w:p>
    <w:p w:rsidR="001E6B21" w:rsidRPr="00903F09" w:rsidRDefault="001E6B21" w:rsidP="002D7476">
      <w:pPr>
        <w:spacing w:line="300" w:lineRule="auto"/>
        <w:rPr>
          <w:szCs w:val="24"/>
        </w:rPr>
      </w:pPr>
      <w:r w:rsidRPr="00903F09">
        <w:rPr>
          <w:szCs w:val="24"/>
        </w:rPr>
        <w:t xml:space="preserve"> </w:t>
      </w:r>
      <w:r w:rsidRPr="00903F09">
        <w:rPr>
          <w:b/>
          <w:szCs w:val="24"/>
        </w:rPr>
        <w:t>Specify any training requirements:</w:t>
      </w:r>
    </w:p>
    <w:p w:rsidR="001E6B21" w:rsidRPr="00903F09" w:rsidRDefault="00822B21" w:rsidP="00985622">
      <w:pPr>
        <w:pStyle w:val="ListParagraph"/>
        <w:numPr>
          <w:ilvl w:val="0"/>
          <w:numId w:val="5"/>
        </w:numPr>
        <w:spacing w:line="300" w:lineRule="auto"/>
        <w:rPr>
          <w:szCs w:val="24"/>
        </w:rPr>
      </w:pPr>
      <w:r w:rsidRPr="00903F09">
        <w:rPr>
          <w:szCs w:val="24"/>
        </w:rPr>
        <w:t>Refer to</w:t>
      </w:r>
      <w:r w:rsidR="00AB2471" w:rsidRPr="00903F09">
        <w:rPr>
          <w:szCs w:val="24"/>
        </w:rPr>
        <w:t xml:space="preserve"> Table 2 in</w:t>
      </w:r>
      <w:r w:rsidRPr="00903F09">
        <w:rPr>
          <w:szCs w:val="24"/>
        </w:rPr>
        <w:t xml:space="preserve"> section </w:t>
      </w:r>
      <w:r w:rsidR="00AB2471" w:rsidRPr="00903F09">
        <w:rPr>
          <w:szCs w:val="24"/>
        </w:rPr>
        <w:t>10.2.</w:t>
      </w:r>
      <w:r w:rsidR="001C1840" w:rsidRPr="00903F09">
        <w:rPr>
          <w:szCs w:val="24"/>
        </w:rPr>
        <w:t>5</w:t>
      </w:r>
    </w:p>
    <w:p w:rsidR="001E6B21" w:rsidRPr="00903F09" w:rsidRDefault="001E6B21" w:rsidP="002D7476">
      <w:pPr>
        <w:spacing w:line="300" w:lineRule="auto"/>
        <w:rPr>
          <w:szCs w:val="24"/>
        </w:rPr>
      </w:pPr>
      <w:r w:rsidRPr="00903F09">
        <w:rPr>
          <w:b/>
          <w:szCs w:val="24"/>
        </w:rPr>
        <w:t>How will policy changes be communicated to staff groups/ subsidiary companies?</w:t>
      </w:r>
    </w:p>
    <w:p w:rsidR="00437798" w:rsidRPr="00903F09" w:rsidRDefault="00822B21" w:rsidP="00985622">
      <w:pPr>
        <w:pStyle w:val="ListParagraph"/>
        <w:numPr>
          <w:ilvl w:val="0"/>
          <w:numId w:val="4"/>
        </w:numPr>
        <w:spacing w:line="300" w:lineRule="auto"/>
        <w:rPr>
          <w:szCs w:val="24"/>
        </w:rPr>
      </w:pPr>
      <w:r w:rsidRPr="00903F09">
        <w:rPr>
          <w:szCs w:val="24"/>
        </w:rPr>
        <w:t xml:space="preserve">Via </w:t>
      </w:r>
      <w:r w:rsidR="002D7476" w:rsidRPr="00903F09">
        <w:rPr>
          <w:szCs w:val="24"/>
        </w:rPr>
        <w:t>the Patient Safety Communication (Comm) plan</w:t>
      </w:r>
      <w:r w:rsidRPr="00903F09">
        <w:rPr>
          <w:szCs w:val="24"/>
        </w:rPr>
        <w:t>s</w:t>
      </w:r>
    </w:p>
    <w:p w:rsidR="00822B21" w:rsidRDefault="00822B21" w:rsidP="00985622">
      <w:pPr>
        <w:pStyle w:val="ListParagraph"/>
        <w:numPr>
          <w:ilvl w:val="0"/>
          <w:numId w:val="4"/>
        </w:numPr>
        <w:spacing w:line="300" w:lineRule="auto"/>
        <w:rPr>
          <w:szCs w:val="24"/>
        </w:rPr>
      </w:pPr>
      <w:r w:rsidRPr="00903F09">
        <w:rPr>
          <w:szCs w:val="24"/>
        </w:rPr>
        <w:t>Information sessions</w:t>
      </w:r>
      <w:r w:rsidR="00FD03DA" w:rsidRPr="00903F09">
        <w:rPr>
          <w:szCs w:val="24"/>
        </w:rPr>
        <w:t xml:space="preserve"> to staff</w:t>
      </w:r>
    </w:p>
    <w:p w:rsidR="00903F09" w:rsidRPr="00903F09" w:rsidRDefault="00903F09" w:rsidP="00903F09">
      <w:pPr>
        <w:pStyle w:val="ListParagraph"/>
        <w:numPr>
          <w:ilvl w:val="0"/>
          <w:numId w:val="4"/>
        </w:numPr>
        <w:spacing w:line="300" w:lineRule="auto"/>
      </w:pPr>
      <w:r>
        <w:t>The Deputy Director of Quality Governance will disseminate the policy to the Subsidiary Company.</w:t>
      </w:r>
    </w:p>
    <w:sectPr w:rsidR="00903F09" w:rsidRPr="00903F09" w:rsidSect="00AE0C37">
      <w:headerReference w:type="first" r:id="rId25"/>
      <w:pgSz w:w="11906" w:h="16838" w:code="9"/>
      <w:pgMar w:top="1383" w:right="1134" w:bottom="1440" w:left="1276" w:header="6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DB2" w:rsidRDefault="00E97DB2">
      <w:r>
        <w:separator/>
      </w:r>
    </w:p>
  </w:endnote>
  <w:endnote w:type="continuationSeparator" w:id="0">
    <w:p w:rsidR="00E97DB2" w:rsidRDefault="00E9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603" w:rsidRPr="00D00CD5" w:rsidRDefault="00166603" w:rsidP="00D93AB2">
    <w:pPr>
      <w:pStyle w:val="Footer"/>
      <w:jc w:val="center"/>
      <w:rPr>
        <w:sz w:val="20"/>
        <w:szCs w:val="20"/>
      </w:rPr>
    </w:pPr>
    <w:r w:rsidRPr="00D00CD5">
      <w:rPr>
        <w:rFonts w:cs="Arial"/>
        <w:sz w:val="20"/>
        <w:szCs w:val="20"/>
      </w:rPr>
      <w:t xml:space="preserve">Page </w:t>
    </w:r>
    <w:r w:rsidRPr="00D00CD5">
      <w:rPr>
        <w:rFonts w:cs="Arial"/>
        <w:b/>
        <w:sz w:val="20"/>
        <w:szCs w:val="20"/>
      </w:rPr>
      <w:fldChar w:fldCharType="begin"/>
    </w:r>
    <w:r w:rsidRPr="00D00CD5">
      <w:rPr>
        <w:rFonts w:cs="Arial"/>
        <w:b/>
        <w:sz w:val="20"/>
        <w:szCs w:val="20"/>
      </w:rPr>
      <w:instrText xml:space="preserve"> PAGE   \* MERGEFORMAT </w:instrText>
    </w:r>
    <w:r w:rsidRPr="00D00CD5">
      <w:rPr>
        <w:rFonts w:cs="Arial"/>
        <w:b/>
        <w:sz w:val="20"/>
        <w:szCs w:val="20"/>
      </w:rPr>
      <w:fldChar w:fldCharType="separate"/>
    </w:r>
    <w:r w:rsidRPr="00D00CD5">
      <w:rPr>
        <w:rFonts w:cs="Arial"/>
        <w:b/>
        <w:noProof/>
        <w:sz w:val="20"/>
        <w:szCs w:val="20"/>
      </w:rPr>
      <w:t>1</w:t>
    </w:r>
    <w:r w:rsidRPr="00D00CD5">
      <w:rPr>
        <w:rFonts w:cs="Arial"/>
        <w:b/>
        <w:sz w:val="20"/>
        <w:szCs w:val="20"/>
      </w:rPr>
      <w:fldChar w:fldCharType="end"/>
    </w:r>
    <w:r w:rsidRPr="00D00CD5">
      <w:rPr>
        <w:rFonts w:cs="Arial"/>
        <w:sz w:val="20"/>
        <w:szCs w:val="20"/>
      </w:rPr>
      <w:t xml:space="preserve"> of </w:t>
    </w:r>
    <w:r w:rsidRPr="00D00CD5">
      <w:rPr>
        <w:rFonts w:cs="Arial"/>
        <w:b/>
        <w:sz w:val="20"/>
        <w:szCs w:val="20"/>
      </w:rPr>
      <w:fldChar w:fldCharType="begin"/>
    </w:r>
    <w:r w:rsidRPr="00D00CD5">
      <w:rPr>
        <w:rFonts w:cs="Arial"/>
        <w:b/>
        <w:sz w:val="20"/>
        <w:szCs w:val="20"/>
      </w:rPr>
      <w:instrText xml:space="preserve"> NUMPAGES   \* MERGEFORMAT </w:instrText>
    </w:r>
    <w:r w:rsidRPr="00D00CD5">
      <w:rPr>
        <w:rFonts w:cs="Arial"/>
        <w:b/>
        <w:sz w:val="20"/>
        <w:szCs w:val="20"/>
      </w:rPr>
      <w:fldChar w:fldCharType="separate"/>
    </w:r>
    <w:r w:rsidRPr="00D00CD5">
      <w:rPr>
        <w:rFonts w:cs="Arial"/>
        <w:b/>
        <w:noProof/>
        <w:sz w:val="20"/>
        <w:szCs w:val="20"/>
      </w:rPr>
      <w:t>3</w:t>
    </w:r>
    <w:r w:rsidRPr="00D00CD5">
      <w:rPr>
        <w:rFonts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603" w:rsidRPr="00AE0C37" w:rsidRDefault="00166603" w:rsidP="00AE0C37">
    <w:pPr>
      <w:pStyle w:val="Footer"/>
      <w:jc w:val="center"/>
      <w:rPr>
        <w:sz w:val="20"/>
        <w:szCs w:val="20"/>
      </w:rPr>
    </w:pPr>
    <w:r w:rsidRPr="00D00CD5">
      <w:rPr>
        <w:rFonts w:cs="Arial"/>
        <w:sz w:val="20"/>
        <w:szCs w:val="20"/>
      </w:rPr>
      <w:t xml:space="preserve">Page </w:t>
    </w:r>
    <w:r w:rsidRPr="00D00CD5">
      <w:rPr>
        <w:rFonts w:cs="Arial"/>
        <w:b/>
        <w:sz w:val="20"/>
        <w:szCs w:val="20"/>
      </w:rPr>
      <w:fldChar w:fldCharType="begin"/>
    </w:r>
    <w:r w:rsidRPr="00D00CD5">
      <w:rPr>
        <w:rFonts w:cs="Arial"/>
        <w:b/>
        <w:sz w:val="20"/>
        <w:szCs w:val="20"/>
      </w:rPr>
      <w:instrText xml:space="preserve"> PAGE   \* MERGEFORMAT </w:instrText>
    </w:r>
    <w:r w:rsidRPr="00D00CD5">
      <w:rPr>
        <w:rFonts w:cs="Arial"/>
        <w:b/>
        <w:sz w:val="20"/>
        <w:szCs w:val="20"/>
      </w:rPr>
      <w:fldChar w:fldCharType="separate"/>
    </w:r>
    <w:r>
      <w:rPr>
        <w:rFonts w:cs="Arial"/>
        <w:b/>
        <w:sz w:val="20"/>
        <w:szCs w:val="20"/>
      </w:rPr>
      <w:t>9</w:t>
    </w:r>
    <w:r w:rsidRPr="00D00CD5">
      <w:rPr>
        <w:rFonts w:cs="Arial"/>
        <w:b/>
        <w:sz w:val="20"/>
        <w:szCs w:val="20"/>
      </w:rPr>
      <w:fldChar w:fldCharType="end"/>
    </w:r>
    <w:r w:rsidRPr="00D00CD5">
      <w:rPr>
        <w:rFonts w:cs="Arial"/>
        <w:sz w:val="20"/>
        <w:szCs w:val="20"/>
      </w:rPr>
      <w:t xml:space="preserve"> of </w:t>
    </w:r>
    <w:r w:rsidRPr="00D00CD5">
      <w:rPr>
        <w:rFonts w:cs="Arial"/>
        <w:b/>
        <w:sz w:val="20"/>
        <w:szCs w:val="20"/>
      </w:rPr>
      <w:fldChar w:fldCharType="begin"/>
    </w:r>
    <w:r w:rsidRPr="00D00CD5">
      <w:rPr>
        <w:rFonts w:cs="Arial"/>
        <w:b/>
        <w:sz w:val="20"/>
        <w:szCs w:val="20"/>
      </w:rPr>
      <w:instrText xml:space="preserve"> NUMPAGES   \* MERGEFORMAT </w:instrText>
    </w:r>
    <w:r w:rsidRPr="00D00CD5">
      <w:rPr>
        <w:rFonts w:cs="Arial"/>
        <w:b/>
        <w:sz w:val="20"/>
        <w:szCs w:val="20"/>
      </w:rPr>
      <w:fldChar w:fldCharType="separate"/>
    </w:r>
    <w:r>
      <w:rPr>
        <w:rFonts w:cs="Arial"/>
        <w:b/>
        <w:sz w:val="20"/>
        <w:szCs w:val="20"/>
      </w:rPr>
      <w:t>28</w:t>
    </w:r>
    <w:r w:rsidRPr="00D00CD5">
      <w:rPr>
        <w:rFonts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DB2" w:rsidRDefault="00E97DB2">
      <w:r>
        <w:separator/>
      </w:r>
    </w:p>
  </w:footnote>
  <w:footnote w:type="continuationSeparator" w:id="0">
    <w:p w:rsidR="00E97DB2" w:rsidRDefault="00E9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603" w:rsidRDefault="00166603" w:rsidP="001141D6">
    <w:pPr>
      <w:pStyle w:val="Header"/>
      <w:jc w:val="right"/>
    </w:pPr>
    <w:r w:rsidRPr="0034311A">
      <w:rPr>
        <w:rFonts w:cs="Arial"/>
        <w:noProof/>
      </w:rPr>
      <w:drawing>
        <wp:inline distT="0" distB="0" distL="0" distR="0" wp14:anchorId="2A44697E" wp14:editId="1D8FDA52">
          <wp:extent cx="2220595" cy="1004570"/>
          <wp:effectExtent l="0" t="0" r="8255" b="5080"/>
          <wp:docPr id="16" name="Picture 16" descr="East Kent Hospitals University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 Kent Hospitals University NHS Foundation Trust RGB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0595" cy="10045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603" w:rsidRDefault="00166603" w:rsidP="001141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4C1"/>
    <w:multiLevelType w:val="hybridMultilevel"/>
    <w:tmpl w:val="A408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134AE"/>
    <w:multiLevelType w:val="hybridMultilevel"/>
    <w:tmpl w:val="623C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05BC0"/>
    <w:multiLevelType w:val="hybridMultilevel"/>
    <w:tmpl w:val="9FDAEDE6"/>
    <w:lvl w:ilvl="0" w:tplc="A1FCEC94">
      <w:start w:val="1"/>
      <w:numFmt w:val="decimal"/>
      <w:lvlText w:val="%1."/>
      <w:lvlJc w:val="left"/>
      <w:pPr>
        <w:ind w:left="720" w:hanging="360"/>
      </w:pPr>
      <w:rPr>
        <w:rFonts w:cs="Calibri" w:hint="default"/>
        <w:color w:val="FFFFF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B59D8"/>
    <w:multiLevelType w:val="multilevel"/>
    <w:tmpl w:val="0809001F"/>
    <w:styleLink w:val="PolicyBullet"/>
    <w:lvl w:ilvl="0">
      <w:start w:val="1"/>
      <w:numFmt w:val="decimal"/>
      <w:lvlText w:val="%1."/>
      <w:lvlJc w:val="left"/>
      <w:pPr>
        <w:ind w:left="567" w:hanging="360"/>
      </w:pPr>
      <w:rPr>
        <w:rFonts w:ascii="Arial" w:hAnsi="Arial" w:hint="default"/>
        <w:b w:val="0"/>
        <w:sz w:val="22"/>
      </w:rPr>
    </w:lvl>
    <w:lvl w:ilvl="1">
      <w:start w:val="1"/>
      <w:numFmt w:val="decimal"/>
      <w:lvlText w:val="%1.%2."/>
      <w:lvlJc w:val="left"/>
      <w:pPr>
        <w:ind w:left="639" w:hanging="432"/>
      </w:pPr>
      <w:rPr>
        <w:rFonts w:ascii="Arial" w:hAnsi="Arial"/>
        <w:b w:val="0"/>
        <w:bCs/>
        <w:sz w:val="22"/>
      </w:rPr>
    </w:lvl>
    <w:lvl w:ilvl="2">
      <w:start w:val="1"/>
      <w:numFmt w:val="decimal"/>
      <w:lvlText w:val="%1.%2.%3."/>
      <w:lvlJc w:val="left"/>
      <w:pPr>
        <w:ind w:left="711" w:hanging="504"/>
      </w:pPr>
    </w:lvl>
    <w:lvl w:ilvl="3">
      <w:start w:val="1"/>
      <w:numFmt w:val="decimal"/>
      <w:lvlText w:val="%1.%2.%3.%4."/>
      <w:lvlJc w:val="left"/>
      <w:pPr>
        <w:ind w:left="855" w:hanging="648"/>
      </w:pPr>
      <w:rPr>
        <w:b w:val="0"/>
      </w:rPr>
    </w:lvl>
    <w:lvl w:ilvl="4">
      <w:start w:val="1"/>
      <w:numFmt w:val="decimal"/>
      <w:lvlText w:val="%1.%2.%3.%4.%5."/>
      <w:lvlJc w:val="left"/>
      <w:pPr>
        <w:ind w:left="2439" w:hanging="792"/>
      </w:pPr>
    </w:lvl>
    <w:lvl w:ilvl="5">
      <w:start w:val="1"/>
      <w:numFmt w:val="decimal"/>
      <w:lvlText w:val="%1.%2.%3.%4.%5.%6."/>
      <w:lvlJc w:val="left"/>
      <w:pPr>
        <w:ind w:left="2943" w:hanging="936"/>
      </w:pPr>
    </w:lvl>
    <w:lvl w:ilvl="6">
      <w:start w:val="1"/>
      <w:numFmt w:val="decimal"/>
      <w:lvlText w:val="%1.%2.%3.%4.%5.%6.%7."/>
      <w:lvlJc w:val="left"/>
      <w:pPr>
        <w:ind w:left="3447" w:hanging="1080"/>
      </w:pPr>
    </w:lvl>
    <w:lvl w:ilvl="7">
      <w:start w:val="1"/>
      <w:numFmt w:val="decimal"/>
      <w:lvlText w:val="%1.%2.%3.%4.%5.%6.%7.%8."/>
      <w:lvlJc w:val="left"/>
      <w:pPr>
        <w:ind w:left="3951" w:hanging="1224"/>
      </w:pPr>
    </w:lvl>
    <w:lvl w:ilvl="8">
      <w:start w:val="1"/>
      <w:numFmt w:val="decimal"/>
      <w:lvlText w:val="%1.%2.%3.%4.%5.%6.%7.%8.%9."/>
      <w:lvlJc w:val="left"/>
      <w:pPr>
        <w:ind w:left="4527" w:hanging="1440"/>
      </w:pPr>
    </w:lvl>
  </w:abstractNum>
  <w:abstractNum w:abstractNumId="4" w15:restartNumberingAfterBreak="0">
    <w:nsid w:val="08084E3C"/>
    <w:multiLevelType w:val="hybridMultilevel"/>
    <w:tmpl w:val="19E27B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63D1E"/>
    <w:multiLevelType w:val="hybridMultilevel"/>
    <w:tmpl w:val="F07E9BD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0B04514A"/>
    <w:multiLevelType w:val="hybridMultilevel"/>
    <w:tmpl w:val="8476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713AD"/>
    <w:multiLevelType w:val="multilevel"/>
    <w:tmpl w:val="D6E237E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A33C8"/>
    <w:multiLevelType w:val="hybridMultilevel"/>
    <w:tmpl w:val="9848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730FD"/>
    <w:multiLevelType w:val="hybridMultilevel"/>
    <w:tmpl w:val="19AC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B715D0"/>
    <w:multiLevelType w:val="hybridMultilevel"/>
    <w:tmpl w:val="1B52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7210D"/>
    <w:multiLevelType w:val="hybridMultilevel"/>
    <w:tmpl w:val="2962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1F039F"/>
    <w:multiLevelType w:val="hybridMultilevel"/>
    <w:tmpl w:val="0EDE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C5F54"/>
    <w:multiLevelType w:val="multilevel"/>
    <w:tmpl w:val="26F84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347E33"/>
    <w:multiLevelType w:val="multilevel"/>
    <w:tmpl w:val="5894BDF4"/>
    <w:lvl w:ilvl="0">
      <w:start w:val="1"/>
      <w:numFmt w:val="decimal"/>
      <w:lvlText w:val="%1."/>
      <w:lvlJc w:val="left"/>
      <w:pPr>
        <w:ind w:left="360" w:hanging="360"/>
      </w:pPr>
    </w:lvl>
    <w:lvl w:ilvl="1">
      <w:start w:val="1"/>
      <w:numFmt w:val="decimal"/>
      <w:lvlText w:val="%1.%2."/>
      <w:lvlJc w:val="left"/>
      <w:pPr>
        <w:ind w:left="1141" w:hanging="432"/>
      </w:pPr>
      <w:rPr>
        <w:rFonts w:cs="Times New Roman"/>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489" w:hanging="504"/>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D53A3D"/>
    <w:multiLevelType w:val="hybridMultilevel"/>
    <w:tmpl w:val="C91C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B7922"/>
    <w:multiLevelType w:val="hybridMultilevel"/>
    <w:tmpl w:val="B51E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93817"/>
    <w:multiLevelType w:val="multilevel"/>
    <w:tmpl w:val="08CE3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C41ED"/>
    <w:multiLevelType w:val="multilevel"/>
    <w:tmpl w:val="5CA20F68"/>
    <w:styleLink w:val="Bulletstyleforpolicies"/>
    <w:lvl w:ilvl="0">
      <w:start w:val="1"/>
      <w:numFmt w:val="decimal"/>
      <w:lvlText w:val="%1."/>
      <w:lvlJc w:val="left"/>
      <w:pPr>
        <w:ind w:left="360" w:hanging="360"/>
      </w:pPr>
      <w:rPr>
        <w:rFonts w:ascii="Arial" w:hAnsi="Arial"/>
        <w:b/>
        <w:sz w:val="28"/>
      </w:rPr>
    </w:lvl>
    <w:lvl w:ilvl="1">
      <w:start w:val="1"/>
      <w:numFmt w:val="decimal"/>
      <w:lvlText w:val="%1.%2."/>
      <w:lvlJc w:val="left"/>
      <w:pPr>
        <w:ind w:left="432" w:hanging="432"/>
      </w:pPr>
      <w:rPr>
        <w:rFonts w:ascii="Arial" w:hAnsi="Arial"/>
        <w:sz w:val="22"/>
      </w:rPr>
    </w:lvl>
    <w:lvl w:ilvl="2">
      <w:start w:val="1"/>
      <w:numFmt w:val="decimal"/>
      <w:lvlText w:val="%1.%2.%3."/>
      <w:lvlJc w:val="left"/>
      <w:pPr>
        <w:ind w:left="504" w:hanging="504"/>
      </w:pPr>
      <w:rPr>
        <w:rFonts w:ascii="Arial" w:hAnsi="Arial"/>
        <w:sz w:val="22"/>
      </w:rPr>
    </w:lvl>
    <w:lvl w:ilvl="3">
      <w:start w:val="1"/>
      <w:numFmt w:val="decimal"/>
      <w:lvlText w:val="%1.%2.%3.%4."/>
      <w:lvlJc w:val="left"/>
      <w:pPr>
        <w:ind w:left="648" w:hanging="648"/>
      </w:pPr>
      <w:rPr>
        <w:rFonts w:ascii="Arial" w:hAnsi="Arial"/>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F0498A"/>
    <w:multiLevelType w:val="multilevel"/>
    <w:tmpl w:val="0BAE7E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B8398B"/>
    <w:multiLevelType w:val="hybridMultilevel"/>
    <w:tmpl w:val="82D0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C68F6"/>
    <w:multiLevelType w:val="hybridMultilevel"/>
    <w:tmpl w:val="FB0C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84E24"/>
    <w:multiLevelType w:val="hybridMultilevel"/>
    <w:tmpl w:val="DB4C8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731AE4"/>
    <w:multiLevelType w:val="hybridMultilevel"/>
    <w:tmpl w:val="9AD2F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3C3F36"/>
    <w:multiLevelType w:val="hybridMultilevel"/>
    <w:tmpl w:val="7D3C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AE4BD3"/>
    <w:multiLevelType w:val="hybridMultilevel"/>
    <w:tmpl w:val="41AE0666"/>
    <w:lvl w:ilvl="0" w:tplc="5544A39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65144"/>
    <w:multiLevelType w:val="hybridMultilevel"/>
    <w:tmpl w:val="C412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A1D67"/>
    <w:multiLevelType w:val="hybridMultilevel"/>
    <w:tmpl w:val="63344382"/>
    <w:lvl w:ilvl="0" w:tplc="4498C74A">
      <w:start w:val="1"/>
      <w:numFmt w:val="bullet"/>
      <w:lvlText w:val="o"/>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C2934"/>
    <w:multiLevelType w:val="hybridMultilevel"/>
    <w:tmpl w:val="D7686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BC1441"/>
    <w:multiLevelType w:val="hybridMultilevel"/>
    <w:tmpl w:val="8EB43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923065"/>
    <w:multiLevelType w:val="hybridMultilevel"/>
    <w:tmpl w:val="86F876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652F75BB"/>
    <w:multiLevelType w:val="hybridMultilevel"/>
    <w:tmpl w:val="A9AA8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6E4893"/>
    <w:multiLevelType w:val="hybridMultilevel"/>
    <w:tmpl w:val="C5C8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B3694"/>
    <w:multiLevelType w:val="hybridMultilevel"/>
    <w:tmpl w:val="FDD46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5E2E06"/>
    <w:multiLevelType w:val="hybridMultilevel"/>
    <w:tmpl w:val="4E383456"/>
    <w:lvl w:ilvl="0" w:tplc="3CCCAA28">
      <w:start w:val="1"/>
      <w:numFmt w:val="bullet"/>
      <w:lvlText w:val=""/>
      <w:lvlJc w:val="left"/>
      <w:pPr>
        <w:ind w:left="1791" w:hanging="360"/>
      </w:pPr>
      <w:rPr>
        <w:rFonts w:ascii="Symbol" w:hAnsi="Symbol" w:hint="default"/>
        <w:color w:val="auto"/>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35" w15:restartNumberingAfterBreak="0">
    <w:nsid w:val="739736CA"/>
    <w:multiLevelType w:val="multilevel"/>
    <w:tmpl w:val="7DC2F726"/>
    <w:lvl w:ilvl="0">
      <w:start w:val="1"/>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CD278D"/>
    <w:multiLevelType w:val="hybridMultilevel"/>
    <w:tmpl w:val="F202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DC67A4"/>
    <w:multiLevelType w:val="hybridMultilevel"/>
    <w:tmpl w:val="666CB610"/>
    <w:lvl w:ilvl="0" w:tplc="31304730">
      <w:start w:val="1"/>
      <w:numFmt w:val="decimal"/>
      <w:lvlText w:val="%1."/>
      <w:lvlJc w:val="left"/>
      <w:pPr>
        <w:ind w:left="720" w:hanging="360"/>
      </w:pPr>
      <w:rPr>
        <w:rFonts w:ascii="Calibri" w:hAnsi="Calibri" w:cs="Calibri" w:hint="default"/>
        <w:color w:val="FFFFFF"/>
        <w:sz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322DCB"/>
    <w:multiLevelType w:val="hybridMultilevel"/>
    <w:tmpl w:val="082CD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4B5782"/>
    <w:multiLevelType w:val="hybridMultilevel"/>
    <w:tmpl w:val="CBB2F478"/>
    <w:lvl w:ilvl="0" w:tplc="223EE858">
      <w:start w:val="1"/>
      <w:numFmt w:val="decimal"/>
      <w:lvlText w:val="%1."/>
      <w:lvlJc w:val="left"/>
      <w:pPr>
        <w:ind w:left="720" w:hanging="360"/>
      </w:pPr>
      <w:rPr>
        <w:rFonts w:ascii="Arial" w:hAnsi="Arial" w:hint="default"/>
        <w:b/>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7B72AF"/>
    <w:multiLevelType w:val="multilevel"/>
    <w:tmpl w:val="AEF47C62"/>
    <w:lvl w:ilvl="0">
      <w:start w:val="1"/>
      <w:numFmt w:val="decimal"/>
      <w:pStyle w:val="Policyheader"/>
      <w:lvlText w:val="%1."/>
      <w:lvlJc w:val="left"/>
      <w:pPr>
        <w:ind w:left="360" w:hanging="360"/>
      </w:pPr>
    </w:lvl>
    <w:lvl w:ilvl="1">
      <w:start w:val="1"/>
      <w:numFmt w:val="decimal"/>
      <w:pStyle w:val="Policybulletlevel2"/>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bulletLevel3"/>
      <w:lvlText w:val="%1.%2.%3."/>
      <w:lvlJc w:val="left"/>
      <w:pPr>
        <w:ind w:left="1497"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icybulletlevel4"/>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0"/>
  </w:num>
  <w:num w:numId="3">
    <w:abstractNumId w:val="18"/>
  </w:num>
  <w:num w:numId="4">
    <w:abstractNumId w:val="1"/>
  </w:num>
  <w:num w:numId="5">
    <w:abstractNumId w:val="28"/>
  </w:num>
  <w:num w:numId="6">
    <w:abstractNumId w:val="31"/>
  </w:num>
  <w:num w:numId="7">
    <w:abstractNumId w:val="34"/>
  </w:num>
  <w:num w:numId="8">
    <w:abstractNumId w:val="14"/>
  </w:num>
  <w:num w:numId="9">
    <w:abstractNumId w:val="19"/>
  </w:num>
  <w:num w:numId="10">
    <w:abstractNumId w:val="15"/>
  </w:num>
  <w:num w:numId="11">
    <w:abstractNumId w:val="0"/>
  </w:num>
  <w:num w:numId="12">
    <w:abstractNumId w:val="11"/>
  </w:num>
  <w:num w:numId="13">
    <w:abstractNumId w:val="6"/>
  </w:num>
  <w:num w:numId="14">
    <w:abstractNumId w:val="12"/>
  </w:num>
  <w:num w:numId="15">
    <w:abstractNumId w:val="20"/>
  </w:num>
  <w:num w:numId="16">
    <w:abstractNumId w:val="24"/>
  </w:num>
  <w:num w:numId="17">
    <w:abstractNumId w:val="16"/>
  </w:num>
  <w:num w:numId="18">
    <w:abstractNumId w:val="21"/>
  </w:num>
  <w:num w:numId="19">
    <w:abstractNumId w:val="32"/>
  </w:num>
  <w:num w:numId="20">
    <w:abstractNumId w:val="10"/>
  </w:num>
  <w:num w:numId="21">
    <w:abstractNumId w:val="9"/>
  </w:num>
  <w:num w:numId="22">
    <w:abstractNumId w:val="26"/>
  </w:num>
  <w:num w:numId="23">
    <w:abstractNumId w:val="30"/>
  </w:num>
  <w:num w:numId="24">
    <w:abstractNumId w:val="22"/>
  </w:num>
  <w:num w:numId="25">
    <w:abstractNumId w:val="7"/>
  </w:num>
  <w:num w:numId="26">
    <w:abstractNumId w:val="17"/>
  </w:num>
  <w:num w:numId="27">
    <w:abstractNumId w:val="27"/>
  </w:num>
  <w:num w:numId="28">
    <w:abstractNumId w:val="25"/>
  </w:num>
  <w:num w:numId="29">
    <w:abstractNumId w:val="13"/>
  </w:num>
  <w:num w:numId="30">
    <w:abstractNumId w:val="39"/>
  </w:num>
  <w:num w:numId="31">
    <w:abstractNumId w:val="35"/>
  </w:num>
  <w:num w:numId="32">
    <w:abstractNumId w:val="8"/>
  </w:num>
  <w:num w:numId="33">
    <w:abstractNumId w:val="4"/>
  </w:num>
  <w:num w:numId="34">
    <w:abstractNumId w:val="38"/>
  </w:num>
  <w:num w:numId="35">
    <w:abstractNumId w:val="5"/>
  </w:num>
  <w:num w:numId="36">
    <w:abstractNumId w:val="37"/>
  </w:num>
  <w:num w:numId="37">
    <w:abstractNumId w:val="2"/>
  </w:num>
  <w:num w:numId="38">
    <w:abstractNumId w:val="36"/>
  </w:num>
  <w:num w:numId="39">
    <w:abstractNumId w:val="33"/>
  </w:num>
  <w:num w:numId="40">
    <w:abstractNumId w:val="29"/>
  </w:num>
  <w:num w:numId="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linkStyle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851"/>
  <w:characterSpacingControl w:val="doNotCompress"/>
  <w:hdrShapeDefaults>
    <o:shapedefaults v:ext="edit" spidmax="2049" fill="f" fillcolor="white">
      <v:fill color="white" on="f"/>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0C"/>
    <w:rsid w:val="000014C7"/>
    <w:rsid w:val="000014D6"/>
    <w:rsid w:val="0000165C"/>
    <w:rsid w:val="00002651"/>
    <w:rsid w:val="00003E4D"/>
    <w:rsid w:val="00007830"/>
    <w:rsid w:val="00007983"/>
    <w:rsid w:val="000110B3"/>
    <w:rsid w:val="000114AB"/>
    <w:rsid w:val="00013CC4"/>
    <w:rsid w:val="00014BF2"/>
    <w:rsid w:val="000150D0"/>
    <w:rsid w:val="000160C9"/>
    <w:rsid w:val="000176F0"/>
    <w:rsid w:val="0002072E"/>
    <w:rsid w:val="0002113C"/>
    <w:rsid w:val="000214AC"/>
    <w:rsid w:val="00021B57"/>
    <w:rsid w:val="00022AD0"/>
    <w:rsid w:val="000230A0"/>
    <w:rsid w:val="00023206"/>
    <w:rsid w:val="000235C7"/>
    <w:rsid w:val="000235FC"/>
    <w:rsid w:val="00025230"/>
    <w:rsid w:val="00026647"/>
    <w:rsid w:val="00027992"/>
    <w:rsid w:val="000319B8"/>
    <w:rsid w:val="00031F48"/>
    <w:rsid w:val="000324DE"/>
    <w:rsid w:val="000326E2"/>
    <w:rsid w:val="00033511"/>
    <w:rsid w:val="00033F5B"/>
    <w:rsid w:val="000343DE"/>
    <w:rsid w:val="00035A7E"/>
    <w:rsid w:val="00036C6C"/>
    <w:rsid w:val="00037A45"/>
    <w:rsid w:val="000405F7"/>
    <w:rsid w:val="0004076F"/>
    <w:rsid w:val="00041529"/>
    <w:rsid w:val="00041855"/>
    <w:rsid w:val="00042C20"/>
    <w:rsid w:val="000455C0"/>
    <w:rsid w:val="00047B73"/>
    <w:rsid w:val="00047FBA"/>
    <w:rsid w:val="000502C9"/>
    <w:rsid w:val="000515EF"/>
    <w:rsid w:val="00051810"/>
    <w:rsid w:val="0005240A"/>
    <w:rsid w:val="00053587"/>
    <w:rsid w:val="00054477"/>
    <w:rsid w:val="00055B51"/>
    <w:rsid w:val="00055FAA"/>
    <w:rsid w:val="00057F72"/>
    <w:rsid w:val="00060E68"/>
    <w:rsid w:val="00061F2E"/>
    <w:rsid w:val="000634AD"/>
    <w:rsid w:val="000634C9"/>
    <w:rsid w:val="00063D70"/>
    <w:rsid w:val="00064C60"/>
    <w:rsid w:val="000654AB"/>
    <w:rsid w:val="00066B57"/>
    <w:rsid w:val="00066D76"/>
    <w:rsid w:val="00066DDA"/>
    <w:rsid w:val="00070B42"/>
    <w:rsid w:val="000710AE"/>
    <w:rsid w:val="00073398"/>
    <w:rsid w:val="0007344F"/>
    <w:rsid w:val="0007392B"/>
    <w:rsid w:val="000741BC"/>
    <w:rsid w:val="00074BA0"/>
    <w:rsid w:val="00076834"/>
    <w:rsid w:val="000773F2"/>
    <w:rsid w:val="00077752"/>
    <w:rsid w:val="00077822"/>
    <w:rsid w:val="00077D24"/>
    <w:rsid w:val="000812D9"/>
    <w:rsid w:val="0008156F"/>
    <w:rsid w:val="00082BE5"/>
    <w:rsid w:val="0008312D"/>
    <w:rsid w:val="00083194"/>
    <w:rsid w:val="0008484F"/>
    <w:rsid w:val="00084FF1"/>
    <w:rsid w:val="00085489"/>
    <w:rsid w:val="00085E0F"/>
    <w:rsid w:val="00086089"/>
    <w:rsid w:val="000868BF"/>
    <w:rsid w:val="000873C7"/>
    <w:rsid w:val="000903C7"/>
    <w:rsid w:val="00091A3C"/>
    <w:rsid w:val="00092115"/>
    <w:rsid w:val="00095BB3"/>
    <w:rsid w:val="00095C83"/>
    <w:rsid w:val="00096C1E"/>
    <w:rsid w:val="00097021"/>
    <w:rsid w:val="0009740F"/>
    <w:rsid w:val="00097484"/>
    <w:rsid w:val="0009771E"/>
    <w:rsid w:val="000A0E25"/>
    <w:rsid w:val="000A1DF1"/>
    <w:rsid w:val="000A1E88"/>
    <w:rsid w:val="000A20EB"/>
    <w:rsid w:val="000A2D44"/>
    <w:rsid w:val="000A2EF6"/>
    <w:rsid w:val="000A36D8"/>
    <w:rsid w:val="000A38F1"/>
    <w:rsid w:val="000A3B0B"/>
    <w:rsid w:val="000A45BE"/>
    <w:rsid w:val="000A55DA"/>
    <w:rsid w:val="000A5FF2"/>
    <w:rsid w:val="000B074E"/>
    <w:rsid w:val="000B28D9"/>
    <w:rsid w:val="000B29D9"/>
    <w:rsid w:val="000B4836"/>
    <w:rsid w:val="000B5AEA"/>
    <w:rsid w:val="000B5E5A"/>
    <w:rsid w:val="000B62FF"/>
    <w:rsid w:val="000C0041"/>
    <w:rsid w:val="000C1626"/>
    <w:rsid w:val="000C1958"/>
    <w:rsid w:val="000C39C8"/>
    <w:rsid w:val="000C3CCF"/>
    <w:rsid w:val="000C471D"/>
    <w:rsid w:val="000C5297"/>
    <w:rsid w:val="000C58EA"/>
    <w:rsid w:val="000C656A"/>
    <w:rsid w:val="000C6BB5"/>
    <w:rsid w:val="000C6DEE"/>
    <w:rsid w:val="000C7427"/>
    <w:rsid w:val="000C75BB"/>
    <w:rsid w:val="000D084E"/>
    <w:rsid w:val="000D0D5C"/>
    <w:rsid w:val="000D2838"/>
    <w:rsid w:val="000D33ED"/>
    <w:rsid w:val="000D4CE4"/>
    <w:rsid w:val="000D5163"/>
    <w:rsid w:val="000D532D"/>
    <w:rsid w:val="000D6DD3"/>
    <w:rsid w:val="000D6F0C"/>
    <w:rsid w:val="000E020D"/>
    <w:rsid w:val="000E0210"/>
    <w:rsid w:val="000E1288"/>
    <w:rsid w:val="000E1A88"/>
    <w:rsid w:val="000E2226"/>
    <w:rsid w:val="000E249C"/>
    <w:rsid w:val="000E273F"/>
    <w:rsid w:val="000E4465"/>
    <w:rsid w:val="000E4679"/>
    <w:rsid w:val="000E5344"/>
    <w:rsid w:val="000E6977"/>
    <w:rsid w:val="000E6D8E"/>
    <w:rsid w:val="000E70C5"/>
    <w:rsid w:val="000F1F63"/>
    <w:rsid w:val="000F23A7"/>
    <w:rsid w:val="000F2C31"/>
    <w:rsid w:val="000F3398"/>
    <w:rsid w:val="000F3D40"/>
    <w:rsid w:val="000F3E64"/>
    <w:rsid w:val="000F4F67"/>
    <w:rsid w:val="000F52FD"/>
    <w:rsid w:val="000F58E7"/>
    <w:rsid w:val="000F5D69"/>
    <w:rsid w:val="000F635E"/>
    <w:rsid w:val="000F67A1"/>
    <w:rsid w:val="00100C9D"/>
    <w:rsid w:val="00101CC3"/>
    <w:rsid w:val="00102254"/>
    <w:rsid w:val="001023A6"/>
    <w:rsid w:val="00102FF4"/>
    <w:rsid w:val="00103F74"/>
    <w:rsid w:val="00103F85"/>
    <w:rsid w:val="001056AB"/>
    <w:rsid w:val="001056C5"/>
    <w:rsid w:val="00105E54"/>
    <w:rsid w:val="00106144"/>
    <w:rsid w:val="00106631"/>
    <w:rsid w:val="00106A64"/>
    <w:rsid w:val="00107A5F"/>
    <w:rsid w:val="00107AA5"/>
    <w:rsid w:val="001102E5"/>
    <w:rsid w:val="00110505"/>
    <w:rsid w:val="00110BC3"/>
    <w:rsid w:val="00111710"/>
    <w:rsid w:val="0011183D"/>
    <w:rsid w:val="001121D7"/>
    <w:rsid w:val="001141D6"/>
    <w:rsid w:val="00114494"/>
    <w:rsid w:val="001154D8"/>
    <w:rsid w:val="00115892"/>
    <w:rsid w:val="00120F21"/>
    <w:rsid w:val="00122293"/>
    <w:rsid w:val="00122810"/>
    <w:rsid w:val="00122902"/>
    <w:rsid w:val="00122B0F"/>
    <w:rsid w:val="00122D17"/>
    <w:rsid w:val="001234F9"/>
    <w:rsid w:val="0012411D"/>
    <w:rsid w:val="001243B4"/>
    <w:rsid w:val="00124C28"/>
    <w:rsid w:val="0012564A"/>
    <w:rsid w:val="00125833"/>
    <w:rsid w:val="00126043"/>
    <w:rsid w:val="00126D25"/>
    <w:rsid w:val="001272A9"/>
    <w:rsid w:val="00130197"/>
    <w:rsid w:val="00130FE0"/>
    <w:rsid w:val="0013144C"/>
    <w:rsid w:val="001321EA"/>
    <w:rsid w:val="00133850"/>
    <w:rsid w:val="001344D5"/>
    <w:rsid w:val="00134C03"/>
    <w:rsid w:val="00135A78"/>
    <w:rsid w:val="00136107"/>
    <w:rsid w:val="001378A1"/>
    <w:rsid w:val="00141501"/>
    <w:rsid w:val="00141BE2"/>
    <w:rsid w:val="00142C77"/>
    <w:rsid w:val="00145B6C"/>
    <w:rsid w:val="00146778"/>
    <w:rsid w:val="00146B09"/>
    <w:rsid w:val="00147164"/>
    <w:rsid w:val="0015129C"/>
    <w:rsid w:val="00151D10"/>
    <w:rsid w:val="001521B6"/>
    <w:rsid w:val="00152650"/>
    <w:rsid w:val="001535D5"/>
    <w:rsid w:val="00153A33"/>
    <w:rsid w:val="001548E5"/>
    <w:rsid w:val="00155F1F"/>
    <w:rsid w:val="00157151"/>
    <w:rsid w:val="0015790D"/>
    <w:rsid w:val="0016118E"/>
    <w:rsid w:val="0016243C"/>
    <w:rsid w:val="0016273E"/>
    <w:rsid w:val="00162A1B"/>
    <w:rsid w:val="00164514"/>
    <w:rsid w:val="001651AD"/>
    <w:rsid w:val="00165641"/>
    <w:rsid w:val="00166603"/>
    <w:rsid w:val="00166DE4"/>
    <w:rsid w:val="00167054"/>
    <w:rsid w:val="001678CE"/>
    <w:rsid w:val="001705B2"/>
    <w:rsid w:val="00170A16"/>
    <w:rsid w:val="00170CC5"/>
    <w:rsid w:val="0017168D"/>
    <w:rsid w:val="001720E9"/>
    <w:rsid w:val="001728F1"/>
    <w:rsid w:val="00172A37"/>
    <w:rsid w:val="0017321A"/>
    <w:rsid w:val="001732B0"/>
    <w:rsid w:val="00173DB7"/>
    <w:rsid w:val="00174248"/>
    <w:rsid w:val="00175BB2"/>
    <w:rsid w:val="00175DB7"/>
    <w:rsid w:val="00176B55"/>
    <w:rsid w:val="00177475"/>
    <w:rsid w:val="001779FE"/>
    <w:rsid w:val="00177CC6"/>
    <w:rsid w:val="00180E32"/>
    <w:rsid w:val="00181E70"/>
    <w:rsid w:val="00183414"/>
    <w:rsid w:val="00183550"/>
    <w:rsid w:val="0018573B"/>
    <w:rsid w:val="0018652D"/>
    <w:rsid w:val="001868C0"/>
    <w:rsid w:val="00187066"/>
    <w:rsid w:val="00187477"/>
    <w:rsid w:val="00187D64"/>
    <w:rsid w:val="001917E3"/>
    <w:rsid w:val="0019207A"/>
    <w:rsid w:val="0019388C"/>
    <w:rsid w:val="0019450E"/>
    <w:rsid w:val="00194B7E"/>
    <w:rsid w:val="00195731"/>
    <w:rsid w:val="001964BF"/>
    <w:rsid w:val="00196CDD"/>
    <w:rsid w:val="00197240"/>
    <w:rsid w:val="00197DFA"/>
    <w:rsid w:val="001A1C2C"/>
    <w:rsid w:val="001A39A3"/>
    <w:rsid w:val="001A494D"/>
    <w:rsid w:val="001A5C0F"/>
    <w:rsid w:val="001A5D23"/>
    <w:rsid w:val="001A5E44"/>
    <w:rsid w:val="001A7535"/>
    <w:rsid w:val="001A7548"/>
    <w:rsid w:val="001A7728"/>
    <w:rsid w:val="001B000D"/>
    <w:rsid w:val="001B0496"/>
    <w:rsid w:val="001B04DD"/>
    <w:rsid w:val="001B0966"/>
    <w:rsid w:val="001B2692"/>
    <w:rsid w:val="001B2B76"/>
    <w:rsid w:val="001B4BF3"/>
    <w:rsid w:val="001B5DE0"/>
    <w:rsid w:val="001B6189"/>
    <w:rsid w:val="001B66FB"/>
    <w:rsid w:val="001B67DB"/>
    <w:rsid w:val="001B6B3A"/>
    <w:rsid w:val="001C0766"/>
    <w:rsid w:val="001C121D"/>
    <w:rsid w:val="001C1840"/>
    <w:rsid w:val="001C4353"/>
    <w:rsid w:val="001C49E5"/>
    <w:rsid w:val="001C60EF"/>
    <w:rsid w:val="001C6632"/>
    <w:rsid w:val="001C71FE"/>
    <w:rsid w:val="001C768E"/>
    <w:rsid w:val="001D1C7D"/>
    <w:rsid w:val="001D1E30"/>
    <w:rsid w:val="001D3452"/>
    <w:rsid w:val="001D5061"/>
    <w:rsid w:val="001D7A27"/>
    <w:rsid w:val="001E0155"/>
    <w:rsid w:val="001E0B6B"/>
    <w:rsid w:val="001E1AF3"/>
    <w:rsid w:val="001E2FBC"/>
    <w:rsid w:val="001E3567"/>
    <w:rsid w:val="001E3D8D"/>
    <w:rsid w:val="001E6B21"/>
    <w:rsid w:val="001F0E06"/>
    <w:rsid w:val="001F406F"/>
    <w:rsid w:val="001F4A31"/>
    <w:rsid w:val="001F4B3A"/>
    <w:rsid w:val="001F51FC"/>
    <w:rsid w:val="001F72F5"/>
    <w:rsid w:val="001F744F"/>
    <w:rsid w:val="00200300"/>
    <w:rsid w:val="002015C8"/>
    <w:rsid w:val="00201DF3"/>
    <w:rsid w:val="00202CF5"/>
    <w:rsid w:val="00202EF3"/>
    <w:rsid w:val="0020403E"/>
    <w:rsid w:val="00204773"/>
    <w:rsid w:val="00204980"/>
    <w:rsid w:val="002049CB"/>
    <w:rsid w:val="00206389"/>
    <w:rsid w:val="00206A19"/>
    <w:rsid w:val="00211BAB"/>
    <w:rsid w:val="00213070"/>
    <w:rsid w:val="002145A5"/>
    <w:rsid w:val="002150D8"/>
    <w:rsid w:val="00216005"/>
    <w:rsid w:val="002166E0"/>
    <w:rsid w:val="002174A3"/>
    <w:rsid w:val="002210DF"/>
    <w:rsid w:val="002224AE"/>
    <w:rsid w:val="002225BB"/>
    <w:rsid w:val="00222726"/>
    <w:rsid w:val="0022378C"/>
    <w:rsid w:val="0022393A"/>
    <w:rsid w:val="00223CC4"/>
    <w:rsid w:val="00223D1C"/>
    <w:rsid w:val="00225077"/>
    <w:rsid w:val="0022569C"/>
    <w:rsid w:val="0022766A"/>
    <w:rsid w:val="00227F68"/>
    <w:rsid w:val="00233162"/>
    <w:rsid w:val="00234F54"/>
    <w:rsid w:val="0023601A"/>
    <w:rsid w:val="00236157"/>
    <w:rsid w:val="002367B7"/>
    <w:rsid w:val="002375B9"/>
    <w:rsid w:val="00241FB8"/>
    <w:rsid w:val="00242D10"/>
    <w:rsid w:val="00243DE5"/>
    <w:rsid w:val="002445BA"/>
    <w:rsid w:val="00244ED7"/>
    <w:rsid w:val="00246DF4"/>
    <w:rsid w:val="00247DAD"/>
    <w:rsid w:val="00250E78"/>
    <w:rsid w:val="00251D57"/>
    <w:rsid w:val="00251DBC"/>
    <w:rsid w:val="0025235D"/>
    <w:rsid w:val="00252443"/>
    <w:rsid w:val="002534CC"/>
    <w:rsid w:val="002546A8"/>
    <w:rsid w:val="0025498D"/>
    <w:rsid w:val="00254D50"/>
    <w:rsid w:val="00256D21"/>
    <w:rsid w:val="00261A46"/>
    <w:rsid w:val="0026279E"/>
    <w:rsid w:val="0026662B"/>
    <w:rsid w:val="00267128"/>
    <w:rsid w:val="0027103C"/>
    <w:rsid w:val="00273DE7"/>
    <w:rsid w:val="00273EDA"/>
    <w:rsid w:val="002740B5"/>
    <w:rsid w:val="00275426"/>
    <w:rsid w:val="00275539"/>
    <w:rsid w:val="00275661"/>
    <w:rsid w:val="00275A5D"/>
    <w:rsid w:val="0027630A"/>
    <w:rsid w:val="0028037E"/>
    <w:rsid w:val="00282D70"/>
    <w:rsid w:val="00282D84"/>
    <w:rsid w:val="00283B70"/>
    <w:rsid w:val="00285EC8"/>
    <w:rsid w:val="00290118"/>
    <w:rsid w:val="00292378"/>
    <w:rsid w:val="00292C7C"/>
    <w:rsid w:val="00293F49"/>
    <w:rsid w:val="002942AD"/>
    <w:rsid w:val="002959F4"/>
    <w:rsid w:val="002962BD"/>
    <w:rsid w:val="002974AD"/>
    <w:rsid w:val="002A0C01"/>
    <w:rsid w:val="002A141D"/>
    <w:rsid w:val="002A29D7"/>
    <w:rsid w:val="002A3CB8"/>
    <w:rsid w:val="002A5176"/>
    <w:rsid w:val="002A5A89"/>
    <w:rsid w:val="002A5C4E"/>
    <w:rsid w:val="002A6CB3"/>
    <w:rsid w:val="002A7F6C"/>
    <w:rsid w:val="002B0430"/>
    <w:rsid w:val="002B0638"/>
    <w:rsid w:val="002B490A"/>
    <w:rsid w:val="002B5153"/>
    <w:rsid w:val="002B57C1"/>
    <w:rsid w:val="002B60AE"/>
    <w:rsid w:val="002B6119"/>
    <w:rsid w:val="002B7292"/>
    <w:rsid w:val="002B7457"/>
    <w:rsid w:val="002B7DCD"/>
    <w:rsid w:val="002C16FA"/>
    <w:rsid w:val="002C2213"/>
    <w:rsid w:val="002C2A1F"/>
    <w:rsid w:val="002C4CD8"/>
    <w:rsid w:val="002C5771"/>
    <w:rsid w:val="002C61B0"/>
    <w:rsid w:val="002C6D21"/>
    <w:rsid w:val="002C704B"/>
    <w:rsid w:val="002C7058"/>
    <w:rsid w:val="002D115E"/>
    <w:rsid w:val="002D1412"/>
    <w:rsid w:val="002D1BEB"/>
    <w:rsid w:val="002D1D3A"/>
    <w:rsid w:val="002D3EA1"/>
    <w:rsid w:val="002D5383"/>
    <w:rsid w:val="002D53DB"/>
    <w:rsid w:val="002D544A"/>
    <w:rsid w:val="002D5A76"/>
    <w:rsid w:val="002D64C1"/>
    <w:rsid w:val="002D69B0"/>
    <w:rsid w:val="002D69EB"/>
    <w:rsid w:val="002D7476"/>
    <w:rsid w:val="002D785C"/>
    <w:rsid w:val="002D7E0E"/>
    <w:rsid w:val="002E0239"/>
    <w:rsid w:val="002E042A"/>
    <w:rsid w:val="002E12AB"/>
    <w:rsid w:val="002E3389"/>
    <w:rsid w:val="002E4234"/>
    <w:rsid w:val="002E46A0"/>
    <w:rsid w:val="002E7D21"/>
    <w:rsid w:val="002E7EBD"/>
    <w:rsid w:val="002F2863"/>
    <w:rsid w:val="002F2D09"/>
    <w:rsid w:val="002F3903"/>
    <w:rsid w:val="002F4173"/>
    <w:rsid w:val="002F43BC"/>
    <w:rsid w:val="002F4411"/>
    <w:rsid w:val="002F4CF4"/>
    <w:rsid w:val="002F5451"/>
    <w:rsid w:val="002F57EA"/>
    <w:rsid w:val="002F5976"/>
    <w:rsid w:val="002F6762"/>
    <w:rsid w:val="002F6889"/>
    <w:rsid w:val="002F7B47"/>
    <w:rsid w:val="003009BE"/>
    <w:rsid w:val="003009DB"/>
    <w:rsid w:val="00301B05"/>
    <w:rsid w:val="00301B89"/>
    <w:rsid w:val="00304805"/>
    <w:rsid w:val="003056F7"/>
    <w:rsid w:val="00305A66"/>
    <w:rsid w:val="003061D9"/>
    <w:rsid w:val="00307791"/>
    <w:rsid w:val="0031067F"/>
    <w:rsid w:val="00310860"/>
    <w:rsid w:val="00310C5D"/>
    <w:rsid w:val="00312721"/>
    <w:rsid w:val="00312747"/>
    <w:rsid w:val="0031307A"/>
    <w:rsid w:val="0031481C"/>
    <w:rsid w:val="00315606"/>
    <w:rsid w:val="0031686B"/>
    <w:rsid w:val="0031729A"/>
    <w:rsid w:val="00317336"/>
    <w:rsid w:val="0031734B"/>
    <w:rsid w:val="003200B4"/>
    <w:rsid w:val="0032209D"/>
    <w:rsid w:val="003230FB"/>
    <w:rsid w:val="00323576"/>
    <w:rsid w:val="0032468A"/>
    <w:rsid w:val="00324BA4"/>
    <w:rsid w:val="003301EA"/>
    <w:rsid w:val="00330432"/>
    <w:rsid w:val="003308D3"/>
    <w:rsid w:val="00331EEC"/>
    <w:rsid w:val="00332AC8"/>
    <w:rsid w:val="00333718"/>
    <w:rsid w:val="00333747"/>
    <w:rsid w:val="00335E8D"/>
    <w:rsid w:val="003365A2"/>
    <w:rsid w:val="003402E9"/>
    <w:rsid w:val="00340729"/>
    <w:rsid w:val="003407FD"/>
    <w:rsid w:val="00341B48"/>
    <w:rsid w:val="00341C18"/>
    <w:rsid w:val="00341E19"/>
    <w:rsid w:val="00342224"/>
    <w:rsid w:val="00342DD1"/>
    <w:rsid w:val="00344D7A"/>
    <w:rsid w:val="00345ACA"/>
    <w:rsid w:val="003470C3"/>
    <w:rsid w:val="00347A49"/>
    <w:rsid w:val="00350BCF"/>
    <w:rsid w:val="00351290"/>
    <w:rsid w:val="00351ADF"/>
    <w:rsid w:val="00351C51"/>
    <w:rsid w:val="00351D0F"/>
    <w:rsid w:val="003530B2"/>
    <w:rsid w:val="00353B4B"/>
    <w:rsid w:val="00354B5A"/>
    <w:rsid w:val="00360087"/>
    <w:rsid w:val="0036038A"/>
    <w:rsid w:val="003603B0"/>
    <w:rsid w:val="00364949"/>
    <w:rsid w:val="00364C45"/>
    <w:rsid w:val="003660CA"/>
    <w:rsid w:val="0036618D"/>
    <w:rsid w:val="00366D3B"/>
    <w:rsid w:val="0037021D"/>
    <w:rsid w:val="00370F69"/>
    <w:rsid w:val="00372A83"/>
    <w:rsid w:val="00374150"/>
    <w:rsid w:val="003804BF"/>
    <w:rsid w:val="003805CE"/>
    <w:rsid w:val="003827A2"/>
    <w:rsid w:val="00382DE1"/>
    <w:rsid w:val="00383498"/>
    <w:rsid w:val="0038603E"/>
    <w:rsid w:val="003870B4"/>
    <w:rsid w:val="00387751"/>
    <w:rsid w:val="00387C98"/>
    <w:rsid w:val="00390057"/>
    <w:rsid w:val="003903B4"/>
    <w:rsid w:val="00390CA8"/>
    <w:rsid w:val="0039158E"/>
    <w:rsid w:val="00392D52"/>
    <w:rsid w:val="00394867"/>
    <w:rsid w:val="00394E70"/>
    <w:rsid w:val="003952F8"/>
    <w:rsid w:val="00396CA6"/>
    <w:rsid w:val="003A16AB"/>
    <w:rsid w:val="003A26FA"/>
    <w:rsid w:val="003A277C"/>
    <w:rsid w:val="003A2A62"/>
    <w:rsid w:val="003A2B9D"/>
    <w:rsid w:val="003A30E9"/>
    <w:rsid w:val="003A374F"/>
    <w:rsid w:val="003A4D82"/>
    <w:rsid w:val="003A64E2"/>
    <w:rsid w:val="003A6894"/>
    <w:rsid w:val="003A7449"/>
    <w:rsid w:val="003B1441"/>
    <w:rsid w:val="003B2DDB"/>
    <w:rsid w:val="003B3DFD"/>
    <w:rsid w:val="003B4F56"/>
    <w:rsid w:val="003B4F94"/>
    <w:rsid w:val="003B54B5"/>
    <w:rsid w:val="003B582B"/>
    <w:rsid w:val="003C123A"/>
    <w:rsid w:val="003C2187"/>
    <w:rsid w:val="003C224D"/>
    <w:rsid w:val="003C373C"/>
    <w:rsid w:val="003C38D4"/>
    <w:rsid w:val="003C707A"/>
    <w:rsid w:val="003D1F7F"/>
    <w:rsid w:val="003D2472"/>
    <w:rsid w:val="003D28DF"/>
    <w:rsid w:val="003D3111"/>
    <w:rsid w:val="003D3A8D"/>
    <w:rsid w:val="003D6A46"/>
    <w:rsid w:val="003E0A7A"/>
    <w:rsid w:val="003E0E90"/>
    <w:rsid w:val="003E104A"/>
    <w:rsid w:val="003E2AB7"/>
    <w:rsid w:val="003E34A4"/>
    <w:rsid w:val="003E5848"/>
    <w:rsid w:val="003E5921"/>
    <w:rsid w:val="003E76C2"/>
    <w:rsid w:val="003E7836"/>
    <w:rsid w:val="003E79E4"/>
    <w:rsid w:val="003F0EB9"/>
    <w:rsid w:val="003F1DE1"/>
    <w:rsid w:val="003F3CB0"/>
    <w:rsid w:val="003F3E70"/>
    <w:rsid w:val="003F4305"/>
    <w:rsid w:val="003F4A23"/>
    <w:rsid w:val="003F511C"/>
    <w:rsid w:val="003F54F8"/>
    <w:rsid w:val="003F79D6"/>
    <w:rsid w:val="0040052E"/>
    <w:rsid w:val="00400FFE"/>
    <w:rsid w:val="004036C4"/>
    <w:rsid w:val="00403E37"/>
    <w:rsid w:val="004040DD"/>
    <w:rsid w:val="00405557"/>
    <w:rsid w:val="00405861"/>
    <w:rsid w:val="0040587C"/>
    <w:rsid w:val="004060FD"/>
    <w:rsid w:val="0040653B"/>
    <w:rsid w:val="004077C9"/>
    <w:rsid w:val="0041037B"/>
    <w:rsid w:val="00410C40"/>
    <w:rsid w:val="00411E81"/>
    <w:rsid w:val="004124B1"/>
    <w:rsid w:val="00412F7A"/>
    <w:rsid w:val="004149CA"/>
    <w:rsid w:val="004175B1"/>
    <w:rsid w:val="00417EE9"/>
    <w:rsid w:val="00420516"/>
    <w:rsid w:val="00421EFD"/>
    <w:rsid w:val="00421FAD"/>
    <w:rsid w:val="00424249"/>
    <w:rsid w:val="00424711"/>
    <w:rsid w:val="00425A00"/>
    <w:rsid w:val="00425EE8"/>
    <w:rsid w:val="00426C24"/>
    <w:rsid w:val="00427E1A"/>
    <w:rsid w:val="00431459"/>
    <w:rsid w:val="004322EB"/>
    <w:rsid w:val="00432543"/>
    <w:rsid w:val="00432CCD"/>
    <w:rsid w:val="00433014"/>
    <w:rsid w:val="004335AB"/>
    <w:rsid w:val="00434468"/>
    <w:rsid w:val="00434F90"/>
    <w:rsid w:val="004365B9"/>
    <w:rsid w:val="00436AF0"/>
    <w:rsid w:val="00437707"/>
    <w:rsid w:val="00437798"/>
    <w:rsid w:val="00440A29"/>
    <w:rsid w:val="00440C5E"/>
    <w:rsid w:val="004410C2"/>
    <w:rsid w:val="00441112"/>
    <w:rsid w:val="00441ACA"/>
    <w:rsid w:val="00442B7F"/>
    <w:rsid w:val="00442EA9"/>
    <w:rsid w:val="004439D7"/>
    <w:rsid w:val="00446F00"/>
    <w:rsid w:val="004472CB"/>
    <w:rsid w:val="00447B27"/>
    <w:rsid w:val="00450398"/>
    <w:rsid w:val="004507F9"/>
    <w:rsid w:val="0045116F"/>
    <w:rsid w:val="004514CF"/>
    <w:rsid w:val="00451DE9"/>
    <w:rsid w:val="00451FDF"/>
    <w:rsid w:val="0045239B"/>
    <w:rsid w:val="00452CA3"/>
    <w:rsid w:val="00454299"/>
    <w:rsid w:val="0045751D"/>
    <w:rsid w:val="00457739"/>
    <w:rsid w:val="00457AB8"/>
    <w:rsid w:val="00457C4F"/>
    <w:rsid w:val="004606E2"/>
    <w:rsid w:val="00460A7A"/>
    <w:rsid w:val="00460AFD"/>
    <w:rsid w:val="00461556"/>
    <w:rsid w:val="00461D9A"/>
    <w:rsid w:val="0046494C"/>
    <w:rsid w:val="00465454"/>
    <w:rsid w:val="00465EC2"/>
    <w:rsid w:val="00466978"/>
    <w:rsid w:val="00467A2D"/>
    <w:rsid w:val="00467DFF"/>
    <w:rsid w:val="00470009"/>
    <w:rsid w:val="0047188E"/>
    <w:rsid w:val="00471C44"/>
    <w:rsid w:val="00471C96"/>
    <w:rsid w:val="00472F19"/>
    <w:rsid w:val="0047351C"/>
    <w:rsid w:val="0047378A"/>
    <w:rsid w:val="00476110"/>
    <w:rsid w:val="00476375"/>
    <w:rsid w:val="004805F3"/>
    <w:rsid w:val="00480605"/>
    <w:rsid w:val="00480621"/>
    <w:rsid w:val="00480ADD"/>
    <w:rsid w:val="00483D40"/>
    <w:rsid w:val="0048421C"/>
    <w:rsid w:val="00486418"/>
    <w:rsid w:val="00487B97"/>
    <w:rsid w:val="00490C1C"/>
    <w:rsid w:val="00491FAA"/>
    <w:rsid w:val="00492298"/>
    <w:rsid w:val="0049318C"/>
    <w:rsid w:val="004938B4"/>
    <w:rsid w:val="0049411C"/>
    <w:rsid w:val="00494E43"/>
    <w:rsid w:val="00494F8B"/>
    <w:rsid w:val="004951C0"/>
    <w:rsid w:val="004968C4"/>
    <w:rsid w:val="00496DBC"/>
    <w:rsid w:val="004970F5"/>
    <w:rsid w:val="004974C4"/>
    <w:rsid w:val="004A0222"/>
    <w:rsid w:val="004A168C"/>
    <w:rsid w:val="004A1811"/>
    <w:rsid w:val="004A1C0D"/>
    <w:rsid w:val="004A26FA"/>
    <w:rsid w:val="004A4396"/>
    <w:rsid w:val="004A5DAA"/>
    <w:rsid w:val="004A6106"/>
    <w:rsid w:val="004A63BA"/>
    <w:rsid w:val="004B00FE"/>
    <w:rsid w:val="004B0A70"/>
    <w:rsid w:val="004B27F2"/>
    <w:rsid w:val="004B3991"/>
    <w:rsid w:val="004B6A75"/>
    <w:rsid w:val="004C323A"/>
    <w:rsid w:val="004C4E66"/>
    <w:rsid w:val="004C5269"/>
    <w:rsid w:val="004C56E9"/>
    <w:rsid w:val="004C5F83"/>
    <w:rsid w:val="004C6D5C"/>
    <w:rsid w:val="004D00B3"/>
    <w:rsid w:val="004D06C0"/>
    <w:rsid w:val="004D0EE8"/>
    <w:rsid w:val="004D3B3B"/>
    <w:rsid w:val="004D4FB7"/>
    <w:rsid w:val="004D5795"/>
    <w:rsid w:val="004D6F14"/>
    <w:rsid w:val="004D7A19"/>
    <w:rsid w:val="004E0919"/>
    <w:rsid w:val="004E1014"/>
    <w:rsid w:val="004E2A76"/>
    <w:rsid w:val="004E511A"/>
    <w:rsid w:val="004E5DA3"/>
    <w:rsid w:val="004E6429"/>
    <w:rsid w:val="004E6509"/>
    <w:rsid w:val="004E6587"/>
    <w:rsid w:val="004E6606"/>
    <w:rsid w:val="004E66F1"/>
    <w:rsid w:val="004E6B72"/>
    <w:rsid w:val="004E6D98"/>
    <w:rsid w:val="004E7779"/>
    <w:rsid w:val="004F12F3"/>
    <w:rsid w:val="004F139F"/>
    <w:rsid w:val="004F14E5"/>
    <w:rsid w:val="004F19B6"/>
    <w:rsid w:val="004F22AE"/>
    <w:rsid w:val="004F4F33"/>
    <w:rsid w:val="004F5DA4"/>
    <w:rsid w:val="004F6208"/>
    <w:rsid w:val="005007CD"/>
    <w:rsid w:val="00500CB3"/>
    <w:rsid w:val="005015B5"/>
    <w:rsid w:val="005053F0"/>
    <w:rsid w:val="00505F35"/>
    <w:rsid w:val="00506BB9"/>
    <w:rsid w:val="00510B16"/>
    <w:rsid w:val="00511FD9"/>
    <w:rsid w:val="00512120"/>
    <w:rsid w:val="0051362A"/>
    <w:rsid w:val="005137EB"/>
    <w:rsid w:val="00513920"/>
    <w:rsid w:val="00513D35"/>
    <w:rsid w:val="00517555"/>
    <w:rsid w:val="00520A65"/>
    <w:rsid w:val="005212F7"/>
    <w:rsid w:val="00521498"/>
    <w:rsid w:val="00521F00"/>
    <w:rsid w:val="00523697"/>
    <w:rsid w:val="00523787"/>
    <w:rsid w:val="00524091"/>
    <w:rsid w:val="0052552C"/>
    <w:rsid w:val="00526117"/>
    <w:rsid w:val="00526C5C"/>
    <w:rsid w:val="005270F5"/>
    <w:rsid w:val="00527AF0"/>
    <w:rsid w:val="00530F56"/>
    <w:rsid w:val="00530FE1"/>
    <w:rsid w:val="00531EB6"/>
    <w:rsid w:val="005346E8"/>
    <w:rsid w:val="005348E9"/>
    <w:rsid w:val="00534A78"/>
    <w:rsid w:val="00534B59"/>
    <w:rsid w:val="00536925"/>
    <w:rsid w:val="0054122C"/>
    <w:rsid w:val="00542296"/>
    <w:rsid w:val="00542B8F"/>
    <w:rsid w:val="00542CF3"/>
    <w:rsid w:val="005434C4"/>
    <w:rsid w:val="00546D51"/>
    <w:rsid w:val="00550172"/>
    <w:rsid w:val="00551B08"/>
    <w:rsid w:val="00552062"/>
    <w:rsid w:val="00554F94"/>
    <w:rsid w:val="0055530D"/>
    <w:rsid w:val="005554DB"/>
    <w:rsid w:val="0055565C"/>
    <w:rsid w:val="00555D9F"/>
    <w:rsid w:val="005564D3"/>
    <w:rsid w:val="00556E5B"/>
    <w:rsid w:val="00562799"/>
    <w:rsid w:val="0056284E"/>
    <w:rsid w:val="005638E5"/>
    <w:rsid w:val="00563CB1"/>
    <w:rsid w:val="00564B44"/>
    <w:rsid w:val="00564E17"/>
    <w:rsid w:val="00565BAF"/>
    <w:rsid w:val="00566526"/>
    <w:rsid w:val="00566CDE"/>
    <w:rsid w:val="00566E6C"/>
    <w:rsid w:val="00567288"/>
    <w:rsid w:val="005704EE"/>
    <w:rsid w:val="00571B3F"/>
    <w:rsid w:val="0057298A"/>
    <w:rsid w:val="00572FE7"/>
    <w:rsid w:val="00573A3B"/>
    <w:rsid w:val="00574CF0"/>
    <w:rsid w:val="005751AA"/>
    <w:rsid w:val="0057525C"/>
    <w:rsid w:val="00575BD3"/>
    <w:rsid w:val="00575F98"/>
    <w:rsid w:val="00576643"/>
    <w:rsid w:val="00576CDA"/>
    <w:rsid w:val="005773C0"/>
    <w:rsid w:val="0057798E"/>
    <w:rsid w:val="00577EC5"/>
    <w:rsid w:val="00580169"/>
    <w:rsid w:val="005801A3"/>
    <w:rsid w:val="00581333"/>
    <w:rsid w:val="00582363"/>
    <w:rsid w:val="00582597"/>
    <w:rsid w:val="00582871"/>
    <w:rsid w:val="00583A2D"/>
    <w:rsid w:val="00585EAF"/>
    <w:rsid w:val="00586A70"/>
    <w:rsid w:val="00587617"/>
    <w:rsid w:val="00591851"/>
    <w:rsid w:val="00591DBB"/>
    <w:rsid w:val="00591F8C"/>
    <w:rsid w:val="005927D2"/>
    <w:rsid w:val="005927F7"/>
    <w:rsid w:val="00593507"/>
    <w:rsid w:val="005940C8"/>
    <w:rsid w:val="005954C2"/>
    <w:rsid w:val="00595E77"/>
    <w:rsid w:val="00596AA4"/>
    <w:rsid w:val="0059773B"/>
    <w:rsid w:val="005A09E3"/>
    <w:rsid w:val="005A0F79"/>
    <w:rsid w:val="005A14F0"/>
    <w:rsid w:val="005A2784"/>
    <w:rsid w:val="005A2B56"/>
    <w:rsid w:val="005A34E9"/>
    <w:rsid w:val="005A3582"/>
    <w:rsid w:val="005A35AE"/>
    <w:rsid w:val="005A35E5"/>
    <w:rsid w:val="005A3BF4"/>
    <w:rsid w:val="005A3F3A"/>
    <w:rsid w:val="005A4FA1"/>
    <w:rsid w:val="005A52C2"/>
    <w:rsid w:val="005A61A4"/>
    <w:rsid w:val="005A7AF0"/>
    <w:rsid w:val="005B07C0"/>
    <w:rsid w:val="005B083A"/>
    <w:rsid w:val="005B0B29"/>
    <w:rsid w:val="005B1290"/>
    <w:rsid w:val="005B39AA"/>
    <w:rsid w:val="005B3FE3"/>
    <w:rsid w:val="005B4902"/>
    <w:rsid w:val="005B4E4C"/>
    <w:rsid w:val="005B4F2C"/>
    <w:rsid w:val="005B7B28"/>
    <w:rsid w:val="005C1111"/>
    <w:rsid w:val="005C1D08"/>
    <w:rsid w:val="005C37B8"/>
    <w:rsid w:val="005C4C2A"/>
    <w:rsid w:val="005C6AF8"/>
    <w:rsid w:val="005D13D9"/>
    <w:rsid w:val="005D16B1"/>
    <w:rsid w:val="005D1924"/>
    <w:rsid w:val="005D2FA4"/>
    <w:rsid w:val="005D4DFD"/>
    <w:rsid w:val="005D63E0"/>
    <w:rsid w:val="005E0CA9"/>
    <w:rsid w:val="005E0E54"/>
    <w:rsid w:val="005E394F"/>
    <w:rsid w:val="005E39A6"/>
    <w:rsid w:val="005E4E51"/>
    <w:rsid w:val="005E51F4"/>
    <w:rsid w:val="005E7298"/>
    <w:rsid w:val="005E7312"/>
    <w:rsid w:val="005F02DB"/>
    <w:rsid w:val="005F08FC"/>
    <w:rsid w:val="005F3EC3"/>
    <w:rsid w:val="005F4381"/>
    <w:rsid w:val="005F4479"/>
    <w:rsid w:val="005F5073"/>
    <w:rsid w:val="00600085"/>
    <w:rsid w:val="0060382F"/>
    <w:rsid w:val="00603C22"/>
    <w:rsid w:val="0060480D"/>
    <w:rsid w:val="00604CF5"/>
    <w:rsid w:val="00604D56"/>
    <w:rsid w:val="00605D0D"/>
    <w:rsid w:val="0060612C"/>
    <w:rsid w:val="0060663A"/>
    <w:rsid w:val="00606C26"/>
    <w:rsid w:val="00610B2B"/>
    <w:rsid w:val="006114D4"/>
    <w:rsid w:val="006119B4"/>
    <w:rsid w:val="00613D18"/>
    <w:rsid w:val="00614838"/>
    <w:rsid w:val="006164E8"/>
    <w:rsid w:val="00617BDE"/>
    <w:rsid w:val="00617DE9"/>
    <w:rsid w:val="00620860"/>
    <w:rsid w:val="00621213"/>
    <w:rsid w:val="00621342"/>
    <w:rsid w:val="0062227E"/>
    <w:rsid w:val="00622C99"/>
    <w:rsid w:val="00624036"/>
    <w:rsid w:val="006245E8"/>
    <w:rsid w:val="00624D29"/>
    <w:rsid w:val="0062546F"/>
    <w:rsid w:val="00625523"/>
    <w:rsid w:val="0063017A"/>
    <w:rsid w:val="0063087F"/>
    <w:rsid w:val="00630EEE"/>
    <w:rsid w:val="00631909"/>
    <w:rsid w:val="00632534"/>
    <w:rsid w:val="006329FC"/>
    <w:rsid w:val="00632E6D"/>
    <w:rsid w:val="006337C4"/>
    <w:rsid w:val="00633918"/>
    <w:rsid w:val="00634FF6"/>
    <w:rsid w:val="0063518C"/>
    <w:rsid w:val="00635904"/>
    <w:rsid w:val="00635DB5"/>
    <w:rsid w:val="00637A94"/>
    <w:rsid w:val="00641F8B"/>
    <w:rsid w:val="006421BB"/>
    <w:rsid w:val="00646772"/>
    <w:rsid w:val="006475BF"/>
    <w:rsid w:val="006478D2"/>
    <w:rsid w:val="00647D7A"/>
    <w:rsid w:val="00650503"/>
    <w:rsid w:val="00650D84"/>
    <w:rsid w:val="00651213"/>
    <w:rsid w:val="006518CE"/>
    <w:rsid w:val="00651C02"/>
    <w:rsid w:val="00654474"/>
    <w:rsid w:val="006549BB"/>
    <w:rsid w:val="00654EBE"/>
    <w:rsid w:val="00655DCC"/>
    <w:rsid w:val="00656B4A"/>
    <w:rsid w:val="0065710D"/>
    <w:rsid w:val="0065798C"/>
    <w:rsid w:val="00660278"/>
    <w:rsid w:val="00660AC6"/>
    <w:rsid w:val="00661923"/>
    <w:rsid w:val="00661AF3"/>
    <w:rsid w:val="006636BF"/>
    <w:rsid w:val="00664BE7"/>
    <w:rsid w:val="00665EA4"/>
    <w:rsid w:val="006665A5"/>
    <w:rsid w:val="006672E4"/>
    <w:rsid w:val="00667470"/>
    <w:rsid w:val="006731A5"/>
    <w:rsid w:val="00673766"/>
    <w:rsid w:val="00676109"/>
    <w:rsid w:val="00681C0F"/>
    <w:rsid w:val="0068216A"/>
    <w:rsid w:val="00683884"/>
    <w:rsid w:val="00686C5B"/>
    <w:rsid w:val="00690C2C"/>
    <w:rsid w:val="00690EC6"/>
    <w:rsid w:val="00691393"/>
    <w:rsid w:val="0069163F"/>
    <w:rsid w:val="00691DE3"/>
    <w:rsid w:val="006925C6"/>
    <w:rsid w:val="00694B9B"/>
    <w:rsid w:val="00697396"/>
    <w:rsid w:val="00697D44"/>
    <w:rsid w:val="006A0317"/>
    <w:rsid w:val="006A0B9D"/>
    <w:rsid w:val="006A0D7E"/>
    <w:rsid w:val="006A1E48"/>
    <w:rsid w:val="006A2802"/>
    <w:rsid w:val="006A3EDC"/>
    <w:rsid w:val="006A545E"/>
    <w:rsid w:val="006A5802"/>
    <w:rsid w:val="006A7426"/>
    <w:rsid w:val="006A756C"/>
    <w:rsid w:val="006A78FE"/>
    <w:rsid w:val="006A7995"/>
    <w:rsid w:val="006B146A"/>
    <w:rsid w:val="006B3614"/>
    <w:rsid w:val="006B4AE2"/>
    <w:rsid w:val="006B4B04"/>
    <w:rsid w:val="006B5A8C"/>
    <w:rsid w:val="006B689E"/>
    <w:rsid w:val="006B71A8"/>
    <w:rsid w:val="006C08D7"/>
    <w:rsid w:val="006C107A"/>
    <w:rsid w:val="006C1171"/>
    <w:rsid w:val="006C2058"/>
    <w:rsid w:val="006C30CF"/>
    <w:rsid w:val="006C3445"/>
    <w:rsid w:val="006C366E"/>
    <w:rsid w:val="006C37F2"/>
    <w:rsid w:val="006C3DF4"/>
    <w:rsid w:val="006C4CFB"/>
    <w:rsid w:val="006C5BCD"/>
    <w:rsid w:val="006C66BF"/>
    <w:rsid w:val="006D2659"/>
    <w:rsid w:val="006D3255"/>
    <w:rsid w:val="006D39A5"/>
    <w:rsid w:val="006D3A2A"/>
    <w:rsid w:val="006D3A63"/>
    <w:rsid w:val="006D6213"/>
    <w:rsid w:val="006D655C"/>
    <w:rsid w:val="006D6D48"/>
    <w:rsid w:val="006D726B"/>
    <w:rsid w:val="006E0341"/>
    <w:rsid w:val="006E1C45"/>
    <w:rsid w:val="006E2283"/>
    <w:rsid w:val="006E2B26"/>
    <w:rsid w:val="006E3C10"/>
    <w:rsid w:val="006E496F"/>
    <w:rsid w:val="006E50AE"/>
    <w:rsid w:val="006E52E9"/>
    <w:rsid w:val="006E58D5"/>
    <w:rsid w:val="006E6194"/>
    <w:rsid w:val="006E79A1"/>
    <w:rsid w:val="006F3C27"/>
    <w:rsid w:val="006F4C60"/>
    <w:rsid w:val="006F50C8"/>
    <w:rsid w:val="006F5BA6"/>
    <w:rsid w:val="006F6056"/>
    <w:rsid w:val="0070078D"/>
    <w:rsid w:val="00701574"/>
    <w:rsid w:val="007025FF"/>
    <w:rsid w:val="00702777"/>
    <w:rsid w:val="00704306"/>
    <w:rsid w:val="00704726"/>
    <w:rsid w:val="00704946"/>
    <w:rsid w:val="0070530E"/>
    <w:rsid w:val="00706247"/>
    <w:rsid w:val="00707934"/>
    <w:rsid w:val="00710B4F"/>
    <w:rsid w:val="00711E41"/>
    <w:rsid w:val="007125F3"/>
    <w:rsid w:val="007128CE"/>
    <w:rsid w:val="00712F68"/>
    <w:rsid w:val="0071366A"/>
    <w:rsid w:val="0071385C"/>
    <w:rsid w:val="0071387F"/>
    <w:rsid w:val="0071472D"/>
    <w:rsid w:val="00714AA2"/>
    <w:rsid w:val="00714FD2"/>
    <w:rsid w:val="007157EF"/>
    <w:rsid w:val="0071584A"/>
    <w:rsid w:val="00716A61"/>
    <w:rsid w:val="007172A3"/>
    <w:rsid w:val="00717CAE"/>
    <w:rsid w:val="00717EE2"/>
    <w:rsid w:val="00720406"/>
    <w:rsid w:val="00723136"/>
    <w:rsid w:val="007235CA"/>
    <w:rsid w:val="0072360E"/>
    <w:rsid w:val="0072415E"/>
    <w:rsid w:val="007261E3"/>
    <w:rsid w:val="00727602"/>
    <w:rsid w:val="007278BB"/>
    <w:rsid w:val="00730768"/>
    <w:rsid w:val="0073186C"/>
    <w:rsid w:val="007334B4"/>
    <w:rsid w:val="00736D7C"/>
    <w:rsid w:val="00737933"/>
    <w:rsid w:val="00737CD4"/>
    <w:rsid w:val="007418CB"/>
    <w:rsid w:val="00742CA2"/>
    <w:rsid w:val="00742CBD"/>
    <w:rsid w:val="007454DD"/>
    <w:rsid w:val="00745860"/>
    <w:rsid w:val="00745D0F"/>
    <w:rsid w:val="007460DE"/>
    <w:rsid w:val="00747BCE"/>
    <w:rsid w:val="00750289"/>
    <w:rsid w:val="007519F3"/>
    <w:rsid w:val="007522AD"/>
    <w:rsid w:val="00753E6A"/>
    <w:rsid w:val="00754431"/>
    <w:rsid w:val="0075521F"/>
    <w:rsid w:val="00755565"/>
    <w:rsid w:val="00755AE0"/>
    <w:rsid w:val="0075605A"/>
    <w:rsid w:val="007572E4"/>
    <w:rsid w:val="007604E5"/>
    <w:rsid w:val="0076052F"/>
    <w:rsid w:val="00760C14"/>
    <w:rsid w:val="00763859"/>
    <w:rsid w:val="007641E5"/>
    <w:rsid w:val="00764EB0"/>
    <w:rsid w:val="00765EDD"/>
    <w:rsid w:val="0077149F"/>
    <w:rsid w:val="0077174C"/>
    <w:rsid w:val="00772390"/>
    <w:rsid w:val="007725F1"/>
    <w:rsid w:val="0077327C"/>
    <w:rsid w:val="007736F7"/>
    <w:rsid w:val="00773AFF"/>
    <w:rsid w:val="00773CA2"/>
    <w:rsid w:val="00774A6F"/>
    <w:rsid w:val="00774CD5"/>
    <w:rsid w:val="00777509"/>
    <w:rsid w:val="00780898"/>
    <w:rsid w:val="00780B0B"/>
    <w:rsid w:val="0078126E"/>
    <w:rsid w:val="0078206C"/>
    <w:rsid w:val="00784524"/>
    <w:rsid w:val="00784BDC"/>
    <w:rsid w:val="00784C19"/>
    <w:rsid w:val="007867F6"/>
    <w:rsid w:val="00786D94"/>
    <w:rsid w:val="00787FD6"/>
    <w:rsid w:val="0079046A"/>
    <w:rsid w:val="00794725"/>
    <w:rsid w:val="0079587B"/>
    <w:rsid w:val="007968AB"/>
    <w:rsid w:val="007969D5"/>
    <w:rsid w:val="00796D34"/>
    <w:rsid w:val="007A078D"/>
    <w:rsid w:val="007A1976"/>
    <w:rsid w:val="007A19E8"/>
    <w:rsid w:val="007A302F"/>
    <w:rsid w:val="007A4E4D"/>
    <w:rsid w:val="007A57E9"/>
    <w:rsid w:val="007A66F6"/>
    <w:rsid w:val="007A69DB"/>
    <w:rsid w:val="007A6A04"/>
    <w:rsid w:val="007A6F33"/>
    <w:rsid w:val="007A70B9"/>
    <w:rsid w:val="007A74F7"/>
    <w:rsid w:val="007A7D4B"/>
    <w:rsid w:val="007B1164"/>
    <w:rsid w:val="007B250C"/>
    <w:rsid w:val="007B3CAD"/>
    <w:rsid w:val="007B4503"/>
    <w:rsid w:val="007B4C8D"/>
    <w:rsid w:val="007B64DC"/>
    <w:rsid w:val="007B7EB8"/>
    <w:rsid w:val="007C00FD"/>
    <w:rsid w:val="007C0205"/>
    <w:rsid w:val="007C067D"/>
    <w:rsid w:val="007C0E90"/>
    <w:rsid w:val="007C1246"/>
    <w:rsid w:val="007C168E"/>
    <w:rsid w:val="007C4F21"/>
    <w:rsid w:val="007C5413"/>
    <w:rsid w:val="007C60E6"/>
    <w:rsid w:val="007C67A4"/>
    <w:rsid w:val="007D0290"/>
    <w:rsid w:val="007D2711"/>
    <w:rsid w:val="007D28AF"/>
    <w:rsid w:val="007D4EAF"/>
    <w:rsid w:val="007D6597"/>
    <w:rsid w:val="007D7D82"/>
    <w:rsid w:val="007E0D75"/>
    <w:rsid w:val="007E1585"/>
    <w:rsid w:val="007E1611"/>
    <w:rsid w:val="007E37A9"/>
    <w:rsid w:val="007E3E6D"/>
    <w:rsid w:val="007E4C94"/>
    <w:rsid w:val="007E567B"/>
    <w:rsid w:val="007E596C"/>
    <w:rsid w:val="007E7332"/>
    <w:rsid w:val="007F0169"/>
    <w:rsid w:val="007F02F7"/>
    <w:rsid w:val="007F1497"/>
    <w:rsid w:val="007F2F53"/>
    <w:rsid w:val="007F49C3"/>
    <w:rsid w:val="007F610C"/>
    <w:rsid w:val="008007C6"/>
    <w:rsid w:val="00800D7F"/>
    <w:rsid w:val="00803153"/>
    <w:rsid w:val="00803A1B"/>
    <w:rsid w:val="0080411B"/>
    <w:rsid w:val="0080414E"/>
    <w:rsid w:val="0080451C"/>
    <w:rsid w:val="00804D9F"/>
    <w:rsid w:val="00805940"/>
    <w:rsid w:val="008072B4"/>
    <w:rsid w:val="00810099"/>
    <w:rsid w:val="008119ED"/>
    <w:rsid w:val="00814569"/>
    <w:rsid w:val="0081474F"/>
    <w:rsid w:val="008149D6"/>
    <w:rsid w:val="008157DA"/>
    <w:rsid w:val="00815959"/>
    <w:rsid w:val="0082082D"/>
    <w:rsid w:val="0082109D"/>
    <w:rsid w:val="00822129"/>
    <w:rsid w:val="00822B21"/>
    <w:rsid w:val="00822FCD"/>
    <w:rsid w:val="0082377B"/>
    <w:rsid w:val="0082385B"/>
    <w:rsid w:val="008238C2"/>
    <w:rsid w:val="00824438"/>
    <w:rsid w:val="00824847"/>
    <w:rsid w:val="00824C2B"/>
    <w:rsid w:val="0082515F"/>
    <w:rsid w:val="00825252"/>
    <w:rsid w:val="008259FE"/>
    <w:rsid w:val="0082659D"/>
    <w:rsid w:val="00826B6D"/>
    <w:rsid w:val="00826EBC"/>
    <w:rsid w:val="00830792"/>
    <w:rsid w:val="00830B26"/>
    <w:rsid w:val="00832173"/>
    <w:rsid w:val="00832B5F"/>
    <w:rsid w:val="00832DB4"/>
    <w:rsid w:val="008339BE"/>
    <w:rsid w:val="00834E47"/>
    <w:rsid w:val="00835724"/>
    <w:rsid w:val="00836D72"/>
    <w:rsid w:val="00837657"/>
    <w:rsid w:val="008376E5"/>
    <w:rsid w:val="0084129E"/>
    <w:rsid w:val="008427BC"/>
    <w:rsid w:val="00843BDC"/>
    <w:rsid w:val="00844FB7"/>
    <w:rsid w:val="00845221"/>
    <w:rsid w:val="00846694"/>
    <w:rsid w:val="008477D9"/>
    <w:rsid w:val="008515C5"/>
    <w:rsid w:val="00852706"/>
    <w:rsid w:val="00852C70"/>
    <w:rsid w:val="0085410F"/>
    <w:rsid w:val="00855FBF"/>
    <w:rsid w:val="008567C4"/>
    <w:rsid w:val="00856D41"/>
    <w:rsid w:val="00860734"/>
    <w:rsid w:val="00860E92"/>
    <w:rsid w:val="00860FD1"/>
    <w:rsid w:val="00861221"/>
    <w:rsid w:val="0086146E"/>
    <w:rsid w:val="00861F0A"/>
    <w:rsid w:val="00863914"/>
    <w:rsid w:val="00864064"/>
    <w:rsid w:val="00864662"/>
    <w:rsid w:val="00864B2F"/>
    <w:rsid w:val="00865BE4"/>
    <w:rsid w:val="00865FB2"/>
    <w:rsid w:val="008668E3"/>
    <w:rsid w:val="00867BC6"/>
    <w:rsid w:val="00867CA5"/>
    <w:rsid w:val="00871C1C"/>
    <w:rsid w:val="008728D9"/>
    <w:rsid w:val="00873D58"/>
    <w:rsid w:val="008741B2"/>
    <w:rsid w:val="00874285"/>
    <w:rsid w:val="00874737"/>
    <w:rsid w:val="00874BE1"/>
    <w:rsid w:val="00874C25"/>
    <w:rsid w:val="008768DD"/>
    <w:rsid w:val="00876EA5"/>
    <w:rsid w:val="00880B5A"/>
    <w:rsid w:val="008829DF"/>
    <w:rsid w:val="00884311"/>
    <w:rsid w:val="00885216"/>
    <w:rsid w:val="00887663"/>
    <w:rsid w:val="00891C0E"/>
    <w:rsid w:val="008921A6"/>
    <w:rsid w:val="008929E3"/>
    <w:rsid w:val="00893650"/>
    <w:rsid w:val="00893BF1"/>
    <w:rsid w:val="00894954"/>
    <w:rsid w:val="008970DA"/>
    <w:rsid w:val="008974EB"/>
    <w:rsid w:val="00897614"/>
    <w:rsid w:val="00897E2A"/>
    <w:rsid w:val="008A0D8C"/>
    <w:rsid w:val="008A0E44"/>
    <w:rsid w:val="008A0FBA"/>
    <w:rsid w:val="008A133D"/>
    <w:rsid w:val="008A16E1"/>
    <w:rsid w:val="008A2C2F"/>
    <w:rsid w:val="008A300C"/>
    <w:rsid w:val="008A30F1"/>
    <w:rsid w:val="008A39A4"/>
    <w:rsid w:val="008A433A"/>
    <w:rsid w:val="008A4EF8"/>
    <w:rsid w:val="008A570F"/>
    <w:rsid w:val="008A5E51"/>
    <w:rsid w:val="008A610A"/>
    <w:rsid w:val="008B17CB"/>
    <w:rsid w:val="008B1B92"/>
    <w:rsid w:val="008B2D75"/>
    <w:rsid w:val="008B3B35"/>
    <w:rsid w:val="008B49A8"/>
    <w:rsid w:val="008B4CA5"/>
    <w:rsid w:val="008B4EE0"/>
    <w:rsid w:val="008B6145"/>
    <w:rsid w:val="008B7A8B"/>
    <w:rsid w:val="008B7A91"/>
    <w:rsid w:val="008B7C0E"/>
    <w:rsid w:val="008C25AE"/>
    <w:rsid w:val="008C2C73"/>
    <w:rsid w:val="008C3E55"/>
    <w:rsid w:val="008C5215"/>
    <w:rsid w:val="008C67B9"/>
    <w:rsid w:val="008C6A68"/>
    <w:rsid w:val="008D02EE"/>
    <w:rsid w:val="008D109B"/>
    <w:rsid w:val="008D3722"/>
    <w:rsid w:val="008D45AA"/>
    <w:rsid w:val="008D7087"/>
    <w:rsid w:val="008D7E3A"/>
    <w:rsid w:val="008E0DA6"/>
    <w:rsid w:val="008E4937"/>
    <w:rsid w:val="008E6978"/>
    <w:rsid w:val="008E7DF0"/>
    <w:rsid w:val="008F09BC"/>
    <w:rsid w:val="008F3AC4"/>
    <w:rsid w:val="008F5ADD"/>
    <w:rsid w:val="008F6275"/>
    <w:rsid w:val="008F7641"/>
    <w:rsid w:val="00901720"/>
    <w:rsid w:val="00901EDC"/>
    <w:rsid w:val="009022AD"/>
    <w:rsid w:val="00902E69"/>
    <w:rsid w:val="00903ABE"/>
    <w:rsid w:val="00903F09"/>
    <w:rsid w:val="0090640E"/>
    <w:rsid w:val="009108F7"/>
    <w:rsid w:val="00910A0A"/>
    <w:rsid w:val="009111C9"/>
    <w:rsid w:val="00911337"/>
    <w:rsid w:val="00912590"/>
    <w:rsid w:val="00912BB6"/>
    <w:rsid w:val="00913004"/>
    <w:rsid w:val="00913DF3"/>
    <w:rsid w:val="00913F5A"/>
    <w:rsid w:val="00915C51"/>
    <w:rsid w:val="00915E0C"/>
    <w:rsid w:val="00916EC1"/>
    <w:rsid w:val="00917A22"/>
    <w:rsid w:val="00920963"/>
    <w:rsid w:val="009218C5"/>
    <w:rsid w:val="00923220"/>
    <w:rsid w:val="00923858"/>
    <w:rsid w:val="00924678"/>
    <w:rsid w:val="009252DA"/>
    <w:rsid w:val="00927C55"/>
    <w:rsid w:val="009306D2"/>
    <w:rsid w:val="00931B3E"/>
    <w:rsid w:val="00931D73"/>
    <w:rsid w:val="00933721"/>
    <w:rsid w:val="009342CD"/>
    <w:rsid w:val="009358CE"/>
    <w:rsid w:val="00936790"/>
    <w:rsid w:val="00940EE9"/>
    <w:rsid w:val="0094123B"/>
    <w:rsid w:val="00941AED"/>
    <w:rsid w:val="009424FB"/>
    <w:rsid w:val="00942754"/>
    <w:rsid w:val="00942AAC"/>
    <w:rsid w:val="00945517"/>
    <w:rsid w:val="009459E9"/>
    <w:rsid w:val="0094661F"/>
    <w:rsid w:val="00946B44"/>
    <w:rsid w:val="009504C0"/>
    <w:rsid w:val="0095269F"/>
    <w:rsid w:val="00953590"/>
    <w:rsid w:val="00953D96"/>
    <w:rsid w:val="0095445B"/>
    <w:rsid w:val="0095550B"/>
    <w:rsid w:val="00955BE8"/>
    <w:rsid w:val="00956F52"/>
    <w:rsid w:val="00960298"/>
    <w:rsid w:val="009603D9"/>
    <w:rsid w:val="00961F71"/>
    <w:rsid w:val="00962C20"/>
    <w:rsid w:val="00963B7E"/>
    <w:rsid w:val="0096574E"/>
    <w:rsid w:val="00970210"/>
    <w:rsid w:val="00971118"/>
    <w:rsid w:val="009720E6"/>
    <w:rsid w:val="00973623"/>
    <w:rsid w:val="009767E9"/>
    <w:rsid w:val="00976C04"/>
    <w:rsid w:val="009771C5"/>
    <w:rsid w:val="009808CA"/>
    <w:rsid w:val="0098092F"/>
    <w:rsid w:val="0098198E"/>
    <w:rsid w:val="00981DF4"/>
    <w:rsid w:val="00982F76"/>
    <w:rsid w:val="0098319B"/>
    <w:rsid w:val="00985622"/>
    <w:rsid w:val="00985D29"/>
    <w:rsid w:val="009867AA"/>
    <w:rsid w:val="00986A3F"/>
    <w:rsid w:val="00986B24"/>
    <w:rsid w:val="009874A4"/>
    <w:rsid w:val="00987B9D"/>
    <w:rsid w:val="00992137"/>
    <w:rsid w:val="009925FD"/>
    <w:rsid w:val="0099272C"/>
    <w:rsid w:val="00996214"/>
    <w:rsid w:val="009964CC"/>
    <w:rsid w:val="00996603"/>
    <w:rsid w:val="009971D5"/>
    <w:rsid w:val="00997A8D"/>
    <w:rsid w:val="00997B01"/>
    <w:rsid w:val="00997BC6"/>
    <w:rsid w:val="009A0A64"/>
    <w:rsid w:val="009A5626"/>
    <w:rsid w:val="009A6E03"/>
    <w:rsid w:val="009B0759"/>
    <w:rsid w:val="009B1C90"/>
    <w:rsid w:val="009B2125"/>
    <w:rsid w:val="009B2A90"/>
    <w:rsid w:val="009B2AF0"/>
    <w:rsid w:val="009B3158"/>
    <w:rsid w:val="009B422F"/>
    <w:rsid w:val="009B5178"/>
    <w:rsid w:val="009B5E10"/>
    <w:rsid w:val="009B61D2"/>
    <w:rsid w:val="009B72E0"/>
    <w:rsid w:val="009B7A8B"/>
    <w:rsid w:val="009B7FB5"/>
    <w:rsid w:val="009C1ADF"/>
    <w:rsid w:val="009C5B53"/>
    <w:rsid w:val="009C5CE8"/>
    <w:rsid w:val="009D06CF"/>
    <w:rsid w:val="009D0827"/>
    <w:rsid w:val="009D4DBC"/>
    <w:rsid w:val="009D50B9"/>
    <w:rsid w:val="009D6ADB"/>
    <w:rsid w:val="009D7447"/>
    <w:rsid w:val="009D7FE4"/>
    <w:rsid w:val="009E0C09"/>
    <w:rsid w:val="009E0F13"/>
    <w:rsid w:val="009E1828"/>
    <w:rsid w:val="009E42E7"/>
    <w:rsid w:val="009E59DE"/>
    <w:rsid w:val="009E64FB"/>
    <w:rsid w:val="009E665B"/>
    <w:rsid w:val="009E74F8"/>
    <w:rsid w:val="009E7CC7"/>
    <w:rsid w:val="009E7F7E"/>
    <w:rsid w:val="009F0D7D"/>
    <w:rsid w:val="009F1193"/>
    <w:rsid w:val="009F17DD"/>
    <w:rsid w:val="009F1E67"/>
    <w:rsid w:val="009F3AEA"/>
    <w:rsid w:val="009F442C"/>
    <w:rsid w:val="009F6072"/>
    <w:rsid w:val="009F6143"/>
    <w:rsid w:val="009F70D2"/>
    <w:rsid w:val="009F796F"/>
    <w:rsid w:val="00A0045F"/>
    <w:rsid w:val="00A01516"/>
    <w:rsid w:val="00A0249B"/>
    <w:rsid w:val="00A0262E"/>
    <w:rsid w:val="00A02A2C"/>
    <w:rsid w:val="00A044A0"/>
    <w:rsid w:val="00A0467E"/>
    <w:rsid w:val="00A046BD"/>
    <w:rsid w:val="00A0480B"/>
    <w:rsid w:val="00A0496B"/>
    <w:rsid w:val="00A05425"/>
    <w:rsid w:val="00A06905"/>
    <w:rsid w:val="00A07205"/>
    <w:rsid w:val="00A0732D"/>
    <w:rsid w:val="00A07E69"/>
    <w:rsid w:val="00A100E4"/>
    <w:rsid w:val="00A10F7F"/>
    <w:rsid w:val="00A112B8"/>
    <w:rsid w:val="00A11B33"/>
    <w:rsid w:val="00A1217C"/>
    <w:rsid w:val="00A13068"/>
    <w:rsid w:val="00A1466B"/>
    <w:rsid w:val="00A16E95"/>
    <w:rsid w:val="00A2002B"/>
    <w:rsid w:val="00A20259"/>
    <w:rsid w:val="00A21BD8"/>
    <w:rsid w:val="00A23F9E"/>
    <w:rsid w:val="00A24798"/>
    <w:rsid w:val="00A24A46"/>
    <w:rsid w:val="00A24AC2"/>
    <w:rsid w:val="00A26737"/>
    <w:rsid w:val="00A26CA8"/>
    <w:rsid w:val="00A270CB"/>
    <w:rsid w:val="00A271DF"/>
    <w:rsid w:val="00A3021E"/>
    <w:rsid w:val="00A30897"/>
    <w:rsid w:val="00A30EFA"/>
    <w:rsid w:val="00A31098"/>
    <w:rsid w:val="00A318B7"/>
    <w:rsid w:val="00A3321F"/>
    <w:rsid w:val="00A33564"/>
    <w:rsid w:val="00A3361B"/>
    <w:rsid w:val="00A35615"/>
    <w:rsid w:val="00A35C6B"/>
    <w:rsid w:val="00A369DE"/>
    <w:rsid w:val="00A36B32"/>
    <w:rsid w:val="00A36CB6"/>
    <w:rsid w:val="00A37A0D"/>
    <w:rsid w:val="00A37AEE"/>
    <w:rsid w:val="00A410C1"/>
    <w:rsid w:val="00A4113D"/>
    <w:rsid w:val="00A42474"/>
    <w:rsid w:val="00A43267"/>
    <w:rsid w:val="00A43279"/>
    <w:rsid w:val="00A4341D"/>
    <w:rsid w:val="00A4439A"/>
    <w:rsid w:val="00A4563E"/>
    <w:rsid w:val="00A459F2"/>
    <w:rsid w:val="00A51641"/>
    <w:rsid w:val="00A51789"/>
    <w:rsid w:val="00A517C6"/>
    <w:rsid w:val="00A5286C"/>
    <w:rsid w:val="00A5477C"/>
    <w:rsid w:val="00A55FA2"/>
    <w:rsid w:val="00A568AB"/>
    <w:rsid w:val="00A56CFC"/>
    <w:rsid w:val="00A57423"/>
    <w:rsid w:val="00A576F2"/>
    <w:rsid w:val="00A57BB1"/>
    <w:rsid w:val="00A57F9F"/>
    <w:rsid w:val="00A6007C"/>
    <w:rsid w:val="00A6140F"/>
    <w:rsid w:val="00A61624"/>
    <w:rsid w:val="00A61957"/>
    <w:rsid w:val="00A63052"/>
    <w:rsid w:val="00A63C4B"/>
    <w:rsid w:val="00A64F43"/>
    <w:rsid w:val="00A661C5"/>
    <w:rsid w:val="00A71794"/>
    <w:rsid w:val="00A721EE"/>
    <w:rsid w:val="00A72839"/>
    <w:rsid w:val="00A73ABC"/>
    <w:rsid w:val="00A73D24"/>
    <w:rsid w:val="00A771B9"/>
    <w:rsid w:val="00A772B7"/>
    <w:rsid w:val="00A81524"/>
    <w:rsid w:val="00A8248F"/>
    <w:rsid w:val="00A827CC"/>
    <w:rsid w:val="00A82968"/>
    <w:rsid w:val="00A844B9"/>
    <w:rsid w:val="00A85603"/>
    <w:rsid w:val="00A85E16"/>
    <w:rsid w:val="00A86D5A"/>
    <w:rsid w:val="00A86FD3"/>
    <w:rsid w:val="00A87869"/>
    <w:rsid w:val="00A9220D"/>
    <w:rsid w:val="00A92744"/>
    <w:rsid w:val="00A9353E"/>
    <w:rsid w:val="00A93E49"/>
    <w:rsid w:val="00A941D5"/>
    <w:rsid w:val="00A95424"/>
    <w:rsid w:val="00A95DA0"/>
    <w:rsid w:val="00A96E49"/>
    <w:rsid w:val="00A97BBA"/>
    <w:rsid w:val="00A97EC0"/>
    <w:rsid w:val="00AA1E92"/>
    <w:rsid w:val="00AA210C"/>
    <w:rsid w:val="00AA438A"/>
    <w:rsid w:val="00AA57AA"/>
    <w:rsid w:val="00AA5B3B"/>
    <w:rsid w:val="00AA619F"/>
    <w:rsid w:val="00AA62EE"/>
    <w:rsid w:val="00AA658B"/>
    <w:rsid w:val="00AA6DD1"/>
    <w:rsid w:val="00AA7A56"/>
    <w:rsid w:val="00AB1A93"/>
    <w:rsid w:val="00AB206A"/>
    <w:rsid w:val="00AB237B"/>
    <w:rsid w:val="00AB2471"/>
    <w:rsid w:val="00AB2D5E"/>
    <w:rsid w:val="00AB3ABE"/>
    <w:rsid w:val="00AB3CB5"/>
    <w:rsid w:val="00AB55A0"/>
    <w:rsid w:val="00AB624D"/>
    <w:rsid w:val="00AC04CF"/>
    <w:rsid w:val="00AC11C1"/>
    <w:rsid w:val="00AC2477"/>
    <w:rsid w:val="00AC250F"/>
    <w:rsid w:val="00AC3354"/>
    <w:rsid w:val="00AC36A4"/>
    <w:rsid w:val="00AC379F"/>
    <w:rsid w:val="00AC6C2C"/>
    <w:rsid w:val="00AC7729"/>
    <w:rsid w:val="00AD0957"/>
    <w:rsid w:val="00AD0CD2"/>
    <w:rsid w:val="00AD18E2"/>
    <w:rsid w:val="00AD1AD1"/>
    <w:rsid w:val="00AD2E91"/>
    <w:rsid w:val="00AD2EDE"/>
    <w:rsid w:val="00AD3903"/>
    <w:rsid w:val="00AD49A7"/>
    <w:rsid w:val="00AD4BA7"/>
    <w:rsid w:val="00AD528E"/>
    <w:rsid w:val="00AE0C37"/>
    <w:rsid w:val="00AE14F6"/>
    <w:rsid w:val="00AE25D1"/>
    <w:rsid w:val="00AE2703"/>
    <w:rsid w:val="00AE325B"/>
    <w:rsid w:val="00AE3434"/>
    <w:rsid w:val="00AE40E4"/>
    <w:rsid w:val="00AE4AE7"/>
    <w:rsid w:val="00AE674D"/>
    <w:rsid w:val="00AE6AAE"/>
    <w:rsid w:val="00AF0962"/>
    <w:rsid w:val="00AF1694"/>
    <w:rsid w:val="00AF2CB0"/>
    <w:rsid w:val="00AF30AB"/>
    <w:rsid w:val="00AF451C"/>
    <w:rsid w:val="00AF4898"/>
    <w:rsid w:val="00AF4C9F"/>
    <w:rsid w:val="00AF5858"/>
    <w:rsid w:val="00AF7226"/>
    <w:rsid w:val="00B0155C"/>
    <w:rsid w:val="00B0265B"/>
    <w:rsid w:val="00B0315E"/>
    <w:rsid w:val="00B03CE8"/>
    <w:rsid w:val="00B068EE"/>
    <w:rsid w:val="00B06E39"/>
    <w:rsid w:val="00B06FF7"/>
    <w:rsid w:val="00B10784"/>
    <w:rsid w:val="00B11296"/>
    <w:rsid w:val="00B11CE9"/>
    <w:rsid w:val="00B12055"/>
    <w:rsid w:val="00B1209F"/>
    <w:rsid w:val="00B141AB"/>
    <w:rsid w:val="00B16015"/>
    <w:rsid w:val="00B1707B"/>
    <w:rsid w:val="00B17187"/>
    <w:rsid w:val="00B21A84"/>
    <w:rsid w:val="00B2536D"/>
    <w:rsid w:val="00B253A5"/>
    <w:rsid w:val="00B2751E"/>
    <w:rsid w:val="00B2783E"/>
    <w:rsid w:val="00B304C5"/>
    <w:rsid w:val="00B305F4"/>
    <w:rsid w:val="00B307EC"/>
    <w:rsid w:val="00B315FC"/>
    <w:rsid w:val="00B31AF4"/>
    <w:rsid w:val="00B32A82"/>
    <w:rsid w:val="00B33DD8"/>
    <w:rsid w:val="00B3412D"/>
    <w:rsid w:val="00B354D6"/>
    <w:rsid w:val="00B360E0"/>
    <w:rsid w:val="00B36769"/>
    <w:rsid w:val="00B367E5"/>
    <w:rsid w:val="00B36F8D"/>
    <w:rsid w:val="00B36FF2"/>
    <w:rsid w:val="00B37213"/>
    <w:rsid w:val="00B409D3"/>
    <w:rsid w:val="00B410D4"/>
    <w:rsid w:val="00B4111B"/>
    <w:rsid w:val="00B4130C"/>
    <w:rsid w:val="00B413FE"/>
    <w:rsid w:val="00B4189D"/>
    <w:rsid w:val="00B4244E"/>
    <w:rsid w:val="00B42579"/>
    <w:rsid w:val="00B45428"/>
    <w:rsid w:val="00B45F91"/>
    <w:rsid w:val="00B46CD7"/>
    <w:rsid w:val="00B53278"/>
    <w:rsid w:val="00B54847"/>
    <w:rsid w:val="00B54F6D"/>
    <w:rsid w:val="00B55A49"/>
    <w:rsid w:val="00B57858"/>
    <w:rsid w:val="00B617C9"/>
    <w:rsid w:val="00B6225A"/>
    <w:rsid w:val="00B62F99"/>
    <w:rsid w:val="00B63A1D"/>
    <w:rsid w:val="00B64DBB"/>
    <w:rsid w:val="00B652A2"/>
    <w:rsid w:val="00B65D21"/>
    <w:rsid w:val="00B66476"/>
    <w:rsid w:val="00B675D4"/>
    <w:rsid w:val="00B71D21"/>
    <w:rsid w:val="00B730DD"/>
    <w:rsid w:val="00B736DE"/>
    <w:rsid w:val="00B7560E"/>
    <w:rsid w:val="00B7584F"/>
    <w:rsid w:val="00B75854"/>
    <w:rsid w:val="00B76194"/>
    <w:rsid w:val="00B76A6C"/>
    <w:rsid w:val="00B7758F"/>
    <w:rsid w:val="00B80708"/>
    <w:rsid w:val="00B816B1"/>
    <w:rsid w:val="00B82116"/>
    <w:rsid w:val="00B8385F"/>
    <w:rsid w:val="00B8511B"/>
    <w:rsid w:val="00B85349"/>
    <w:rsid w:val="00B860F8"/>
    <w:rsid w:val="00B869CF"/>
    <w:rsid w:val="00B86A83"/>
    <w:rsid w:val="00B90125"/>
    <w:rsid w:val="00B9073E"/>
    <w:rsid w:val="00B913B4"/>
    <w:rsid w:val="00B92EBC"/>
    <w:rsid w:val="00B932B0"/>
    <w:rsid w:val="00B93F3A"/>
    <w:rsid w:val="00B95160"/>
    <w:rsid w:val="00B956DF"/>
    <w:rsid w:val="00B95A22"/>
    <w:rsid w:val="00B95CBA"/>
    <w:rsid w:val="00B96911"/>
    <w:rsid w:val="00B970A7"/>
    <w:rsid w:val="00BA0E11"/>
    <w:rsid w:val="00BA1D1A"/>
    <w:rsid w:val="00BA259E"/>
    <w:rsid w:val="00BA2C5B"/>
    <w:rsid w:val="00BA4F71"/>
    <w:rsid w:val="00BA5345"/>
    <w:rsid w:val="00BB04AA"/>
    <w:rsid w:val="00BB0D8C"/>
    <w:rsid w:val="00BB0F94"/>
    <w:rsid w:val="00BB19D2"/>
    <w:rsid w:val="00BB325A"/>
    <w:rsid w:val="00BB5157"/>
    <w:rsid w:val="00BB5606"/>
    <w:rsid w:val="00BB593E"/>
    <w:rsid w:val="00BB6202"/>
    <w:rsid w:val="00BB63A1"/>
    <w:rsid w:val="00BB669F"/>
    <w:rsid w:val="00BB7BC8"/>
    <w:rsid w:val="00BC1337"/>
    <w:rsid w:val="00BC13CA"/>
    <w:rsid w:val="00BC26CC"/>
    <w:rsid w:val="00BC2D92"/>
    <w:rsid w:val="00BC3574"/>
    <w:rsid w:val="00BC43F9"/>
    <w:rsid w:val="00BC6B24"/>
    <w:rsid w:val="00BC6BD1"/>
    <w:rsid w:val="00BD03BD"/>
    <w:rsid w:val="00BD0564"/>
    <w:rsid w:val="00BD0AEF"/>
    <w:rsid w:val="00BD10F0"/>
    <w:rsid w:val="00BD1545"/>
    <w:rsid w:val="00BD175D"/>
    <w:rsid w:val="00BD1936"/>
    <w:rsid w:val="00BD2FD2"/>
    <w:rsid w:val="00BD4700"/>
    <w:rsid w:val="00BD511C"/>
    <w:rsid w:val="00BD529F"/>
    <w:rsid w:val="00BD5C21"/>
    <w:rsid w:val="00BD64F5"/>
    <w:rsid w:val="00BD76DE"/>
    <w:rsid w:val="00BE0B77"/>
    <w:rsid w:val="00BE0DD4"/>
    <w:rsid w:val="00BE112E"/>
    <w:rsid w:val="00BE181A"/>
    <w:rsid w:val="00BE1DCD"/>
    <w:rsid w:val="00BE22AF"/>
    <w:rsid w:val="00BE5449"/>
    <w:rsid w:val="00BE5CC0"/>
    <w:rsid w:val="00BE5E57"/>
    <w:rsid w:val="00BF0BE9"/>
    <w:rsid w:val="00BF1456"/>
    <w:rsid w:val="00BF19E0"/>
    <w:rsid w:val="00BF234B"/>
    <w:rsid w:val="00BF3716"/>
    <w:rsid w:val="00BF5DE4"/>
    <w:rsid w:val="00BF68F4"/>
    <w:rsid w:val="00BF75F2"/>
    <w:rsid w:val="00BF7FB6"/>
    <w:rsid w:val="00C004A5"/>
    <w:rsid w:val="00C009BD"/>
    <w:rsid w:val="00C01499"/>
    <w:rsid w:val="00C01CAD"/>
    <w:rsid w:val="00C01FE7"/>
    <w:rsid w:val="00C02326"/>
    <w:rsid w:val="00C026CA"/>
    <w:rsid w:val="00C02BD2"/>
    <w:rsid w:val="00C0378D"/>
    <w:rsid w:val="00C041F4"/>
    <w:rsid w:val="00C045C7"/>
    <w:rsid w:val="00C066E5"/>
    <w:rsid w:val="00C07ED5"/>
    <w:rsid w:val="00C10A8E"/>
    <w:rsid w:val="00C136EB"/>
    <w:rsid w:val="00C14389"/>
    <w:rsid w:val="00C14F8E"/>
    <w:rsid w:val="00C1508F"/>
    <w:rsid w:val="00C152E0"/>
    <w:rsid w:val="00C1552D"/>
    <w:rsid w:val="00C17189"/>
    <w:rsid w:val="00C213C8"/>
    <w:rsid w:val="00C214FE"/>
    <w:rsid w:val="00C216BF"/>
    <w:rsid w:val="00C2407D"/>
    <w:rsid w:val="00C30338"/>
    <w:rsid w:val="00C32FFF"/>
    <w:rsid w:val="00C33407"/>
    <w:rsid w:val="00C338CE"/>
    <w:rsid w:val="00C3604D"/>
    <w:rsid w:val="00C36E1D"/>
    <w:rsid w:val="00C37077"/>
    <w:rsid w:val="00C37352"/>
    <w:rsid w:val="00C402BA"/>
    <w:rsid w:val="00C40EA4"/>
    <w:rsid w:val="00C424E6"/>
    <w:rsid w:val="00C50916"/>
    <w:rsid w:val="00C5117D"/>
    <w:rsid w:val="00C51738"/>
    <w:rsid w:val="00C51F79"/>
    <w:rsid w:val="00C52CC2"/>
    <w:rsid w:val="00C53A1F"/>
    <w:rsid w:val="00C54512"/>
    <w:rsid w:val="00C560CB"/>
    <w:rsid w:val="00C606E8"/>
    <w:rsid w:val="00C6113C"/>
    <w:rsid w:val="00C61AD3"/>
    <w:rsid w:val="00C635EB"/>
    <w:rsid w:val="00C64BDC"/>
    <w:rsid w:val="00C650A6"/>
    <w:rsid w:val="00C662EF"/>
    <w:rsid w:val="00C7138D"/>
    <w:rsid w:val="00C713DD"/>
    <w:rsid w:val="00C73508"/>
    <w:rsid w:val="00C74572"/>
    <w:rsid w:val="00C762B1"/>
    <w:rsid w:val="00C766D0"/>
    <w:rsid w:val="00C7758D"/>
    <w:rsid w:val="00C77695"/>
    <w:rsid w:val="00C8360A"/>
    <w:rsid w:val="00C83873"/>
    <w:rsid w:val="00C83A65"/>
    <w:rsid w:val="00C83B1A"/>
    <w:rsid w:val="00C8475E"/>
    <w:rsid w:val="00C84985"/>
    <w:rsid w:val="00C854F1"/>
    <w:rsid w:val="00C858F2"/>
    <w:rsid w:val="00C86F62"/>
    <w:rsid w:val="00C870E5"/>
    <w:rsid w:val="00C871F0"/>
    <w:rsid w:val="00C900D2"/>
    <w:rsid w:val="00C90517"/>
    <w:rsid w:val="00C91BB5"/>
    <w:rsid w:val="00C92983"/>
    <w:rsid w:val="00C93057"/>
    <w:rsid w:val="00C93A27"/>
    <w:rsid w:val="00C94140"/>
    <w:rsid w:val="00C95781"/>
    <w:rsid w:val="00C95B68"/>
    <w:rsid w:val="00C95E1A"/>
    <w:rsid w:val="00C96103"/>
    <w:rsid w:val="00C96160"/>
    <w:rsid w:val="00C962D5"/>
    <w:rsid w:val="00C96748"/>
    <w:rsid w:val="00C976E1"/>
    <w:rsid w:val="00CA4C58"/>
    <w:rsid w:val="00CA55C8"/>
    <w:rsid w:val="00CA695B"/>
    <w:rsid w:val="00CA6AF7"/>
    <w:rsid w:val="00CA7070"/>
    <w:rsid w:val="00CB0280"/>
    <w:rsid w:val="00CB0C5C"/>
    <w:rsid w:val="00CB1E62"/>
    <w:rsid w:val="00CB329C"/>
    <w:rsid w:val="00CB48C2"/>
    <w:rsid w:val="00CB5719"/>
    <w:rsid w:val="00CB59F2"/>
    <w:rsid w:val="00CB5B34"/>
    <w:rsid w:val="00CB7387"/>
    <w:rsid w:val="00CB74CA"/>
    <w:rsid w:val="00CC054B"/>
    <w:rsid w:val="00CC094D"/>
    <w:rsid w:val="00CC0DC5"/>
    <w:rsid w:val="00CC1789"/>
    <w:rsid w:val="00CC1EFB"/>
    <w:rsid w:val="00CC233B"/>
    <w:rsid w:val="00CC24F8"/>
    <w:rsid w:val="00CC313C"/>
    <w:rsid w:val="00CC3728"/>
    <w:rsid w:val="00CC3FA6"/>
    <w:rsid w:val="00CC4794"/>
    <w:rsid w:val="00CC4F18"/>
    <w:rsid w:val="00CC64E3"/>
    <w:rsid w:val="00CC6BA6"/>
    <w:rsid w:val="00CC711E"/>
    <w:rsid w:val="00CD0670"/>
    <w:rsid w:val="00CD1FE3"/>
    <w:rsid w:val="00CD4934"/>
    <w:rsid w:val="00CD4E01"/>
    <w:rsid w:val="00CD5526"/>
    <w:rsid w:val="00CD57CD"/>
    <w:rsid w:val="00CD6500"/>
    <w:rsid w:val="00CD66FB"/>
    <w:rsid w:val="00CD793E"/>
    <w:rsid w:val="00CE1A6D"/>
    <w:rsid w:val="00CE35B9"/>
    <w:rsid w:val="00CE6007"/>
    <w:rsid w:val="00CE68FF"/>
    <w:rsid w:val="00CE6E0E"/>
    <w:rsid w:val="00CE7033"/>
    <w:rsid w:val="00CE73FA"/>
    <w:rsid w:val="00CF2019"/>
    <w:rsid w:val="00CF2BC9"/>
    <w:rsid w:val="00CF30DB"/>
    <w:rsid w:val="00CF34D8"/>
    <w:rsid w:val="00CF3569"/>
    <w:rsid w:val="00CF4014"/>
    <w:rsid w:val="00CF55FA"/>
    <w:rsid w:val="00CF6AD6"/>
    <w:rsid w:val="00CF6F91"/>
    <w:rsid w:val="00D004E2"/>
    <w:rsid w:val="00D00CD5"/>
    <w:rsid w:val="00D01CF3"/>
    <w:rsid w:val="00D0267B"/>
    <w:rsid w:val="00D028BF"/>
    <w:rsid w:val="00D03468"/>
    <w:rsid w:val="00D04ADE"/>
    <w:rsid w:val="00D0670A"/>
    <w:rsid w:val="00D06B17"/>
    <w:rsid w:val="00D11019"/>
    <w:rsid w:val="00D115D9"/>
    <w:rsid w:val="00D13E0D"/>
    <w:rsid w:val="00D14176"/>
    <w:rsid w:val="00D151CD"/>
    <w:rsid w:val="00D1576E"/>
    <w:rsid w:val="00D15E89"/>
    <w:rsid w:val="00D16548"/>
    <w:rsid w:val="00D21D97"/>
    <w:rsid w:val="00D21F9F"/>
    <w:rsid w:val="00D22450"/>
    <w:rsid w:val="00D2250E"/>
    <w:rsid w:val="00D23DF1"/>
    <w:rsid w:val="00D255A8"/>
    <w:rsid w:val="00D2628C"/>
    <w:rsid w:val="00D263EC"/>
    <w:rsid w:val="00D26E8D"/>
    <w:rsid w:val="00D27AF9"/>
    <w:rsid w:val="00D31090"/>
    <w:rsid w:val="00D325DD"/>
    <w:rsid w:val="00D327F7"/>
    <w:rsid w:val="00D32A06"/>
    <w:rsid w:val="00D32A0A"/>
    <w:rsid w:val="00D34266"/>
    <w:rsid w:val="00D35FD1"/>
    <w:rsid w:val="00D3665B"/>
    <w:rsid w:val="00D377D5"/>
    <w:rsid w:val="00D37A84"/>
    <w:rsid w:val="00D40D4E"/>
    <w:rsid w:val="00D40ED0"/>
    <w:rsid w:val="00D41CF8"/>
    <w:rsid w:val="00D42646"/>
    <w:rsid w:val="00D46887"/>
    <w:rsid w:val="00D46938"/>
    <w:rsid w:val="00D474E2"/>
    <w:rsid w:val="00D47F2A"/>
    <w:rsid w:val="00D50A2A"/>
    <w:rsid w:val="00D527B1"/>
    <w:rsid w:val="00D52C9E"/>
    <w:rsid w:val="00D546D7"/>
    <w:rsid w:val="00D5698E"/>
    <w:rsid w:val="00D56B8B"/>
    <w:rsid w:val="00D56C0B"/>
    <w:rsid w:val="00D571FE"/>
    <w:rsid w:val="00D60A35"/>
    <w:rsid w:val="00D61386"/>
    <w:rsid w:val="00D63A86"/>
    <w:rsid w:val="00D64000"/>
    <w:rsid w:val="00D65E4D"/>
    <w:rsid w:val="00D665CC"/>
    <w:rsid w:val="00D70BA6"/>
    <w:rsid w:val="00D75443"/>
    <w:rsid w:val="00D7623D"/>
    <w:rsid w:val="00D77D37"/>
    <w:rsid w:val="00D77FE8"/>
    <w:rsid w:val="00D80FC0"/>
    <w:rsid w:val="00D81F8E"/>
    <w:rsid w:val="00D8284C"/>
    <w:rsid w:val="00D839E0"/>
    <w:rsid w:val="00D83B3D"/>
    <w:rsid w:val="00D85ED8"/>
    <w:rsid w:val="00D85F3A"/>
    <w:rsid w:val="00D85F5C"/>
    <w:rsid w:val="00D90480"/>
    <w:rsid w:val="00D91BA5"/>
    <w:rsid w:val="00D93AB2"/>
    <w:rsid w:val="00D94324"/>
    <w:rsid w:val="00D95F51"/>
    <w:rsid w:val="00D96FF4"/>
    <w:rsid w:val="00DA08F0"/>
    <w:rsid w:val="00DA0AC2"/>
    <w:rsid w:val="00DA354F"/>
    <w:rsid w:val="00DA3BF1"/>
    <w:rsid w:val="00DA4827"/>
    <w:rsid w:val="00DA66DB"/>
    <w:rsid w:val="00DA71EA"/>
    <w:rsid w:val="00DA7755"/>
    <w:rsid w:val="00DB00E3"/>
    <w:rsid w:val="00DB0D9B"/>
    <w:rsid w:val="00DB52FE"/>
    <w:rsid w:val="00DB53AA"/>
    <w:rsid w:val="00DB5BFA"/>
    <w:rsid w:val="00DB5DF1"/>
    <w:rsid w:val="00DB5FBC"/>
    <w:rsid w:val="00DB6B67"/>
    <w:rsid w:val="00DB6D52"/>
    <w:rsid w:val="00DB7C52"/>
    <w:rsid w:val="00DC0485"/>
    <w:rsid w:val="00DC07CF"/>
    <w:rsid w:val="00DC08F4"/>
    <w:rsid w:val="00DC0E2A"/>
    <w:rsid w:val="00DC2509"/>
    <w:rsid w:val="00DC3E6F"/>
    <w:rsid w:val="00DC57B5"/>
    <w:rsid w:val="00DC5965"/>
    <w:rsid w:val="00DC5C82"/>
    <w:rsid w:val="00DC6B2D"/>
    <w:rsid w:val="00DC78A1"/>
    <w:rsid w:val="00DD0EEA"/>
    <w:rsid w:val="00DD1BE3"/>
    <w:rsid w:val="00DD2465"/>
    <w:rsid w:val="00DD2C48"/>
    <w:rsid w:val="00DD30FF"/>
    <w:rsid w:val="00DD5EF3"/>
    <w:rsid w:val="00DD6BC7"/>
    <w:rsid w:val="00DD7303"/>
    <w:rsid w:val="00DD76C5"/>
    <w:rsid w:val="00DD7CAD"/>
    <w:rsid w:val="00DE12B0"/>
    <w:rsid w:val="00DE164C"/>
    <w:rsid w:val="00DE196F"/>
    <w:rsid w:val="00DE2731"/>
    <w:rsid w:val="00DE328E"/>
    <w:rsid w:val="00DE3681"/>
    <w:rsid w:val="00DE3B1A"/>
    <w:rsid w:val="00DE3D66"/>
    <w:rsid w:val="00DE562A"/>
    <w:rsid w:val="00DE6046"/>
    <w:rsid w:val="00DE726F"/>
    <w:rsid w:val="00DF0560"/>
    <w:rsid w:val="00DF0F58"/>
    <w:rsid w:val="00DF2A36"/>
    <w:rsid w:val="00DF3184"/>
    <w:rsid w:val="00DF4D2B"/>
    <w:rsid w:val="00DF552F"/>
    <w:rsid w:val="00DF58D9"/>
    <w:rsid w:val="00DF59F6"/>
    <w:rsid w:val="00DF6461"/>
    <w:rsid w:val="00E00035"/>
    <w:rsid w:val="00E01C9D"/>
    <w:rsid w:val="00E01EAE"/>
    <w:rsid w:val="00E03EFD"/>
    <w:rsid w:val="00E05774"/>
    <w:rsid w:val="00E07E23"/>
    <w:rsid w:val="00E1328A"/>
    <w:rsid w:val="00E1391A"/>
    <w:rsid w:val="00E14210"/>
    <w:rsid w:val="00E147FC"/>
    <w:rsid w:val="00E14D34"/>
    <w:rsid w:val="00E14E81"/>
    <w:rsid w:val="00E159A0"/>
    <w:rsid w:val="00E16FA4"/>
    <w:rsid w:val="00E177EA"/>
    <w:rsid w:val="00E17BC1"/>
    <w:rsid w:val="00E17D99"/>
    <w:rsid w:val="00E203AE"/>
    <w:rsid w:val="00E21FEC"/>
    <w:rsid w:val="00E220C6"/>
    <w:rsid w:val="00E225CB"/>
    <w:rsid w:val="00E241B7"/>
    <w:rsid w:val="00E24933"/>
    <w:rsid w:val="00E255FD"/>
    <w:rsid w:val="00E25ABF"/>
    <w:rsid w:val="00E264E2"/>
    <w:rsid w:val="00E27AB5"/>
    <w:rsid w:val="00E27BE9"/>
    <w:rsid w:val="00E307F4"/>
    <w:rsid w:val="00E314F2"/>
    <w:rsid w:val="00E3209C"/>
    <w:rsid w:val="00E327BA"/>
    <w:rsid w:val="00E33780"/>
    <w:rsid w:val="00E33785"/>
    <w:rsid w:val="00E34C02"/>
    <w:rsid w:val="00E34CB3"/>
    <w:rsid w:val="00E35DF7"/>
    <w:rsid w:val="00E35EF2"/>
    <w:rsid w:val="00E362F2"/>
    <w:rsid w:val="00E369B2"/>
    <w:rsid w:val="00E41149"/>
    <w:rsid w:val="00E424BE"/>
    <w:rsid w:val="00E43D75"/>
    <w:rsid w:val="00E4468F"/>
    <w:rsid w:val="00E44DB6"/>
    <w:rsid w:val="00E452D2"/>
    <w:rsid w:val="00E46542"/>
    <w:rsid w:val="00E46731"/>
    <w:rsid w:val="00E47478"/>
    <w:rsid w:val="00E47E91"/>
    <w:rsid w:val="00E50CE0"/>
    <w:rsid w:val="00E518AD"/>
    <w:rsid w:val="00E53130"/>
    <w:rsid w:val="00E56A60"/>
    <w:rsid w:val="00E57BFA"/>
    <w:rsid w:val="00E6077A"/>
    <w:rsid w:val="00E622C6"/>
    <w:rsid w:val="00E623C6"/>
    <w:rsid w:val="00E626BC"/>
    <w:rsid w:val="00E62A55"/>
    <w:rsid w:val="00E63DA0"/>
    <w:rsid w:val="00E644CA"/>
    <w:rsid w:val="00E64A59"/>
    <w:rsid w:val="00E65073"/>
    <w:rsid w:val="00E66257"/>
    <w:rsid w:val="00E66538"/>
    <w:rsid w:val="00E66654"/>
    <w:rsid w:val="00E67B67"/>
    <w:rsid w:val="00E7115E"/>
    <w:rsid w:val="00E71372"/>
    <w:rsid w:val="00E72048"/>
    <w:rsid w:val="00E72957"/>
    <w:rsid w:val="00E760D2"/>
    <w:rsid w:val="00E771D6"/>
    <w:rsid w:val="00E81705"/>
    <w:rsid w:val="00E81F61"/>
    <w:rsid w:val="00E82B3D"/>
    <w:rsid w:val="00E82FA2"/>
    <w:rsid w:val="00E83468"/>
    <w:rsid w:val="00E83D92"/>
    <w:rsid w:val="00E84425"/>
    <w:rsid w:val="00E84B6E"/>
    <w:rsid w:val="00E84E08"/>
    <w:rsid w:val="00E85210"/>
    <w:rsid w:val="00E87326"/>
    <w:rsid w:val="00E87C24"/>
    <w:rsid w:val="00E92C1D"/>
    <w:rsid w:val="00E92F03"/>
    <w:rsid w:val="00E95203"/>
    <w:rsid w:val="00E9533B"/>
    <w:rsid w:val="00E976FB"/>
    <w:rsid w:val="00E97DB2"/>
    <w:rsid w:val="00EA0AF6"/>
    <w:rsid w:val="00EA17A5"/>
    <w:rsid w:val="00EA238A"/>
    <w:rsid w:val="00EA38DE"/>
    <w:rsid w:val="00EA42DE"/>
    <w:rsid w:val="00EA439A"/>
    <w:rsid w:val="00EA4841"/>
    <w:rsid w:val="00EA4D41"/>
    <w:rsid w:val="00EA5703"/>
    <w:rsid w:val="00EA630D"/>
    <w:rsid w:val="00EB0AE0"/>
    <w:rsid w:val="00EB0FF1"/>
    <w:rsid w:val="00EB1209"/>
    <w:rsid w:val="00EB1617"/>
    <w:rsid w:val="00EB1C5F"/>
    <w:rsid w:val="00EB2AC2"/>
    <w:rsid w:val="00EB2B08"/>
    <w:rsid w:val="00EB33D9"/>
    <w:rsid w:val="00EB59C4"/>
    <w:rsid w:val="00EB647F"/>
    <w:rsid w:val="00EB69F2"/>
    <w:rsid w:val="00EB6E4F"/>
    <w:rsid w:val="00EC12C4"/>
    <w:rsid w:val="00EC192A"/>
    <w:rsid w:val="00EC1C84"/>
    <w:rsid w:val="00EC2B52"/>
    <w:rsid w:val="00EC384A"/>
    <w:rsid w:val="00EC38E3"/>
    <w:rsid w:val="00EC5D77"/>
    <w:rsid w:val="00EC6CC8"/>
    <w:rsid w:val="00ED17C3"/>
    <w:rsid w:val="00ED2876"/>
    <w:rsid w:val="00ED3BD7"/>
    <w:rsid w:val="00ED42B9"/>
    <w:rsid w:val="00ED5127"/>
    <w:rsid w:val="00ED535B"/>
    <w:rsid w:val="00ED5F86"/>
    <w:rsid w:val="00ED76CB"/>
    <w:rsid w:val="00EE0B1A"/>
    <w:rsid w:val="00EE29BD"/>
    <w:rsid w:val="00EE2FF0"/>
    <w:rsid w:val="00EE486D"/>
    <w:rsid w:val="00EE4F62"/>
    <w:rsid w:val="00EE5534"/>
    <w:rsid w:val="00EE66FF"/>
    <w:rsid w:val="00EF0A24"/>
    <w:rsid w:val="00EF0BB4"/>
    <w:rsid w:val="00EF1F12"/>
    <w:rsid w:val="00EF287B"/>
    <w:rsid w:val="00EF2C72"/>
    <w:rsid w:val="00EF3D73"/>
    <w:rsid w:val="00EF475C"/>
    <w:rsid w:val="00EF5549"/>
    <w:rsid w:val="00EF575B"/>
    <w:rsid w:val="00EF6821"/>
    <w:rsid w:val="00F05105"/>
    <w:rsid w:val="00F057DD"/>
    <w:rsid w:val="00F10BED"/>
    <w:rsid w:val="00F12F47"/>
    <w:rsid w:val="00F130CB"/>
    <w:rsid w:val="00F16AC6"/>
    <w:rsid w:val="00F20A8E"/>
    <w:rsid w:val="00F2265C"/>
    <w:rsid w:val="00F229A6"/>
    <w:rsid w:val="00F22F79"/>
    <w:rsid w:val="00F2369E"/>
    <w:rsid w:val="00F2451F"/>
    <w:rsid w:val="00F25434"/>
    <w:rsid w:val="00F275F9"/>
    <w:rsid w:val="00F278FF"/>
    <w:rsid w:val="00F30243"/>
    <w:rsid w:val="00F302CE"/>
    <w:rsid w:val="00F33E7D"/>
    <w:rsid w:val="00F35178"/>
    <w:rsid w:val="00F353D5"/>
    <w:rsid w:val="00F40AF7"/>
    <w:rsid w:val="00F4221F"/>
    <w:rsid w:val="00F43DD7"/>
    <w:rsid w:val="00F442C0"/>
    <w:rsid w:val="00F463FC"/>
    <w:rsid w:val="00F46F80"/>
    <w:rsid w:val="00F474A5"/>
    <w:rsid w:val="00F47948"/>
    <w:rsid w:val="00F50680"/>
    <w:rsid w:val="00F517A5"/>
    <w:rsid w:val="00F51B07"/>
    <w:rsid w:val="00F53B17"/>
    <w:rsid w:val="00F543FB"/>
    <w:rsid w:val="00F54690"/>
    <w:rsid w:val="00F548E9"/>
    <w:rsid w:val="00F54910"/>
    <w:rsid w:val="00F5643E"/>
    <w:rsid w:val="00F56A43"/>
    <w:rsid w:val="00F57D0F"/>
    <w:rsid w:val="00F6032D"/>
    <w:rsid w:val="00F60DF7"/>
    <w:rsid w:val="00F611A7"/>
    <w:rsid w:val="00F611C9"/>
    <w:rsid w:val="00F61770"/>
    <w:rsid w:val="00F61967"/>
    <w:rsid w:val="00F61AE9"/>
    <w:rsid w:val="00F6376C"/>
    <w:rsid w:val="00F6436B"/>
    <w:rsid w:val="00F65AE3"/>
    <w:rsid w:val="00F65BFA"/>
    <w:rsid w:val="00F667CA"/>
    <w:rsid w:val="00F66C5E"/>
    <w:rsid w:val="00F67169"/>
    <w:rsid w:val="00F67220"/>
    <w:rsid w:val="00F7026F"/>
    <w:rsid w:val="00F7056F"/>
    <w:rsid w:val="00F70BA6"/>
    <w:rsid w:val="00F7112D"/>
    <w:rsid w:val="00F71175"/>
    <w:rsid w:val="00F71404"/>
    <w:rsid w:val="00F716F5"/>
    <w:rsid w:val="00F71C84"/>
    <w:rsid w:val="00F734C9"/>
    <w:rsid w:val="00F73D72"/>
    <w:rsid w:val="00F745F1"/>
    <w:rsid w:val="00F80300"/>
    <w:rsid w:val="00F8145E"/>
    <w:rsid w:val="00F81763"/>
    <w:rsid w:val="00F819E1"/>
    <w:rsid w:val="00F82B61"/>
    <w:rsid w:val="00F82EB1"/>
    <w:rsid w:val="00F837D1"/>
    <w:rsid w:val="00F85EC0"/>
    <w:rsid w:val="00F860EF"/>
    <w:rsid w:val="00F872C3"/>
    <w:rsid w:val="00F905E7"/>
    <w:rsid w:val="00F906EF"/>
    <w:rsid w:val="00F908F9"/>
    <w:rsid w:val="00F90F94"/>
    <w:rsid w:val="00F92523"/>
    <w:rsid w:val="00F94BB3"/>
    <w:rsid w:val="00F94F21"/>
    <w:rsid w:val="00F95179"/>
    <w:rsid w:val="00F95928"/>
    <w:rsid w:val="00F96D23"/>
    <w:rsid w:val="00F97793"/>
    <w:rsid w:val="00FA077B"/>
    <w:rsid w:val="00FA19AF"/>
    <w:rsid w:val="00FA2468"/>
    <w:rsid w:val="00FA3D31"/>
    <w:rsid w:val="00FA3F5F"/>
    <w:rsid w:val="00FA4D5E"/>
    <w:rsid w:val="00FA51AE"/>
    <w:rsid w:val="00FA7461"/>
    <w:rsid w:val="00FB0212"/>
    <w:rsid w:val="00FB1405"/>
    <w:rsid w:val="00FB22FE"/>
    <w:rsid w:val="00FB2902"/>
    <w:rsid w:val="00FB497A"/>
    <w:rsid w:val="00FB49D0"/>
    <w:rsid w:val="00FB6D8F"/>
    <w:rsid w:val="00FB769F"/>
    <w:rsid w:val="00FB76D7"/>
    <w:rsid w:val="00FC17C1"/>
    <w:rsid w:val="00FC1AF1"/>
    <w:rsid w:val="00FC211C"/>
    <w:rsid w:val="00FC2C35"/>
    <w:rsid w:val="00FC4BF8"/>
    <w:rsid w:val="00FC4D81"/>
    <w:rsid w:val="00FC576A"/>
    <w:rsid w:val="00FD03DA"/>
    <w:rsid w:val="00FD180A"/>
    <w:rsid w:val="00FD2223"/>
    <w:rsid w:val="00FD23D6"/>
    <w:rsid w:val="00FD2CE1"/>
    <w:rsid w:val="00FD592D"/>
    <w:rsid w:val="00FD5B5D"/>
    <w:rsid w:val="00FD71E2"/>
    <w:rsid w:val="00FD7A6D"/>
    <w:rsid w:val="00FE1409"/>
    <w:rsid w:val="00FE16BE"/>
    <w:rsid w:val="00FE1979"/>
    <w:rsid w:val="00FE2C73"/>
    <w:rsid w:val="00FE3701"/>
    <w:rsid w:val="00FE3B51"/>
    <w:rsid w:val="00FE3D4B"/>
    <w:rsid w:val="00FE3E69"/>
    <w:rsid w:val="00FE4178"/>
    <w:rsid w:val="00FE6D1F"/>
    <w:rsid w:val="00FE6D23"/>
    <w:rsid w:val="00FE7E1E"/>
    <w:rsid w:val="00FF0045"/>
    <w:rsid w:val="00FF0786"/>
    <w:rsid w:val="00FF2028"/>
    <w:rsid w:val="00FF2A7B"/>
    <w:rsid w:val="00FF2BEA"/>
    <w:rsid w:val="00FF2C4F"/>
    <w:rsid w:val="00FF3809"/>
    <w:rsid w:val="00FF3A85"/>
    <w:rsid w:val="00FF3CF7"/>
    <w:rsid w:val="00FF3F4E"/>
    <w:rsid w:val="00FF4199"/>
    <w:rsid w:val="00FF42F8"/>
    <w:rsid w:val="00FF461F"/>
    <w:rsid w:val="00FF4FF2"/>
    <w:rsid w:val="00FF5B5E"/>
    <w:rsid w:val="00FF5E34"/>
    <w:rsid w:val="00FF6294"/>
    <w:rsid w:val="00FF6E5B"/>
    <w:rsid w:val="00FF729B"/>
    <w:rsid w:val="00FF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lsdException w:name="heading 2" w:semiHidden="1" w:uiPriority="9" w:unhideWhenUsed="1"/>
    <w:lsdException w:name="heading 3" w:semiHidden="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1585"/>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uiPriority w:val="9"/>
    <w:rsid w:val="00166603"/>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rsid w:val="00166603"/>
    <w:pPr>
      <w:keepNext/>
      <w:spacing w:after="240" w:line="360" w:lineRule="auto"/>
      <w:outlineLvl w:val="2"/>
    </w:pPr>
    <w:rPr>
      <w:b/>
      <w:sz w:val="28"/>
      <w:szCs w:val="20"/>
    </w:rPr>
  </w:style>
  <w:style w:type="paragraph" w:styleId="Heading4">
    <w:name w:val="heading 4"/>
    <w:basedOn w:val="Normal"/>
    <w:next w:val="Normal"/>
    <w:uiPriority w:val="9"/>
    <w:semiHidden/>
    <w:unhideWhenUsed/>
    <w:rsid w:val="00166603"/>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rsid w:val="007E15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1585"/>
  </w:style>
  <w:style w:type="paragraph" w:styleId="Header">
    <w:name w:val="header"/>
    <w:basedOn w:val="Normal"/>
    <w:link w:val="HeaderChar"/>
    <w:rsid w:val="00166603"/>
    <w:pPr>
      <w:tabs>
        <w:tab w:val="center" w:pos="4153"/>
        <w:tab w:val="right" w:pos="8306"/>
      </w:tabs>
    </w:pPr>
  </w:style>
  <w:style w:type="paragraph" w:styleId="Footer">
    <w:name w:val="footer"/>
    <w:basedOn w:val="Normal"/>
    <w:link w:val="FooterChar"/>
    <w:uiPriority w:val="99"/>
    <w:rsid w:val="00166603"/>
    <w:pPr>
      <w:tabs>
        <w:tab w:val="center" w:pos="4153"/>
        <w:tab w:val="right" w:pos="8306"/>
      </w:tabs>
    </w:pPr>
  </w:style>
  <w:style w:type="table" w:styleId="TableGrid">
    <w:name w:val="Table Grid"/>
    <w:basedOn w:val="TableNormal"/>
    <w:uiPriority w:val="59"/>
    <w:rsid w:val="00166603"/>
    <w:rPr>
      <w:rFonts w:ascii="Arial" w:hAnsi="Arial"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66603"/>
    <w:rPr>
      <w:sz w:val="20"/>
      <w:szCs w:val="20"/>
    </w:rPr>
  </w:style>
  <w:style w:type="character" w:styleId="FootnoteReference">
    <w:name w:val="footnote reference"/>
    <w:rsid w:val="00166603"/>
    <w:rPr>
      <w:vertAlign w:val="superscript"/>
    </w:rPr>
  </w:style>
  <w:style w:type="character" w:styleId="PageNumber">
    <w:name w:val="page number"/>
    <w:basedOn w:val="DefaultParagraphFont"/>
    <w:rsid w:val="00166603"/>
  </w:style>
  <w:style w:type="character" w:styleId="FollowedHyperlink">
    <w:name w:val="FollowedHyperlink"/>
    <w:rsid w:val="00166603"/>
    <w:rPr>
      <w:color w:val="800080"/>
      <w:u w:val="single"/>
    </w:rPr>
  </w:style>
  <w:style w:type="character" w:styleId="Hyperlink">
    <w:name w:val="Hyperlink"/>
    <w:uiPriority w:val="99"/>
    <w:rsid w:val="00166603"/>
    <w:rPr>
      <w:color w:val="0000FF"/>
      <w:u w:val="single"/>
    </w:rPr>
  </w:style>
  <w:style w:type="paragraph" w:styleId="BalloonText">
    <w:name w:val="Balloon Text"/>
    <w:basedOn w:val="Normal"/>
    <w:semiHidden/>
    <w:rsid w:val="00166603"/>
    <w:rPr>
      <w:rFonts w:ascii="Tahoma" w:hAnsi="Tahoma" w:cs="Tahoma"/>
      <w:sz w:val="16"/>
      <w:szCs w:val="16"/>
    </w:rPr>
  </w:style>
  <w:style w:type="paragraph" w:styleId="Title">
    <w:name w:val="Title"/>
    <w:aliases w:val="Centred title"/>
    <w:basedOn w:val="Normal"/>
    <w:link w:val="TitleChar"/>
    <w:qFormat/>
    <w:rsid w:val="00166603"/>
    <w:pPr>
      <w:spacing w:before="480" w:after="480"/>
      <w:jc w:val="center"/>
    </w:pPr>
    <w:rPr>
      <w:b/>
      <w:sz w:val="32"/>
      <w:szCs w:val="32"/>
    </w:rPr>
  </w:style>
  <w:style w:type="paragraph" w:styleId="BodyText">
    <w:name w:val="Body Text"/>
    <w:basedOn w:val="Normal"/>
    <w:link w:val="BodyTextChar"/>
    <w:rsid w:val="00166603"/>
    <w:rPr>
      <w:szCs w:val="20"/>
    </w:rPr>
  </w:style>
  <w:style w:type="paragraph" w:styleId="BodyTextIndent">
    <w:name w:val="Body Text Indent"/>
    <w:basedOn w:val="Normal"/>
    <w:rsid w:val="00166603"/>
    <w:pPr>
      <w:spacing w:after="120"/>
      <w:ind w:left="283"/>
    </w:pPr>
  </w:style>
  <w:style w:type="paragraph" w:styleId="BodyText2">
    <w:name w:val="Body Text 2"/>
    <w:basedOn w:val="Normal"/>
    <w:rsid w:val="00166603"/>
    <w:pPr>
      <w:spacing w:after="120" w:line="480" w:lineRule="auto"/>
    </w:pPr>
  </w:style>
  <w:style w:type="paragraph" w:styleId="BodyText3">
    <w:name w:val="Body Text 3"/>
    <w:basedOn w:val="Normal"/>
    <w:rsid w:val="00166603"/>
    <w:pPr>
      <w:spacing w:after="120"/>
    </w:pPr>
    <w:rPr>
      <w:sz w:val="16"/>
      <w:szCs w:val="16"/>
    </w:rPr>
  </w:style>
  <w:style w:type="character" w:styleId="CommentReference">
    <w:name w:val="annotation reference"/>
    <w:semiHidden/>
    <w:rsid w:val="00166603"/>
    <w:rPr>
      <w:sz w:val="16"/>
      <w:szCs w:val="16"/>
    </w:rPr>
  </w:style>
  <w:style w:type="paragraph" w:styleId="CommentText">
    <w:name w:val="annotation text"/>
    <w:basedOn w:val="Normal"/>
    <w:link w:val="CommentTextChar"/>
    <w:semiHidden/>
    <w:rsid w:val="00166603"/>
    <w:rPr>
      <w:sz w:val="20"/>
      <w:szCs w:val="20"/>
    </w:rPr>
  </w:style>
  <w:style w:type="paragraph" w:styleId="CommentSubject">
    <w:name w:val="annotation subject"/>
    <w:basedOn w:val="CommentText"/>
    <w:next w:val="CommentText"/>
    <w:semiHidden/>
    <w:rsid w:val="00166603"/>
    <w:rPr>
      <w:b/>
      <w:bCs/>
    </w:rPr>
  </w:style>
  <w:style w:type="paragraph" w:customStyle="1" w:styleId="Default">
    <w:name w:val="Default"/>
    <w:rsid w:val="00166603"/>
    <w:pPr>
      <w:autoSpaceDE w:val="0"/>
      <w:autoSpaceDN w:val="0"/>
      <w:adjustRightInd w:val="0"/>
      <w:spacing w:after="200" w:line="276" w:lineRule="auto"/>
    </w:pPr>
    <w:rPr>
      <w:rFonts w:ascii="Arial" w:hAnsi="Arial" w:cs="Arial"/>
      <w:color w:val="00000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rsid w:val="00166603"/>
    <w:pPr>
      <w:ind w:left="720"/>
      <w:contextualSpacing/>
    </w:pPr>
  </w:style>
  <w:style w:type="character" w:customStyle="1" w:styleId="FooterChar">
    <w:name w:val="Footer Char"/>
    <w:link w:val="Footer"/>
    <w:uiPriority w:val="99"/>
    <w:rsid w:val="00166603"/>
    <w:rPr>
      <w:rFonts w:ascii="Arial" w:eastAsiaTheme="minorHAnsi" w:hAnsi="Arial" w:cstheme="minorBidi"/>
      <w:sz w:val="24"/>
      <w:szCs w:val="22"/>
      <w:lang w:eastAsia="en-US"/>
    </w:rPr>
  </w:style>
  <w:style w:type="character" w:styleId="PlaceholderText">
    <w:name w:val="Placeholder Text"/>
    <w:uiPriority w:val="99"/>
    <w:semiHidden/>
    <w:rsid w:val="00166603"/>
    <w:rPr>
      <w:color w:val="808080"/>
    </w:rPr>
  </w:style>
  <w:style w:type="paragraph" w:styleId="TOCHeading">
    <w:name w:val="TOC Heading"/>
    <w:basedOn w:val="Heading1"/>
    <w:next w:val="Normal"/>
    <w:uiPriority w:val="39"/>
    <w:unhideWhenUsed/>
    <w:qFormat/>
    <w:rsid w:val="00166603"/>
    <w:pPr>
      <w:outlineLvl w:val="9"/>
    </w:pPr>
  </w:style>
  <w:style w:type="paragraph" w:styleId="TOC1">
    <w:name w:val="toc 1"/>
    <w:basedOn w:val="Normal"/>
    <w:next w:val="Normal"/>
    <w:autoRedefine/>
    <w:uiPriority w:val="39"/>
    <w:rsid w:val="00166603"/>
    <w:pPr>
      <w:tabs>
        <w:tab w:val="left" w:pos="482"/>
        <w:tab w:val="right" w:leader="dot" w:pos="9498"/>
      </w:tabs>
      <w:spacing w:after="0"/>
      <w:ind w:left="425" w:hanging="425"/>
    </w:pPr>
  </w:style>
  <w:style w:type="paragraph" w:styleId="TOC3">
    <w:name w:val="toc 3"/>
    <w:basedOn w:val="Normal"/>
    <w:next w:val="Normal"/>
    <w:autoRedefine/>
    <w:uiPriority w:val="39"/>
    <w:rsid w:val="00166603"/>
    <w:pPr>
      <w:tabs>
        <w:tab w:val="left" w:pos="1100"/>
        <w:tab w:val="right" w:leader="dot" w:pos="8755"/>
      </w:tabs>
      <w:spacing w:after="120"/>
    </w:pPr>
  </w:style>
  <w:style w:type="paragraph" w:customStyle="1" w:styleId="TableofContents">
    <w:name w:val="Table of Contents"/>
    <w:basedOn w:val="TOC3"/>
    <w:qFormat/>
    <w:rsid w:val="00166603"/>
    <w:rPr>
      <w:noProof/>
    </w:rPr>
  </w:style>
  <w:style w:type="paragraph" w:customStyle="1" w:styleId="SectionTitle">
    <w:name w:val="Section Title"/>
    <w:basedOn w:val="Normal"/>
    <w:rsid w:val="00166603"/>
    <w:pPr>
      <w:spacing w:before="200" w:after="200"/>
    </w:pPr>
    <w:rPr>
      <w:b/>
      <w:sz w:val="28"/>
    </w:rPr>
  </w:style>
  <w:style w:type="numbering" w:customStyle="1" w:styleId="PolicyBullet">
    <w:name w:val="Policy Bullet"/>
    <w:basedOn w:val="NoList"/>
    <w:rsid w:val="00166603"/>
    <w:pPr>
      <w:numPr>
        <w:numId w:val="1"/>
      </w:numPr>
    </w:pPr>
  </w:style>
  <w:style w:type="paragraph" w:customStyle="1" w:styleId="Policyheader">
    <w:name w:val="Policy header"/>
    <w:basedOn w:val="Header"/>
    <w:link w:val="PolicyheaderChar"/>
    <w:qFormat/>
    <w:rsid w:val="00166603"/>
    <w:pPr>
      <w:keepNext/>
      <w:numPr>
        <w:numId w:val="2"/>
      </w:numPr>
      <w:tabs>
        <w:tab w:val="clear" w:pos="4153"/>
        <w:tab w:val="clear" w:pos="8306"/>
      </w:tabs>
      <w:spacing w:before="240" w:after="240" w:line="300" w:lineRule="auto"/>
      <w:ind w:left="851" w:hanging="851"/>
      <w:outlineLvl w:val="0"/>
    </w:pPr>
    <w:rPr>
      <w:b/>
      <w:bCs/>
      <w:noProof/>
      <w:sz w:val="28"/>
    </w:rPr>
  </w:style>
  <w:style w:type="character" w:customStyle="1" w:styleId="Heading3Char">
    <w:name w:val="Heading 3 Char"/>
    <w:link w:val="Heading3"/>
    <w:rsid w:val="00166603"/>
    <w:rPr>
      <w:rFonts w:ascii="Arial" w:eastAsiaTheme="minorHAnsi" w:hAnsi="Arial" w:cstheme="minorBidi"/>
      <w:b/>
      <w:sz w:val="28"/>
      <w:lang w:eastAsia="en-US"/>
    </w:rPr>
  </w:style>
  <w:style w:type="character" w:customStyle="1" w:styleId="TitleChar">
    <w:name w:val="Title Char"/>
    <w:aliases w:val="Centred title Char"/>
    <w:link w:val="Title"/>
    <w:rsid w:val="00166603"/>
    <w:rPr>
      <w:rFonts w:ascii="Arial" w:eastAsiaTheme="minorHAnsi" w:hAnsi="Arial" w:cstheme="minorBidi"/>
      <w:b/>
      <w:sz w:val="32"/>
      <w:szCs w:val="32"/>
      <w:lang w:eastAsia="en-US"/>
    </w:rPr>
  </w:style>
  <w:style w:type="paragraph" w:customStyle="1" w:styleId="Policybulletlevel2">
    <w:name w:val="Policy bullet level 2"/>
    <w:basedOn w:val="Normal"/>
    <w:link w:val="Policybulletlevel2Char"/>
    <w:qFormat/>
    <w:rsid w:val="00166603"/>
    <w:pPr>
      <w:numPr>
        <w:ilvl w:val="1"/>
        <w:numId w:val="2"/>
      </w:numPr>
      <w:suppressAutoHyphens/>
      <w:spacing w:before="120" w:after="120" w:line="300" w:lineRule="auto"/>
      <w:ind w:left="851" w:hanging="851"/>
    </w:pPr>
  </w:style>
  <w:style w:type="paragraph" w:styleId="Revision">
    <w:name w:val="Revision"/>
    <w:hidden/>
    <w:uiPriority w:val="99"/>
    <w:semiHidden/>
    <w:rsid w:val="00166603"/>
    <w:rPr>
      <w:rFonts w:ascii="Arial" w:hAnsi="Arial" w:cs="Arial"/>
      <w:sz w:val="22"/>
      <w:szCs w:val="24"/>
    </w:rPr>
  </w:style>
  <w:style w:type="paragraph" w:customStyle="1" w:styleId="PolicybulletLevel3">
    <w:name w:val="Policy bullet Level 3"/>
    <w:basedOn w:val="Policybulletlevel2"/>
    <w:qFormat/>
    <w:rsid w:val="00166603"/>
    <w:pPr>
      <w:numPr>
        <w:ilvl w:val="2"/>
      </w:numPr>
      <w:ind w:left="851" w:hanging="851"/>
    </w:pPr>
  </w:style>
  <w:style w:type="numbering" w:customStyle="1" w:styleId="Bulletstyleforpolicies">
    <w:name w:val="Bullet style for policies"/>
    <w:rsid w:val="00166603"/>
    <w:pPr>
      <w:numPr>
        <w:numId w:val="3"/>
      </w:numPr>
    </w:pPr>
  </w:style>
  <w:style w:type="paragraph" w:customStyle="1" w:styleId="Policybulletlevel4">
    <w:name w:val="Policy bullet level 4"/>
    <w:basedOn w:val="PolicybulletLevel3"/>
    <w:qFormat/>
    <w:rsid w:val="00166603"/>
    <w:pPr>
      <w:numPr>
        <w:ilvl w:val="3"/>
      </w:numPr>
      <w:ind w:left="1701" w:hanging="850"/>
    </w:pPr>
  </w:style>
  <w:style w:type="paragraph" w:customStyle="1" w:styleId="Policybulletstyle">
    <w:name w:val="Policy bullet style"/>
    <w:basedOn w:val="Policybulletlevel2"/>
    <w:link w:val="PolicybulletstyleChar"/>
    <w:rsid w:val="00166603"/>
  </w:style>
  <w:style w:type="paragraph" w:customStyle="1" w:styleId="Policybullet2">
    <w:name w:val="Policy bullet 2"/>
    <w:basedOn w:val="Heading3"/>
    <w:rsid w:val="00166603"/>
    <w:pPr>
      <w:spacing w:before="120" w:after="120" w:line="300" w:lineRule="auto"/>
      <w:ind w:left="709" w:hanging="709"/>
    </w:pPr>
    <w:rPr>
      <w:rFonts w:eastAsia="Times New Roman"/>
      <w:b w:val="0"/>
      <w:color w:val="000000"/>
      <w:sz w:val="24"/>
    </w:rPr>
  </w:style>
  <w:style w:type="character" w:customStyle="1" w:styleId="PolicyheaderChar">
    <w:name w:val="Policy header Char"/>
    <w:link w:val="Policyheader"/>
    <w:rsid w:val="00166603"/>
    <w:rPr>
      <w:rFonts w:ascii="Arial" w:eastAsiaTheme="minorHAnsi" w:hAnsi="Arial" w:cstheme="minorBidi"/>
      <w:b/>
      <w:bCs/>
      <w:noProof/>
      <w:sz w:val="28"/>
      <w:szCs w:val="22"/>
      <w:lang w:eastAsia="en-US"/>
    </w:rPr>
  </w:style>
  <w:style w:type="character" w:customStyle="1" w:styleId="Policybulletlevel2Char">
    <w:name w:val="Policy bullet level 2 Char"/>
    <w:link w:val="Policybulletlevel2"/>
    <w:rsid w:val="00166603"/>
    <w:rPr>
      <w:rFonts w:ascii="Arial" w:eastAsiaTheme="minorHAnsi" w:hAnsi="Arial" w:cstheme="minorBidi"/>
      <w:sz w:val="24"/>
      <w:szCs w:val="22"/>
      <w:lang w:eastAsia="en-US"/>
    </w:rPr>
  </w:style>
  <w:style w:type="character" w:customStyle="1" w:styleId="PolicybulletstyleChar">
    <w:name w:val="Policy bullet style Char"/>
    <w:basedOn w:val="Policybulletlevel2Char"/>
    <w:link w:val="Policybulletstyle"/>
    <w:rsid w:val="00166603"/>
    <w:rPr>
      <w:rFonts w:ascii="Arial" w:eastAsiaTheme="minorHAnsi" w:hAnsi="Arial" w:cstheme="minorBidi"/>
      <w:sz w:val="24"/>
      <w:szCs w:val="22"/>
      <w:lang w:eastAsia="en-US"/>
    </w:rPr>
  </w:style>
  <w:style w:type="paragraph" w:customStyle="1" w:styleId="PolicyBullet3">
    <w:name w:val="Policy Bullet 3"/>
    <w:basedOn w:val="Policybullet2"/>
    <w:rsid w:val="00166603"/>
  </w:style>
  <w:style w:type="paragraph" w:customStyle="1" w:styleId="PolicyBullet4">
    <w:name w:val="Policy Bullet 4"/>
    <w:basedOn w:val="PolicyBullet3"/>
    <w:rsid w:val="00166603"/>
  </w:style>
  <w:style w:type="paragraph" w:styleId="NoSpacing">
    <w:name w:val="No Spacing"/>
    <w:uiPriority w:val="1"/>
    <w:rsid w:val="00166603"/>
    <w:rPr>
      <w:rFonts w:ascii="Arial" w:hAnsi="Arial" w:cs="Arial"/>
      <w:sz w:val="24"/>
      <w:szCs w:val="24"/>
    </w:rPr>
  </w:style>
  <w:style w:type="paragraph" w:customStyle="1" w:styleId="PolicyHeader2">
    <w:name w:val="Policy Header 2"/>
    <w:basedOn w:val="Policybulletlevel2"/>
    <w:next w:val="Policybullet2"/>
    <w:qFormat/>
    <w:rsid w:val="00166603"/>
    <w:pPr>
      <w:keepNext/>
      <w:spacing w:before="240" w:after="240"/>
      <w:outlineLvl w:val="1"/>
    </w:pPr>
    <w:rPr>
      <w:b/>
    </w:rPr>
  </w:style>
  <w:style w:type="character" w:styleId="Strong">
    <w:name w:val="Strong"/>
    <w:uiPriority w:val="22"/>
    <w:rsid w:val="00166603"/>
    <w:rPr>
      <w:b/>
      <w:bCs/>
    </w:rPr>
  </w:style>
  <w:style w:type="paragraph" w:styleId="TOC2">
    <w:name w:val="toc 2"/>
    <w:basedOn w:val="Normal"/>
    <w:next w:val="Normal"/>
    <w:autoRedefine/>
    <w:uiPriority w:val="39"/>
    <w:rsid w:val="00166603"/>
    <w:pPr>
      <w:tabs>
        <w:tab w:val="left" w:pos="993"/>
        <w:tab w:val="right" w:leader="dot" w:pos="9496"/>
      </w:tabs>
      <w:ind w:left="426"/>
    </w:pPr>
  </w:style>
  <w:style w:type="paragraph" w:customStyle="1" w:styleId="PolicyHeader3">
    <w:name w:val="Policy Header 3"/>
    <w:basedOn w:val="PolicybulletLevel3"/>
    <w:next w:val="PolicybulletLevel3"/>
    <w:rsid w:val="00166603"/>
    <w:pPr>
      <w:outlineLvl w:val="2"/>
    </w:pPr>
  </w:style>
  <w:style w:type="paragraph" w:customStyle="1" w:styleId="Tabletext">
    <w:name w:val="Table text"/>
    <w:rsid w:val="00166603"/>
    <w:pPr>
      <w:suppressAutoHyphens/>
      <w:autoSpaceDN w:val="0"/>
      <w:spacing w:after="60"/>
      <w:textAlignment w:val="baseline"/>
    </w:pPr>
    <w:rPr>
      <w:rFonts w:ascii="Arial" w:eastAsia="Times New Roman" w:hAnsi="Arial"/>
      <w:sz w:val="22"/>
      <w:szCs w:val="22"/>
    </w:rPr>
  </w:style>
  <w:style w:type="paragraph" w:customStyle="1" w:styleId="Tablesubhead">
    <w:name w:val="Table sub head"/>
    <w:basedOn w:val="Normal"/>
    <w:rsid w:val="00166603"/>
    <w:pPr>
      <w:keepNext/>
      <w:suppressAutoHyphens/>
      <w:autoSpaceDN w:val="0"/>
      <w:textAlignment w:val="baseline"/>
    </w:pPr>
    <w:rPr>
      <w:rFonts w:eastAsia="Times New Roman"/>
      <w:b/>
      <w:bCs/>
      <w:szCs w:val="20"/>
    </w:rPr>
  </w:style>
  <w:style w:type="paragraph" w:customStyle="1" w:styleId="Tableheader">
    <w:name w:val="Table header"/>
    <w:rsid w:val="00166603"/>
    <w:pPr>
      <w:keepNext/>
      <w:suppressAutoHyphens/>
      <w:autoSpaceDN w:val="0"/>
      <w:jc w:val="center"/>
      <w:textAlignment w:val="baseline"/>
    </w:pPr>
    <w:rPr>
      <w:rFonts w:ascii="Arial" w:eastAsia="Times New Roman" w:hAnsi="Arial"/>
      <w:b/>
      <w:bCs/>
      <w:color w:val="FFFFFF"/>
      <w:sz w:val="22"/>
    </w:rPr>
  </w:style>
  <w:style w:type="character" w:customStyle="1" w:styleId="UnresolvedMention1">
    <w:name w:val="Unresolved Mention1"/>
    <w:basedOn w:val="DefaultParagraphFont"/>
    <w:uiPriority w:val="99"/>
    <w:semiHidden/>
    <w:unhideWhenUsed/>
    <w:rsid w:val="00166603"/>
    <w:rPr>
      <w:color w:val="605E5C"/>
      <w:shd w:val="clear" w:color="auto" w:fill="E1DFDD"/>
    </w:rPr>
  </w:style>
  <w:style w:type="paragraph" w:customStyle="1" w:styleId="Heading">
    <w:name w:val="Heading"/>
    <w:basedOn w:val="Normal"/>
    <w:next w:val="BodyText"/>
    <w:link w:val="HeadingChar"/>
    <w:rsid w:val="00166603"/>
    <w:pPr>
      <w:keepNext/>
      <w:suppressAutoHyphens/>
      <w:spacing w:before="240" w:after="120"/>
    </w:pPr>
    <w:rPr>
      <w:rFonts w:eastAsia="MS Mincho" w:cs="Tahoma"/>
      <w:sz w:val="28"/>
      <w:szCs w:val="28"/>
      <w:lang w:eastAsia="ar-SA"/>
    </w:rPr>
  </w:style>
  <w:style w:type="character" w:customStyle="1" w:styleId="BodyTextChar">
    <w:name w:val="Body Text Char"/>
    <w:basedOn w:val="DefaultParagraphFont"/>
    <w:link w:val="BodyText"/>
    <w:rsid w:val="00166603"/>
    <w:rPr>
      <w:rFonts w:ascii="Arial" w:eastAsiaTheme="minorHAnsi" w:hAnsi="Arial" w:cstheme="minorBidi"/>
      <w:sz w:val="22"/>
      <w:lang w:eastAsia="en-US"/>
    </w:rPr>
  </w:style>
  <w:style w:type="character" w:customStyle="1" w:styleId="FootnoteTextChar">
    <w:name w:val="Footnote Text Char"/>
    <w:basedOn w:val="DefaultParagraphFont"/>
    <w:link w:val="FootnoteText"/>
    <w:rsid w:val="00166603"/>
    <w:rPr>
      <w:rFonts w:ascii="Arial" w:eastAsiaTheme="minorHAnsi" w:hAnsi="Arial" w:cstheme="minorBidi"/>
      <w:lang w:eastAsia="en-US"/>
    </w:rPr>
  </w:style>
  <w:style w:type="character" w:customStyle="1" w:styleId="HeadingChar">
    <w:name w:val="Heading Char"/>
    <w:link w:val="Heading"/>
    <w:rsid w:val="00166603"/>
    <w:rPr>
      <w:rFonts w:ascii="Arial" w:eastAsia="MS Mincho" w:hAnsi="Arial" w:cs="Tahoma"/>
      <w:sz w:val="28"/>
      <w:szCs w:val="28"/>
      <w:lang w:eastAsia="ar-SA"/>
    </w:rPr>
  </w:style>
  <w:style w:type="character" w:styleId="UnresolvedMention">
    <w:name w:val="Unresolved Mention"/>
    <w:basedOn w:val="DefaultParagraphFont"/>
    <w:uiPriority w:val="99"/>
    <w:semiHidden/>
    <w:unhideWhenUsed/>
    <w:rsid w:val="00166603"/>
    <w:rPr>
      <w:color w:val="605E5C"/>
      <w:shd w:val="clear" w:color="auto" w:fill="E1DFDD"/>
    </w:rPr>
  </w:style>
  <w:style w:type="character" w:customStyle="1" w:styleId="CommentTextChar">
    <w:name w:val="Comment Text Char"/>
    <w:basedOn w:val="DefaultParagraphFont"/>
    <w:link w:val="CommentText"/>
    <w:semiHidden/>
    <w:rsid w:val="00166603"/>
    <w:rPr>
      <w:rFonts w:ascii="Arial" w:eastAsiaTheme="minorHAnsi" w:hAnsi="Arial" w:cstheme="minorBidi"/>
      <w:lang w:eastAsia="en-US"/>
    </w:rPr>
  </w:style>
  <w:style w:type="paragraph" w:styleId="NormalWeb">
    <w:name w:val="Normal (Web)"/>
    <w:basedOn w:val="Normal"/>
    <w:uiPriority w:val="99"/>
    <w:semiHidden/>
    <w:unhideWhenUsed/>
    <w:rsid w:val="00166603"/>
    <w:pPr>
      <w:spacing w:before="100" w:beforeAutospacing="1" w:after="100" w:afterAutospacing="1"/>
    </w:pPr>
    <w:rPr>
      <w:rFonts w:ascii="Calibri" w:hAnsi="Calibri" w:cs="Calibri"/>
    </w:rPr>
  </w:style>
  <w:style w:type="table" w:styleId="GridTable1Light">
    <w:name w:val="Grid Table 1 Light"/>
    <w:basedOn w:val="TableNormal"/>
    <w:uiPriority w:val="46"/>
    <w:rsid w:val="001666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166603"/>
    <w:rPr>
      <w:rFonts w:ascii="Arial" w:eastAsia="Times New Roman" w:hAnsi="Arial"/>
    </w:rPr>
    <w:tblPr/>
  </w:style>
  <w:style w:type="character" w:customStyle="1" w:styleId="HeaderChar">
    <w:name w:val="Header Char"/>
    <w:basedOn w:val="DefaultParagraphFont"/>
    <w:link w:val="Header"/>
    <w:rsid w:val="00166603"/>
    <w:rPr>
      <w:rFonts w:ascii="Arial" w:eastAsiaTheme="minorHAnsi" w:hAnsi="Arial" w:cstheme="minorBidi"/>
      <w:sz w:val="24"/>
      <w:szCs w:val="22"/>
      <w:lang w:eastAsia="en-US"/>
    </w:rPr>
  </w:style>
  <w:style w:type="paragraph" w:customStyle="1" w:styleId="Header2">
    <w:name w:val="Header 2"/>
    <w:basedOn w:val="Policyheader"/>
    <w:link w:val="Header2Char"/>
    <w:qFormat/>
    <w:rsid w:val="00166603"/>
    <w:pPr>
      <w:numPr>
        <w:numId w:val="0"/>
      </w:numPr>
      <w:ind w:left="851" w:hanging="851"/>
      <w:outlineLvl w:val="1"/>
    </w:pPr>
  </w:style>
  <w:style w:type="paragraph" w:customStyle="1" w:styleId="Header3">
    <w:name w:val="Header 3"/>
    <w:basedOn w:val="Normal"/>
    <w:link w:val="Header3Char"/>
    <w:qFormat/>
    <w:rsid w:val="00166603"/>
    <w:pPr>
      <w:outlineLvl w:val="2"/>
    </w:pPr>
    <w:rPr>
      <w:rFonts w:eastAsia="Times New Roman"/>
      <w:b/>
    </w:rPr>
  </w:style>
  <w:style w:type="character" w:customStyle="1" w:styleId="Header2Char">
    <w:name w:val="Header 2 Char"/>
    <w:basedOn w:val="PolicyheaderChar"/>
    <w:link w:val="Header2"/>
    <w:rsid w:val="00166603"/>
    <w:rPr>
      <w:rFonts w:ascii="Arial" w:eastAsiaTheme="minorHAnsi" w:hAnsi="Arial" w:cstheme="minorBidi"/>
      <w:b/>
      <w:bCs/>
      <w:noProof/>
      <w:sz w:val="28"/>
      <w:szCs w:val="22"/>
      <w:lang w:eastAsia="en-US"/>
    </w:rPr>
  </w:style>
  <w:style w:type="character" w:customStyle="1" w:styleId="Header3Char">
    <w:name w:val="Header 3 Char"/>
    <w:basedOn w:val="DefaultParagraphFont"/>
    <w:link w:val="Header3"/>
    <w:rsid w:val="00166603"/>
    <w:rPr>
      <w:rFonts w:ascii="Arial" w:eastAsia="Times New Roman" w:hAnsi="Arial" w:cstheme="minorBidi"/>
      <w:b/>
      <w:sz w:val="24"/>
      <w:szCs w:val="22"/>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DC5965"/>
    <w:rPr>
      <w:rFonts w:ascii="Arial" w:eastAsiaTheme="minorHAnsi" w:hAnsi="Arial" w:cstheme="minorBidi"/>
      <w:sz w:val="24"/>
      <w:szCs w:val="22"/>
      <w:lang w:eastAsia="en-US"/>
    </w:rPr>
  </w:style>
  <w:style w:type="table" w:customStyle="1" w:styleId="TableGrid1">
    <w:name w:val="Table Grid1"/>
    <w:basedOn w:val="TableNormal"/>
    <w:next w:val="TableGrid"/>
    <w:uiPriority w:val="39"/>
    <w:rsid w:val="001C121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5F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06651">
      <w:bodyDiv w:val="1"/>
      <w:marLeft w:val="0"/>
      <w:marRight w:val="0"/>
      <w:marTop w:val="0"/>
      <w:marBottom w:val="0"/>
      <w:divBdr>
        <w:top w:val="none" w:sz="0" w:space="0" w:color="auto"/>
        <w:left w:val="none" w:sz="0" w:space="0" w:color="auto"/>
        <w:bottom w:val="none" w:sz="0" w:space="0" w:color="auto"/>
        <w:right w:val="none" w:sz="0" w:space="0" w:color="auto"/>
      </w:divBdr>
    </w:div>
    <w:div w:id="372728657">
      <w:bodyDiv w:val="1"/>
      <w:marLeft w:val="0"/>
      <w:marRight w:val="0"/>
      <w:marTop w:val="0"/>
      <w:marBottom w:val="0"/>
      <w:divBdr>
        <w:top w:val="none" w:sz="0" w:space="0" w:color="auto"/>
        <w:left w:val="none" w:sz="0" w:space="0" w:color="auto"/>
        <w:bottom w:val="none" w:sz="0" w:space="0" w:color="auto"/>
        <w:right w:val="none" w:sz="0" w:space="0" w:color="auto"/>
      </w:divBdr>
    </w:div>
    <w:div w:id="642152764">
      <w:bodyDiv w:val="1"/>
      <w:marLeft w:val="0"/>
      <w:marRight w:val="0"/>
      <w:marTop w:val="0"/>
      <w:marBottom w:val="0"/>
      <w:divBdr>
        <w:top w:val="none" w:sz="0" w:space="0" w:color="auto"/>
        <w:left w:val="none" w:sz="0" w:space="0" w:color="auto"/>
        <w:bottom w:val="none" w:sz="0" w:space="0" w:color="auto"/>
        <w:right w:val="none" w:sz="0" w:space="0" w:color="auto"/>
      </w:divBdr>
    </w:div>
    <w:div w:id="857817544">
      <w:bodyDiv w:val="1"/>
      <w:marLeft w:val="0"/>
      <w:marRight w:val="0"/>
      <w:marTop w:val="0"/>
      <w:marBottom w:val="0"/>
      <w:divBdr>
        <w:top w:val="none" w:sz="0" w:space="0" w:color="auto"/>
        <w:left w:val="none" w:sz="0" w:space="0" w:color="auto"/>
        <w:bottom w:val="none" w:sz="0" w:space="0" w:color="auto"/>
        <w:right w:val="none" w:sz="0" w:space="0" w:color="auto"/>
      </w:divBdr>
    </w:div>
    <w:div w:id="1015888466">
      <w:bodyDiv w:val="1"/>
      <w:marLeft w:val="0"/>
      <w:marRight w:val="0"/>
      <w:marTop w:val="0"/>
      <w:marBottom w:val="0"/>
      <w:divBdr>
        <w:top w:val="none" w:sz="0" w:space="0" w:color="auto"/>
        <w:left w:val="none" w:sz="0" w:space="0" w:color="auto"/>
        <w:bottom w:val="none" w:sz="0" w:space="0" w:color="auto"/>
        <w:right w:val="none" w:sz="0" w:space="0" w:color="auto"/>
      </w:divBdr>
    </w:div>
    <w:div w:id="1019309047">
      <w:bodyDiv w:val="1"/>
      <w:marLeft w:val="0"/>
      <w:marRight w:val="0"/>
      <w:marTop w:val="0"/>
      <w:marBottom w:val="0"/>
      <w:divBdr>
        <w:top w:val="none" w:sz="0" w:space="0" w:color="auto"/>
        <w:left w:val="none" w:sz="0" w:space="0" w:color="auto"/>
        <w:bottom w:val="none" w:sz="0" w:space="0" w:color="auto"/>
        <w:right w:val="none" w:sz="0" w:space="0" w:color="auto"/>
      </w:divBdr>
    </w:div>
    <w:div w:id="1052193499">
      <w:bodyDiv w:val="1"/>
      <w:marLeft w:val="0"/>
      <w:marRight w:val="0"/>
      <w:marTop w:val="0"/>
      <w:marBottom w:val="0"/>
      <w:divBdr>
        <w:top w:val="none" w:sz="0" w:space="0" w:color="auto"/>
        <w:left w:val="none" w:sz="0" w:space="0" w:color="auto"/>
        <w:bottom w:val="none" w:sz="0" w:space="0" w:color="auto"/>
        <w:right w:val="none" w:sz="0" w:space="0" w:color="auto"/>
      </w:divBdr>
    </w:div>
    <w:div w:id="1280917875">
      <w:bodyDiv w:val="1"/>
      <w:marLeft w:val="0"/>
      <w:marRight w:val="0"/>
      <w:marTop w:val="0"/>
      <w:marBottom w:val="0"/>
      <w:divBdr>
        <w:top w:val="none" w:sz="0" w:space="0" w:color="auto"/>
        <w:left w:val="none" w:sz="0" w:space="0" w:color="auto"/>
        <w:bottom w:val="none" w:sz="0" w:space="0" w:color="auto"/>
        <w:right w:val="none" w:sz="0" w:space="0" w:color="auto"/>
      </w:divBdr>
    </w:div>
    <w:div w:id="1529559996">
      <w:bodyDiv w:val="1"/>
      <w:marLeft w:val="0"/>
      <w:marRight w:val="0"/>
      <w:marTop w:val="0"/>
      <w:marBottom w:val="0"/>
      <w:divBdr>
        <w:top w:val="none" w:sz="0" w:space="0" w:color="auto"/>
        <w:left w:val="none" w:sz="0" w:space="0" w:color="auto"/>
        <w:bottom w:val="none" w:sz="0" w:space="0" w:color="auto"/>
        <w:right w:val="none" w:sz="0" w:space="0" w:color="auto"/>
      </w:divBdr>
      <w:divsChild>
        <w:div w:id="94910737">
          <w:marLeft w:val="0"/>
          <w:marRight w:val="0"/>
          <w:marTop w:val="0"/>
          <w:marBottom w:val="0"/>
          <w:divBdr>
            <w:top w:val="none" w:sz="0" w:space="0" w:color="auto"/>
            <w:left w:val="none" w:sz="0" w:space="0" w:color="auto"/>
            <w:bottom w:val="none" w:sz="0" w:space="0" w:color="auto"/>
            <w:right w:val="none" w:sz="0" w:space="0" w:color="auto"/>
          </w:divBdr>
          <w:divsChild>
            <w:div w:id="1917519542">
              <w:marLeft w:val="0"/>
              <w:marRight w:val="0"/>
              <w:marTop w:val="0"/>
              <w:marBottom w:val="0"/>
              <w:divBdr>
                <w:top w:val="none" w:sz="0" w:space="0" w:color="auto"/>
                <w:left w:val="none" w:sz="0" w:space="0" w:color="auto"/>
                <w:bottom w:val="none" w:sz="0" w:space="0" w:color="auto"/>
                <w:right w:val="none" w:sz="0" w:space="0" w:color="auto"/>
              </w:divBdr>
              <w:divsChild>
                <w:div w:id="454835664">
                  <w:marLeft w:val="0"/>
                  <w:marRight w:val="0"/>
                  <w:marTop w:val="0"/>
                  <w:marBottom w:val="0"/>
                  <w:divBdr>
                    <w:top w:val="none" w:sz="0" w:space="0" w:color="auto"/>
                    <w:left w:val="none" w:sz="0" w:space="0" w:color="auto"/>
                    <w:bottom w:val="none" w:sz="0" w:space="0" w:color="auto"/>
                    <w:right w:val="none" w:sz="0" w:space="0" w:color="auto"/>
                  </w:divBdr>
                  <w:divsChild>
                    <w:div w:id="1041053387">
                      <w:marLeft w:val="0"/>
                      <w:marRight w:val="0"/>
                      <w:marTop w:val="0"/>
                      <w:marBottom w:val="0"/>
                      <w:divBdr>
                        <w:top w:val="none" w:sz="0" w:space="0" w:color="auto"/>
                        <w:left w:val="none" w:sz="0" w:space="0" w:color="auto"/>
                        <w:bottom w:val="none" w:sz="0" w:space="0" w:color="auto"/>
                        <w:right w:val="none" w:sz="0" w:space="0" w:color="auto"/>
                      </w:divBdr>
                      <w:divsChild>
                        <w:div w:id="455220898">
                          <w:marLeft w:val="355"/>
                          <w:marRight w:val="691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3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khuft.psirf@nhs.net" TargetMode="External"/><Relationship Id="rId18" Type="http://schemas.openxmlformats.org/officeDocument/2006/relationships/hyperlink" Target="https://www.england.nhs.uk/wp-content/uploads/2022/08/B1465-Safety-action-development-v1.1.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ekhuft.nhs.uk/about-us/foi/" TargetMode="External"/><Relationship Id="rId17" Type="http://schemas.openxmlformats.org/officeDocument/2006/relationships/hyperlink" Target="https://www.england.nhs.uk/patient-safety/patient-safety-insight/incident-response-framewor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e.nhs.uk/sites/default/files/documents/NHS%20Patient%20Safety%20Syllabu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qc.org.uk/guidance-providers/all-services/duty-candour-notifiable-safety-incidents" TargetMode="Externa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mailto:ekh-tr.pals@nhs.net" TargetMode="External"/><Relationship Id="rId23" Type="http://schemas.openxmlformats.org/officeDocument/2006/relationships/image" Target="media/image4.png"/><Relationship Id="rId10" Type="http://schemas.openxmlformats.org/officeDocument/2006/relationships/hyperlink" Target="mailto:ekhuft.psirf@nhs.net"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ekhuft.nhs.uk/contact-us/giving-feedback/pals/making-a-complaint/"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2A14F-0342-4460-8D39-134A16335897}">
  <ds:schemaRefs>
    <ds:schemaRef ds:uri="http://schemas.microsoft.com/office/2006/metadata/longProperties"/>
  </ds:schemaRefs>
</ds:datastoreItem>
</file>

<file path=customXml/itemProps2.xml><?xml version="1.0" encoding="utf-8"?>
<ds:datastoreItem xmlns:ds="http://schemas.openxmlformats.org/officeDocument/2006/customXml" ds:itemID="{44A69CC3-B6EE-4B79-B9C4-7989C166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7992</Words>
  <Characters>45556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East Kent Hospitals Complaints Management Policy</vt:lpstr>
    </vt:vector>
  </TitlesOfParts>
  <Manager/>
  <Company/>
  <LinksUpToDate>false</LinksUpToDate>
  <CharactersWithSpaces>53442</CharactersWithSpaces>
  <SharedDoc>false</SharedDoc>
  <HLinks>
    <vt:vector size="96" baseType="variant">
      <vt:variant>
        <vt:i4>2359310</vt:i4>
      </vt:variant>
      <vt:variant>
        <vt:i4>92</vt:i4>
      </vt:variant>
      <vt:variant>
        <vt:i4>0</vt:i4>
      </vt:variant>
      <vt:variant>
        <vt:i4>5</vt:i4>
      </vt:variant>
      <vt:variant>
        <vt:lpwstr/>
      </vt:variant>
      <vt:variant>
        <vt:lpwstr>_Toc6490175</vt:lpwstr>
      </vt:variant>
      <vt:variant>
        <vt:i4>2359310</vt:i4>
      </vt:variant>
      <vt:variant>
        <vt:i4>86</vt:i4>
      </vt:variant>
      <vt:variant>
        <vt:i4>0</vt:i4>
      </vt:variant>
      <vt:variant>
        <vt:i4>5</vt:i4>
      </vt:variant>
      <vt:variant>
        <vt:lpwstr/>
      </vt:variant>
      <vt:variant>
        <vt:lpwstr>_Toc6490174</vt:lpwstr>
      </vt:variant>
      <vt:variant>
        <vt:i4>2359310</vt:i4>
      </vt:variant>
      <vt:variant>
        <vt:i4>80</vt:i4>
      </vt:variant>
      <vt:variant>
        <vt:i4>0</vt:i4>
      </vt:variant>
      <vt:variant>
        <vt:i4>5</vt:i4>
      </vt:variant>
      <vt:variant>
        <vt:lpwstr/>
      </vt:variant>
      <vt:variant>
        <vt:lpwstr>_Toc6490173</vt:lpwstr>
      </vt:variant>
      <vt:variant>
        <vt:i4>2359310</vt:i4>
      </vt:variant>
      <vt:variant>
        <vt:i4>74</vt:i4>
      </vt:variant>
      <vt:variant>
        <vt:i4>0</vt:i4>
      </vt:variant>
      <vt:variant>
        <vt:i4>5</vt:i4>
      </vt:variant>
      <vt:variant>
        <vt:lpwstr/>
      </vt:variant>
      <vt:variant>
        <vt:lpwstr>_Toc6490172</vt:lpwstr>
      </vt:variant>
      <vt:variant>
        <vt:i4>2359310</vt:i4>
      </vt:variant>
      <vt:variant>
        <vt:i4>68</vt:i4>
      </vt:variant>
      <vt:variant>
        <vt:i4>0</vt:i4>
      </vt:variant>
      <vt:variant>
        <vt:i4>5</vt:i4>
      </vt:variant>
      <vt:variant>
        <vt:lpwstr/>
      </vt:variant>
      <vt:variant>
        <vt:lpwstr>_Toc6490171</vt:lpwstr>
      </vt:variant>
      <vt:variant>
        <vt:i4>2359310</vt:i4>
      </vt:variant>
      <vt:variant>
        <vt:i4>62</vt:i4>
      </vt:variant>
      <vt:variant>
        <vt:i4>0</vt:i4>
      </vt:variant>
      <vt:variant>
        <vt:i4>5</vt:i4>
      </vt:variant>
      <vt:variant>
        <vt:lpwstr/>
      </vt:variant>
      <vt:variant>
        <vt:lpwstr>_Toc6490170</vt:lpwstr>
      </vt:variant>
      <vt:variant>
        <vt:i4>2424846</vt:i4>
      </vt:variant>
      <vt:variant>
        <vt:i4>56</vt:i4>
      </vt:variant>
      <vt:variant>
        <vt:i4>0</vt:i4>
      </vt:variant>
      <vt:variant>
        <vt:i4>5</vt:i4>
      </vt:variant>
      <vt:variant>
        <vt:lpwstr/>
      </vt:variant>
      <vt:variant>
        <vt:lpwstr>_Toc6490169</vt:lpwstr>
      </vt:variant>
      <vt:variant>
        <vt:i4>2424846</vt:i4>
      </vt:variant>
      <vt:variant>
        <vt:i4>50</vt:i4>
      </vt:variant>
      <vt:variant>
        <vt:i4>0</vt:i4>
      </vt:variant>
      <vt:variant>
        <vt:i4>5</vt:i4>
      </vt:variant>
      <vt:variant>
        <vt:lpwstr/>
      </vt:variant>
      <vt:variant>
        <vt:lpwstr>_Toc6490168</vt:lpwstr>
      </vt:variant>
      <vt:variant>
        <vt:i4>2424846</vt:i4>
      </vt:variant>
      <vt:variant>
        <vt:i4>44</vt:i4>
      </vt:variant>
      <vt:variant>
        <vt:i4>0</vt:i4>
      </vt:variant>
      <vt:variant>
        <vt:i4>5</vt:i4>
      </vt:variant>
      <vt:variant>
        <vt:lpwstr/>
      </vt:variant>
      <vt:variant>
        <vt:lpwstr>_Toc6490167</vt:lpwstr>
      </vt:variant>
      <vt:variant>
        <vt:i4>2424846</vt:i4>
      </vt:variant>
      <vt:variant>
        <vt:i4>38</vt:i4>
      </vt:variant>
      <vt:variant>
        <vt:i4>0</vt:i4>
      </vt:variant>
      <vt:variant>
        <vt:i4>5</vt:i4>
      </vt:variant>
      <vt:variant>
        <vt:lpwstr/>
      </vt:variant>
      <vt:variant>
        <vt:lpwstr>_Toc6490166</vt:lpwstr>
      </vt:variant>
      <vt:variant>
        <vt:i4>2424846</vt:i4>
      </vt:variant>
      <vt:variant>
        <vt:i4>32</vt:i4>
      </vt:variant>
      <vt:variant>
        <vt:i4>0</vt:i4>
      </vt:variant>
      <vt:variant>
        <vt:i4>5</vt:i4>
      </vt:variant>
      <vt:variant>
        <vt:lpwstr/>
      </vt:variant>
      <vt:variant>
        <vt:lpwstr>_Toc6490165</vt:lpwstr>
      </vt:variant>
      <vt:variant>
        <vt:i4>2424846</vt:i4>
      </vt:variant>
      <vt:variant>
        <vt:i4>26</vt:i4>
      </vt:variant>
      <vt:variant>
        <vt:i4>0</vt:i4>
      </vt:variant>
      <vt:variant>
        <vt:i4>5</vt:i4>
      </vt:variant>
      <vt:variant>
        <vt:lpwstr/>
      </vt:variant>
      <vt:variant>
        <vt:lpwstr>_Toc6490164</vt:lpwstr>
      </vt:variant>
      <vt:variant>
        <vt:i4>2424846</vt:i4>
      </vt:variant>
      <vt:variant>
        <vt:i4>20</vt:i4>
      </vt:variant>
      <vt:variant>
        <vt:i4>0</vt:i4>
      </vt:variant>
      <vt:variant>
        <vt:i4>5</vt:i4>
      </vt:variant>
      <vt:variant>
        <vt:lpwstr/>
      </vt:variant>
      <vt:variant>
        <vt:lpwstr>_Toc6490163</vt:lpwstr>
      </vt:variant>
      <vt:variant>
        <vt:i4>2424846</vt:i4>
      </vt:variant>
      <vt:variant>
        <vt:i4>14</vt:i4>
      </vt:variant>
      <vt:variant>
        <vt:i4>0</vt:i4>
      </vt:variant>
      <vt:variant>
        <vt:i4>5</vt:i4>
      </vt:variant>
      <vt:variant>
        <vt:lpwstr/>
      </vt:variant>
      <vt:variant>
        <vt:lpwstr>_Toc6490160</vt:lpwstr>
      </vt:variant>
      <vt:variant>
        <vt:i4>2490382</vt:i4>
      </vt:variant>
      <vt:variant>
        <vt:i4>8</vt:i4>
      </vt:variant>
      <vt:variant>
        <vt:i4>0</vt:i4>
      </vt:variant>
      <vt:variant>
        <vt:i4>5</vt:i4>
      </vt:variant>
      <vt:variant>
        <vt:lpwstr/>
      </vt:variant>
      <vt:variant>
        <vt:lpwstr>_Toc6490159</vt:lpwstr>
      </vt:variant>
      <vt:variant>
        <vt:i4>2490382</vt:i4>
      </vt:variant>
      <vt:variant>
        <vt:i4>2</vt:i4>
      </vt:variant>
      <vt:variant>
        <vt:i4>0</vt:i4>
      </vt:variant>
      <vt:variant>
        <vt:i4>5</vt:i4>
      </vt:variant>
      <vt:variant>
        <vt:lpwstr/>
      </vt:variant>
      <vt:variant>
        <vt:lpwstr>_Toc6490158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Kent Hospitals Complaints Management Policy</dc:title>
  <dc:subject>1.1.	This document sets out the policy for managing complaints at East Kent Hospitals University NHS Foundation Trust (the Trust) and applies to all staff, volunteers, students, contractors, locums and those on honorary contracts.</dc:subject>
  <dc:creator/>
  <cp:keywords/>
  <cp:lastModifiedBy/>
  <cp:revision>1</cp:revision>
  <dcterms:created xsi:type="dcterms:W3CDTF">2024-10-07T10:27:00Z</dcterms:created>
  <dcterms:modified xsi:type="dcterms:W3CDTF">2024-10-07T10:27:00Z</dcterms:modified>
</cp:coreProperties>
</file>