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F2CC" w14:textId="77777777" w:rsidR="0071366A" w:rsidRDefault="009F6143" w:rsidP="003509EB">
      <w:pPr>
        <w:spacing w:before="200" w:after="200"/>
        <w:jc w:val="right"/>
        <w:rPr>
          <w:rFonts w:cs="Arial"/>
          <w:sz w:val="40"/>
          <w:szCs w:val="40"/>
        </w:rPr>
      </w:pPr>
      <w:r>
        <w:rPr>
          <w:noProof/>
        </w:rPr>
        <w:drawing>
          <wp:inline distT="0" distB="0" distL="0" distR="0" wp14:anchorId="3275E6CC" wp14:editId="5086D99E">
            <wp:extent cx="2220595" cy="1004570"/>
            <wp:effectExtent l="0" t="0" r="8255" b="5080"/>
            <wp:docPr id="116" name="Picture 3"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0595" cy="1004570"/>
                    </a:xfrm>
                    <a:prstGeom prst="rect">
                      <a:avLst/>
                    </a:prstGeom>
                    <a:noFill/>
                    <a:ln>
                      <a:noFill/>
                    </a:ln>
                  </pic:spPr>
                </pic:pic>
              </a:graphicData>
            </a:graphic>
          </wp:inline>
        </w:drawing>
      </w:r>
    </w:p>
    <w:p w14:paraId="17F96FBA" w14:textId="77777777" w:rsidR="0071366A" w:rsidRDefault="0071366A" w:rsidP="00D85ED8">
      <w:pPr>
        <w:spacing w:before="200" w:after="200"/>
        <w:jc w:val="center"/>
        <w:rPr>
          <w:rFonts w:cs="Arial"/>
          <w:sz w:val="40"/>
          <w:szCs w:val="40"/>
        </w:rPr>
      </w:pPr>
    </w:p>
    <w:p w14:paraId="573FF076" w14:textId="77777777" w:rsidR="008970DA" w:rsidRDefault="0022378C" w:rsidP="00D85ED8">
      <w:pPr>
        <w:spacing w:before="200" w:after="200"/>
        <w:jc w:val="center"/>
        <w:rPr>
          <w:rFonts w:cs="Arial"/>
          <w:sz w:val="40"/>
          <w:szCs w:val="40"/>
        </w:rPr>
      </w:pPr>
      <w:bookmarkStart w:id="0" w:name="_GoBack"/>
      <w:bookmarkEnd w:id="0"/>
      <w:r>
        <w:rPr>
          <w:rFonts w:cs="Arial"/>
          <w:sz w:val="40"/>
          <w:szCs w:val="40"/>
        </w:rPr>
        <w:t>East Kent Hospitals University</w:t>
      </w:r>
    </w:p>
    <w:p w14:paraId="4AF8BA0E" w14:textId="77777777" w:rsidR="0022378C" w:rsidRDefault="0022378C" w:rsidP="00D85ED8">
      <w:pPr>
        <w:spacing w:before="200" w:after="200"/>
        <w:jc w:val="center"/>
        <w:rPr>
          <w:rFonts w:cs="Arial"/>
          <w:sz w:val="40"/>
          <w:szCs w:val="40"/>
        </w:rPr>
      </w:pPr>
      <w:r>
        <w:rPr>
          <w:rFonts w:cs="Arial"/>
          <w:sz w:val="40"/>
          <w:szCs w:val="40"/>
        </w:rPr>
        <w:t>NHS</w:t>
      </w:r>
      <w:r w:rsidR="008970DA">
        <w:rPr>
          <w:rFonts w:cs="Arial"/>
          <w:sz w:val="40"/>
          <w:szCs w:val="40"/>
        </w:rPr>
        <w:t xml:space="preserve"> </w:t>
      </w:r>
      <w:r>
        <w:rPr>
          <w:rFonts w:cs="Arial"/>
          <w:sz w:val="40"/>
          <w:szCs w:val="40"/>
        </w:rPr>
        <w:t>Foundation Trust</w:t>
      </w:r>
    </w:p>
    <w:p w14:paraId="6C79A604" w14:textId="77777777" w:rsidR="00634FF6" w:rsidRPr="00342DD1" w:rsidRDefault="00EE4F24" w:rsidP="00634FF6">
      <w:pPr>
        <w:spacing w:before="200" w:after="200"/>
        <w:jc w:val="center"/>
        <w:rPr>
          <w:rFonts w:cs="Arial"/>
          <w:b/>
          <w:szCs w:val="22"/>
        </w:rPr>
      </w:pPr>
      <w:r>
        <w:rPr>
          <w:rFonts w:cs="Arial"/>
          <w:b/>
          <w:sz w:val="28"/>
          <w:szCs w:val="22"/>
        </w:rPr>
        <w:t xml:space="preserve">TRUST </w:t>
      </w:r>
      <w:r w:rsidR="001C60EF" w:rsidRPr="0045239B">
        <w:rPr>
          <w:rFonts w:cs="Arial"/>
          <w:b/>
          <w:sz w:val="28"/>
          <w:szCs w:val="22"/>
        </w:rPr>
        <w:t>POLICY</w:t>
      </w:r>
    </w:p>
    <w:p w14:paraId="11E2E2CA" w14:textId="77777777" w:rsidR="00EE4F24" w:rsidRDefault="00EE4F24" w:rsidP="00FB769F">
      <w:pPr>
        <w:pStyle w:val="Title"/>
        <w:rPr>
          <w:sz w:val="32"/>
        </w:rPr>
      </w:pPr>
      <w:bookmarkStart w:id="1" w:name="_Toc404173602"/>
    </w:p>
    <w:bookmarkEnd w:id="1"/>
    <w:p w14:paraId="48231242" w14:textId="77777777" w:rsidR="0022378C" w:rsidRDefault="006235E5" w:rsidP="006235E5">
      <w:pPr>
        <w:ind w:left="2286" w:right="2453"/>
        <w:jc w:val="center"/>
        <w:rPr>
          <w:b/>
          <w:sz w:val="32"/>
        </w:rPr>
      </w:pPr>
      <w:r>
        <w:rPr>
          <w:b/>
          <w:sz w:val="32"/>
        </w:rPr>
        <w:t>Staff Residential</w:t>
      </w:r>
      <w:r w:rsidR="00B603CC">
        <w:rPr>
          <w:b/>
          <w:sz w:val="32"/>
        </w:rPr>
        <w:t xml:space="preserve"> </w:t>
      </w:r>
      <w:r>
        <w:rPr>
          <w:b/>
          <w:sz w:val="32"/>
        </w:rPr>
        <w:t>Accommodation</w:t>
      </w:r>
      <w:r>
        <w:rPr>
          <w:b/>
          <w:spacing w:val="-4"/>
          <w:sz w:val="32"/>
        </w:rPr>
        <w:t xml:space="preserve"> </w:t>
      </w:r>
      <w:r>
        <w:rPr>
          <w:b/>
          <w:sz w:val="32"/>
        </w:rPr>
        <w:t>Policy</w:t>
      </w:r>
    </w:p>
    <w:p w14:paraId="048054A2" w14:textId="77777777" w:rsidR="006235E5" w:rsidRDefault="006235E5" w:rsidP="006235E5">
      <w:pPr>
        <w:ind w:left="2286" w:right="2453"/>
        <w:jc w:val="center"/>
        <w:rPr>
          <w:rFonts w:cs="Arial"/>
          <w:szCs w:val="22"/>
        </w:rPr>
      </w:pPr>
    </w:p>
    <w:p w14:paraId="4A3B787C" w14:textId="77777777" w:rsidR="006235E5" w:rsidRDefault="006235E5" w:rsidP="006235E5">
      <w:pPr>
        <w:ind w:left="2286" w:right="2453"/>
        <w:jc w:val="center"/>
        <w:rPr>
          <w:rFonts w:cs="Arial"/>
          <w:szCs w:val="22"/>
        </w:rPr>
      </w:pPr>
    </w:p>
    <w:tbl>
      <w:tblPr>
        <w:tblStyle w:val="TableGrid1"/>
        <w:tblW w:w="9639" w:type="dxa"/>
        <w:tblLayout w:type="fixed"/>
        <w:tblLook w:val="01E0" w:firstRow="1" w:lastRow="1" w:firstColumn="1" w:lastColumn="1" w:noHBand="0" w:noVBand="0"/>
      </w:tblPr>
      <w:tblGrid>
        <w:gridCol w:w="5387"/>
        <w:gridCol w:w="4252"/>
      </w:tblGrid>
      <w:tr w:rsidR="0022378C" w:rsidRPr="00F54910" w14:paraId="5203E36D" w14:textId="77777777" w:rsidTr="003509EB">
        <w:tc>
          <w:tcPr>
            <w:tcW w:w="5387" w:type="dxa"/>
          </w:tcPr>
          <w:p w14:paraId="6689F846" w14:textId="77777777" w:rsidR="0022378C" w:rsidRPr="00F54910" w:rsidRDefault="0022378C" w:rsidP="00F73D72">
            <w:pPr>
              <w:spacing w:before="80" w:after="80"/>
              <w:rPr>
                <w:rFonts w:cs="Arial"/>
                <w:b/>
              </w:rPr>
            </w:pPr>
            <w:r w:rsidRPr="00F54910">
              <w:rPr>
                <w:rFonts w:cs="Arial"/>
                <w:b/>
              </w:rPr>
              <w:t>Version:</w:t>
            </w:r>
          </w:p>
        </w:tc>
        <w:tc>
          <w:tcPr>
            <w:tcW w:w="4252" w:type="dxa"/>
          </w:tcPr>
          <w:p w14:paraId="56067D5B" w14:textId="77777777" w:rsidR="0022378C" w:rsidRPr="00F54910" w:rsidRDefault="00B603CC" w:rsidP="00F73D72">
            <w:pPr>
              <w:spacing w:before="80" w:after="80"/>
              <w:rPr>
                <w:rFonts w:cs="Arial"/>
              </w:rPr>
            </w:pPr>
            <w:r>
              <w:rPr>
                <w:rFonts w:cs="Arial"/>
              </w:rPr>
              <w:t>4</w:t>
            </w:r>
            <w:r w:rsidR="00D05C0E">
              <w:rPr>
                <w:rFonts w:cs="Arial"/>
              </w:rPr>
              <w:t xml:space="preserve">.0 </w:t>
            </w:r>
          </w:p>
        </w:tc>
      </w:tr>
      <w:tr w:rsidR="0022378C" w:rsidRPr="00F54910" w14:paraId="53981266" w14:textId="77777777" w:rsidTr="003509EB">
        <w:tc>
          <w:tcPr>
            <w:tcW w:w="5387" w:type="dxa"/>
          </w:tcPr>
          <w:p w14:paraId="7A389E7E" w14:textId="77777777" w:rsidR="0022378C" w:rsidRPr="00F54910" w:rsidRDefault="00ED535B" w:rsidP="00ED535B">
            <w:pPr>
              <w:spacing w:before="80" w:after="80"/>
              <w:rPr>
                <w:rFonts w:cs="Arial"/>
                <w:b/>
              </w:rPr>
            </w:pPr>
            <w:r w:rsidRPr="00F54910">
              <w:rPr>
                <w:rFonts w:cs="Arial"/>
                <w:b/>
              </w:rPr>
              <w:t>A</w:t>
            </w:r>
            <w:r w:rsidR="0022378C" w:rsidRPr="00F54910">
              <w:rPr>
                <w:rFonts w:cs="Arial"/>
                <w:b/>
              </w:rPr>
              <w:t>uthor</w:t>
            </w:r>
            <w:r w:rsidR="00EE4F24">
              <w:rPr>
                <w:rFonts w:cs="Arial"/>
                <w:b/>
              </w:rPr>
              <w:t xml:space="preserve"> </w:t>
            </w:r>
            <w:r w:rsidR="00156B36" w:rsidRPr="00156B36">
              <w:rPr>
                <w:rFonts w:cs="Arial"/>
              </w:rPr>
              <w:t>(T</w:t>
            </w:r>
            <w:r w:rsidR="00EE4F24" w:rsidRPr="00156B36">
              <w:rPr>
                <w:rFonts w:cs="Arial"/>
              </w:rPr>
              <w:t>itle</w:t>
            </w:r>
            <w:r w:rsidR="00156B36" w:rsidRPr="00156B36">
              <w:rPr>
                <w:rFonts w:cs="Arial"/>
              </w:rPr>
              <w:t xml:space="preserve"> and Care Group)</w:t>
            </w:r>
            <w:r w:rsidR="0022378C" w:rsidRPr="00156B36">
              <w:rPr>
                <w:rFonts w:cs="Arial"/>
              </w:rPr>
              <w:t>:</w:t>
            </w:r>
          </w:p>
        </w:tc>
        <w:tc>
          <w:tcPr>
            <w:tcW w:w="4252" w:type="dxa"/>
          </w:tcPr>
          <w:p w14:paraId="69253611" w14:textId="77777777" w:rsidR="0022378C" w:rsidRPr="00F54910" w:rsidRDefault="00B603CC" w:rsidP="00F73D72">
            <w:pPr>
              <w:spacing w:before="80" w:after="80"/>
              <w:rPr>
                <w:rFonts w:cs="Arial"/>
              </w:rPr>
            </w:pPr>
            <w:r>
              <w:rPr>
                <w:rFonts w:cs="Arial"/>
              </w:rPr>
              <w:t>Intelligent Client</w:t>
            </w:r>
          </w:p>
        </w:tc>
      </w:tr>
      <w:tr w:rsidR="00ED535B" w:rsidRPr="00F54910" w14:paraId="33D0969C" w14:textId="77777777" w:rsidTr="003509EB">
        <w:tc>
          <w:tcPr>
            <w:tcW w:w="5387" w:type="dxa"/>
          </w:tcPr>
          <w:p w14:paraId="0C06C64C" w14:textId="77777777" w:rsidR="00ED535B" w:rsidRPr="00F54910" w:rsidRDefault="00ED535B" w:rsidP="00F54910">
            <w:pPr>
              <w:spacing w:before="80" w:after="80"/>
              <w:rPr>
                <w:rFonts w:cs="Arial"/>
                <w:b/>
              </w:rPr>
            </w:pPr>
            <w:r w:rsidRPr="00F54910">
              <w:rPr>
                <w:rFonts w:cs="Arial"/>
                <w:b/>
              </w:rPr>
              <w:t>Approving committee:</w:t>
            </w:r>
          </w:p>
        </w:tc>
        <w:tc>
          <w:tcPr>
            <w:tcW w:w="4252" w:type="dxa"/>
          </w:tcPr>
          <w:p w14:paraId="7AF21305" w14:textId="77777777" w:rsidR="00ED535B" w:rsidRPr="00F54910" w:rsidRDefault="00B603CC" w:rsidP="00F54910">
            <w:pPr>
              <w:spacing w:before="80" w:after="80"/>
              <w:rPr>
                <w:rFonts w:cs="Arial"/>
              </w:rPr>
            </w:pPr>
            <w:r>
              <w:rPr>
                <w:rFonts w:cs="Arial"/>
              </w:rPr>
              <w:t>Accommodation Steering Group</w:t>
            </w:r>
          </w:p>
        </w:tc>
      </w:tr>
      <w:tr w:rsidR="00ED535B" w:rsidRPr="00F54910" w14:paraId="6E92CA4A" w14:textId="77777777" w:rsidTr="003509EB">
        <w:tc>
          <w:tcPr>
            <w:tcW w:w="5387" w:type="dxa"/>
          </w:tcPr>
          <w:p w14:paraId="642EB8CF" w14:textId="77777777" w:rsidR="00ED535B" w:rsidRPr="00F54910" w:rsidRDefault="00ED535B" w:rsidP="00F54910">
            <w:pPr>
              <w:spacing w:before="80" w:after="80"/>
              <w:rPr>
                <w:rFonts w:cs="Arial"/>
                <w:b/>
              </w:rPr>
            </w:pPr>
            <w:r w:rsidRPr="00F54910">
              <w:rPr>
                <w:rFonts w:cs="Arial"/>
                <w:b/>
              </w:rPr>
              <w:t>Date approved:</w:t>
            </w:r>
          </w:p>
        </w:tc>
        <w:tc>
          <w:tcPr>
            <w:tcW w:w="4252" w:type="dxa"/>
          </w:tcPr>
          <w:p w14:paraId="6F74CABE" w14:textId="77777777" w:rsidR="00ED535B" w:rsidRPr="00F54910" w:rsidRDefault="0037458D" w:rsidP="00F54910">
            <w:pPr>
              <w:spacing w:before="80" w:after="80"/>
              <w:rPr>
                <w:rFonts w:cs="Arial"/>
              </w:rPr>
            </w:pPr>
            <w:r>
              <w:rPr>
                <w:rFonts w:cs="Arial"/>
              </w:rPr>
              <w:t>13 July</w:t>
            </w:r>
            <w:r w:rsidR="00A30F16">
              <w:rPr>
                <w:rFonts w:cs="Arial"/>
              </w:rPr>
              <w:t xml:space="preserve"> 2022</w:t>
            </w:r>
          </w:p>
        </w:tc>
      </w:tr>
      <w:tr w:rsidR="00ED535B" w:rsidRPr="00F54910" w14:paraId="28094FAC" w14:textId="77777777" w:rsidTr="003509EB">
        <w:tc>
          <w:tcPr>
            <w:tcW w:w="5387" w:type="dxa"/>
          </w:tcPr>
          <w:p w14:paraId="10676F0C" w14:textId="77777777" w:rsidR="00ED535B" w:rsidRPr="00F54910" w:rsidRDefault="00ED535B" w:rsidP="009874A4">
            <w:pPr>
              <w:spacing w:before="80" w:after="80"/>
              <w:rPr>
                <w:rFonts w:cs="Arial"/>
                <w:b/>
              </w:rPr>
            </w:pPr>
            <w:r w:rsidRPr="00F54910">
              <w:rPr>
                <w:rFonts w:cs="Arial"/>
                <w:b/>
              </w:rPr>
              <w:t xml:space="preserve">Date ratified by Policy </w:t>
            </w:r>
            <w:r w:rsidR="009874A4">
              <w:rPr>
                <w:rFonts w:cs="Arial"/>
                <w:b/>
              </w:rPr>
              <w:t>Authorisation</w:t>
            </w:r>
            <w:r w:rsidRPr="00F54910">
              <w:rPr>
                <w:rFonts w:cs="Arial"/>
                <w:b/>
              </w:rPr>
              <w:t xml:space="preserve"> Group</w:t>
            </w:r>
            <w:r w:rsidR="001C60EF">
              <w:rPr>
                <w:rFonts w:cs="Arial"/>
                <w:b/>
              </w:rPr>
              <w:t>:</w:t>
            </w:r>
          </w:p>
        </w:tc>
        <w:tc>
          <w:tcPr>
            <w:tcW w:w="4252" w:type="dxa"/>
          </w:tcPr>
          <w:p w14:paraId="6B1BE411" w14:textId="77777777" w:rsidR="00ED535B" w:rsidRPr="00F54910" w:rsidRDefault="0037458D" w:rsidP="00F73D72">
            <w:pPr>
              <w:spacing w:before="80" w:after="80"/>
              <w:rPr>
                <w:rFonts w:cs="Arial"/>
              </w:rPr>
            </w:pPr>
            <w:r>
              <w:rPr>
                <w:rFonts w:cs="Arial"/>
              </w:rPr>
              <w:t>20 July 2022</w:t>
            </w:r>
          </w:p>
        </w:tc>
      </w:tr>
      <w:tr w:rsidR="0022378C" w:rsidRPr="00F54910" w14:paraId="0E210848" w14:textId="77777777" w:rsidTr="003509EB">
        <w:tc>
          <w:tcPr>
            <w:tcW w:w="5387" w:type="dxa"/>
          </w:tcPr>
          <w:p w14:paraId="084237C1" w14:textId="77777777" w:rsidR="0022378C" w:rsidRPr="00F54910" w:rsidRDefault="0022378C" w:rsidP="00F73D72">
            <w:pPr>
              <w:spacing w:before="80" w:after="80"/>
              <w:rPr>
                <w:rFonts w:cs="Arial"/>
                <w:b/>
              </w:rPr>
            </w:pPr>
            <w:r w:rsidRPr="00F54910">
              <w:rPr>
                <w:rFonts w:cs="Arial"/>
                <w:b/>
              </w:rPr>
              <w:t>Date issued:</w:t>
            </w:r>
          </w:p>
        </w:tc>
        <w:tc>
          <w:tcPr>
            <w:tcW w:w="4252" w:type="dxa"/>
          </w:tcPr>
          <w:p w14:paraId="6F61986A" w14:textId="77777777" w:rsidR="0022378C" w:rsidRPr="00F54910" w:rsidRDefault="00A07A80" w:rsidP="00F73D72">
            <w:pPr>
              <w:spacing w:before="80" w:after="80"/>
              <w:rPr>
                <w:rFonts w:cs="Arial"/>
              </w:rPr>
            </w:pPr>
            <w:r>
              <w:rPr>
                <w:rFonts w:cs="Arial"/>
              </w:rPr>
              <w:t>17 August 2022</w:t>
            </w:r>
          </w:p>
        </w:tc>
      </w:tr>
      <w:tr w:rsidR="0022378C" w:rsidRPr="00F54910" w14:paraId="48A4492A" w14:textId="77777777" w:rsidTr="003509EB">
        <w:tc>
          <w:tcPr>
            <w:tcW w:w="5387" w:type="dxa"/>
          </w:tcPr>
          <w:p w14:paraId="244769AE" w14:textId="77777777" w:rsidR="0022378C" w:rsidRPr="00F54910" w:rsidRDefault="001C60EF" w:rsidP="008A570F">
            <w:pPr>
              <w:spacing w:before="80" w:after="80"/>
              <w:rPr>
                <w:rFonts w:cs="Arial"/>
                <w:b/>
              </w:rPr>
            </w:pPr>
            <w:r>
              <w:rPr>
                <w:rFonts w:cs="Arial"/>
                <w:b/>
              </w:rPr>
              <w:t>Next scheduled review date:</w:t>
            </w:r>
          </w:p>
        </w:tc>
        <w:tc>
          <w:tcPr>
            <w:tcW w:w="4252" w:type="dxa"/>
          </w:tcPr>
          <w:p w14:paraId="62AE028A" w14:textId="77777777" w:rsidR="0022378C" w:rsidRPr="00F54910" w:rsidRDefault="00B603CC" w:rsidP="00F73D72">
            <w:pPr>
              <w:spacing w:before="80" w:after="80"/>
              <w:rPr>
                <w:rFonts w:cs="Arial"/>
              </w:rPr>
            </w:pPr>
            <w:r>
              <w:rPr>
                <w:rFonts w:cs="Arial"/>
              </w:rPr>
              <w:t>June 2025</w:t>
            </w:r>
          </w:p>
        </w:tc>
      </w:tr>
    </w:tbl>
    <w:p w14:paraId="6197B2B6" w14:textId="77777777" w:rsidR="003745E0" w:rsidRDefault="003745E0"/>
    <w:tbl>
      <w:tblPr>
        <w:tblStyle w:val="TableGrid1"/>
        <w:tblW w:w="9639" w:type="dxa"/>
        <w:tblLayout w:type="fixed"/>
        <w:tblLook w:val="01E0" w:firstRow="1" w:lastRow="1" w:firstColumn="1" w:lastColumn="1" w:noHBand="0" w:noVBand="0"/>
      </w:tblPr>
      <w:tblGrid>
        <w:gridCol w:w="5382"/>
        <w:gridCol w:w="4257"/>
      </w:tblGrid>
      <w:tr w:rsidR="003509EB" w:rsidRPr="00F54910" w14:paraId="5DC620ED" w14:textId="77777777" w:rsidTr="003509EB">
        <w:tc>
          <w:tcPr>
            <w:tcW w:w="5382" w:type="dxa"/>
          </w:tcPr>
          <w:p w14:paraId="14705BA5" w14:textId="77777777" w:rsidR="003509EB" w:rsidRPr="00F54910" w:rsidRDefault="003509EB" w:rsidP="00F73D72">
            <w:pPr>
              <w:spacing w:before="80" w:after="80"/>
              <w:rPr>
                <w:rFonts w:cs="Arial"/>
              </w:rPr>
            </w:pPr>
            <w:r>
              <w:rPr>
                <w:rFonts w:cs="Arial"/>
                <w:b/>
              </w:rPr>
              <w:t>Applies to (include subsidiary companies):</w:t>
            </w:r>
          </w:p>
        </w:tc>
        <w:tc>
          <w:tcPr>
            <w:tcW w:w="4257" w:type="dxa"/>
          </w:tcPr>
          <w:p w14:paraId="13AFE3E2" w14:textId="560EE4E7" w:rsidR="003509EB" w:rsidRPr="00F54910" w:rsidRDefault="003509EB" w:rsidP="00F73D72">
            <w:pPr>
              <w:spacing w:before="80" w:after="80"/>
              <w:rPr>
                <w:rFonts w:cs="Arial"/>
              </w:rPr>
            </w:pPr>
          </w:p>
        </w:tc>
      </w:tr>
      <w:tr w:rsidR="003745E0" w:rsidRPr="00F54910" w14:paraId="139CD865" w14:textId="77777777" w:rsidTr="003509EB">
        <w:tc>
          <w:tcPr>
            <w:tcW w:w="5382" w:type="dxa"/>
          </w:tcPr>
          <w:p w14:paraId="14EA1D69" w14:textId="77777777" w:rsidR="003745E0" w:rsidRPr="00A8502A" w:rsidRDefault="003745E0" w:rsidP="003745E0">
            <w:pPr>
              <w:spacing w:before="80" w:after="80"/>
              <w:rPr>
                <w:rFonts w:cs="Arial"/>
                <w:b/>
              </w:rPr>
            </w:pPr>
            <w:r w:rsidRPr="00A8502A">
              <w:rPr>
                <w:rFonts w:cs="Arial"/>
                <w:b/>
              </w:rPr>
              <w:t xml:space="preserve">Trust staff </w:t>
            </w:r>
            <w:r w:rsidRPr="00A8502A">
              <w:rPr>
                <w:rFonts w:cs="Arial"/>
              </w:rPr>
              <w:t>(specify groups e.g. clinical/non-clinical)</w:t>
            </w:r>
            <w:r w:rsidR="0009245A">
              <w:rPr>
                <w:rFonts w:cs="Arial"/>
              </w:rPr>
              <w:t>:</w:t>
            </w:r>
          </w:p>
        </w:tc>
        <w:tc>
          <w:tcPr>
            <w:tcW w:w="4257" w:type="dxa"/>
          </w:tcPr>
          <w:p w14:paraId="7476FB8A" w14:textId="77777777" w:rsidR="003745E0" w:rsidRPr="00A8502A" w:rsidRDefault="006235E5" w:rsidP="003745E0">
            <w:pPr>
              <w:spacing w:before="80" w:after="80"/>
              <w:rPr>
                <w:rFonts w:cs="Arial"/>
              </w:rPr>
            </w:pPr>
            <w:r w:rsidRPr="006235E5">
              <w:rPr>
                <w:rFonts w:cs="Arial"/>
              </w:rPr>
              <w:t>All Service Users, (including its subsidiaries) and employees of organisations hosted by EKHUFT at any of its sites</w:t>
            </w:r>
          </w:p>
        </w:tc>
      </w:tr>
      <w:tr w:rsidR="003745E0" w:rsidRPr="00F54910" w14:paraId="74077CC2" w14:textId="77777777" w:rsidTr="003509EB">
        <w:tc>
          <w:tcPr>
            <w:tcW w:w="5382" w:type="dxa"/>
          </w:tcPr>
          <w:p w14:paraId="03264687" w14:textId="77777777" w:rsidR="003745E0" w:rsidRPr="00A8502A" w:rsidRDefault="003745E0" w:rsidP="003745E0">
            <w:pPr>
              <w:spacing w:before="80" w:after="80"/>
              <w:rPr>
                <w:rFonts w:cs="Arial"/>
                <w:b/>
              </w:rPr>
            </w:pPr>
            <w:r w:rsidRPr="00A8502A">
              <w:rPr>
                <w:rFonts w:cs="Arial"/>
                <w:b/>
              </w:rPr>
              <w:t>Subsidiaries</w:t>
            </w:r>
          </w:p>
        </w:tc>
        <w:tc>
          <w:tcPr>
            <w:tcW w:w="4257" w:type="dxa"/>
          </w:tcPr>
          <w:p w14:paraId="6E6C667B" w14:textId="77777777" w:rsidR="003745E0" w:rsidRPr="00A8502A" w:rsidRDefault="003745E0" w:rsidP="003745E0">
            <w:pPr>
              <w:spacing w:before="80" w:after="80"/>
              <w:rPr>
                <w:rFonts w:cs="Arial"/>
              </w:rPr>
            </w:pPr>
            <w:r w:rsidRPr="00A8502A">
              <w:rPr>
                <w:rFonts w:cs="Arial"/>
              </w:rPr>
              <w:t>Yes - Beautiful Information</w:t>
            </w:r>
          </w:p>
          <w:p w14:paraId="4FA47ACA" w14:textId="77777777" w:rsidR="003745E0" w:rsidRPr="00A8502A" w:rsidRDefault="003745E0" w:rsidP="003745E0">
            <w:pPr>
              <w:spacing w:before="80" w:after="80"/>
              <w:rPr>
                <w:rFonts w:cs="Arial"/>
              </w:rPr>
            </w:pPr>
            <w:r w:rsidRPr="00A8502A">
              <w:rPr>
                <w:rFonts w:cs="Arial"/>
              </w:rPr>
              <w:t>Yes - Spencer Private Hospitals</w:t>
            </w:r>
          </w:p>
        </w:tc>
      </w:tr>
      <w:tr w:rsidR="003745E0" w:rsidRPr="00F54910" w14:paraId="64AA38F0" w14:textId="77777777" w:rsidTr="003509EB">
        <w:tc>
          <w:tcPr>
            <w:tcW w:w="5382" w:type="dxa"/>
          </w:tcPr>
          <w:p w14:paraId="5E4A1576" w14:textId="77777777" w:rsidR="003745E0" w:rsidRPr="00A8502A" w:rsidRDefault="003745E0" w:rsidP="003745E0">
            <w:pPr>
              <w:spacing w:before="80" w:after="80"/>
              <w:rPr>
                <w:rFonts w:cs="Arial"/>
                <w:b/>
              </w:rPr>
            </w:pPr>
            <w:r w:rsidRPr="00A8502A">
              <w:rPr>
                <w:rFonts w:cs="Arial"/>
                <w:b/>
              </w:rPr>
              <w:t>2gether Support Solutions Ltd. as a service provider (hard and soft facilities services)</w:t>
            </w:r>
          </w:p>
        </w:tc>
        <w:tc>
          <w:tcPr>
            <w:tcW w:w="4257" w:type="dxa"/>
          </w:tcPr>
          <w:p w14:paraId="5B263ACA" w14:textId="77777777" w:rsidR="003745E0" w:rsidRPr="00A8502A" w:rsidRDefault="003745E0" w:rsidP="003745E0">
            <w:pPr>
              <w:spacing w:before="80" w:after="80"/>
              <w:rPr>
                <w:rFonts w:cs="Arial"/>
              </w:rPr>
            </w:pPr>
            <w:r>
              <w:rPr>
                <w:rFonts w:cs="Arial"/>
              </w:rPr>
              <w:t>Ye</w:t>
            </w:r>
            <w:r w:rsidR="00702056">
              <w:rPr>
                <w:rFonts w:cs="Arial"/>
              </w:rPr>
              <w:t>s</w:t>
            </w:r>
          </w:p>
        </w:tc>
      </w:tr>
      <w:tr w:rsidR="00EE4F24" w:rsidRPr="00F54910" w14:paraId="55A3FE99" w14:textId="77777777" w:rsidTr="003509EB">
        <w:tc>
          <w:tcPr>
            <w:tcW w:w="5382" w:type="dxa"/>
          </w:tcPr>
          <w:p w14:paraId="71573C0E" w14:textId="77777777" w:rsidR="00EE4F24" w:rsidRPr="00A8502A" w:rsidRDefault="00EE4F24" w:rsidP="003745E0">
            <w:pPr>
              <w:spacing w:before="80" w:after="80"/>
              <w:rPr>
                <w:rFonts w:cs="Arial"/>
                <w:b/>
              </w:rPr>
            </w:pPr>
            <w:r>
              <w:rPr>
                <w:rFonts w:cs="Arial"/>
                <w:b/>
              </w:rPr>
              <w:t>Includes references to children/young people</w:t>
            </w:r>
          </w:p>
        </w:tc>
        <w:tc>
          <w:tcPr>
            <w:tcW w:w="4257" w:type="dxa"/>
          </w:tcPr>
          <w:p w14:paraId="3AA7E25E" w14:textId="77777777" w:rsidR="00EE4F24" w:rsidRPr="0009245A" w:rsidRDefault="00EE4F24" w:rsidP="003745E0">
            <w:pPr>
              <w:spacing w:before="80" w:after="80"/>
              <w:rPr>
                <w:rFonts w:cs="Arial"/>
              </w:rPr>
            </w:pPr>
            <w:r w:rsidRPr="0009245A">
              <w:rPr>
                <w:rFonts w:cs="Arial"/>
              </w:rPr>
              <w:t>No</w:t>
            </w:r>
          </w:p>
        </w:tc>
      </w:tr>
      <w:tr w:rsidR="00EE4F24" w:rsidRPr="00F54910" w14:paraId="4C6676B8" w14:textId="77777777" w:rsidTr="003509EB">
        <w:tc>
          <w:tcPr>
            <w:tcW w:w="5382" w:type="dxa"/>
          </w:tcPr>
          <w:p w14:paraId="0F6B143E" w14:textId="77777777" w:rsidR="00EE4F24" w:rsidRDefault="00EE4F24" w:rsidP="003745E0">
            <w:pPr>
              <w:spacing w:before="80" w:after="80"/>
              <w:rPr>
                <w:rFonts w:cs="Arial"/>
                <w:b/>
              </w:rPr>
            </w:pPr>
            <w:r>
              <w:rPr>
                <w:rFonts w:cs="Arial"/>
                <w:b/>
              </w:rPr>
              <w:t>Included references to medicines</w:t>
            </w:r>
          </w:p>
        </w:tc>
        <w:tc>
          <w:tcPr>
            <w:tcW w:w="4257" w:type="dxa"/>
          </w:tcPr>
          <w:p w14:paraId="19F44E24" w14:textId="77777777" w:rsidR="00EE4F24" w:rsidRPr="0009245A" w:rsidRDefault="00EE4F24" w:rsidP="003745E0">
            <w:pPr>
              <w:spacing w:before="80" w:after="80"/>
              <w:rPr>
                <w:rFonts w:cs="Arial"/>
              </w:rPr>
            </w:pPr>
            <w:r w:rsidRPr="0009245A">
              <w:rPr>
                <w:rFonts w:cs="Arial"/>
              </w:rPr>
              <w:t>No</w:t>
            </w:r>
          </w:p>
        </w:tc>
      </w:tr>
    </w:tbl>
    <w:p w14:paraId="27CD4673" w14:textId="77777777" w:rsidR="0022378C" w:rsidRPr="007A6A04" w:rsidRDefault="00CC3728" w:rsidP="004F139F">
      <w:pPr>
        <w:pStyle w:val="SectionTitle"/>
      </w:pPr>
      <w:r>
        <w:br w:type="page"/>
      </w:r>
      <w:r w:rsidR="00C900D2">
        <w:lastRenderedPageBreak/>
        <w:t>V</w:t>
      </w:r>
      <w:r w:rsidR="0022378C" w:rsidRPr="0071366A">
        <w:t>ersion Control Schedule</w:t>
      </w:r>
    </w:p>
    <w:tbl>
      <w:tblPr>
        <w:tblStyle w:val="TableGrid1"/>
        <w:tblW w:w="9747" w:type="dxa"/>
        <w:tblLayout w:type="fixed"/>
        <w:tblLook w:val="01E0" w:firstRow="1" w:lastRow="1" w:firstColumn="1" w:lastColumn="1" w:noHBand="0" w:noVBand="0"/>
      </w:tblPr>
      <w:tblGrid>
        <w:gridCol w:w="1413"/>
        <w:gridCol w:w="1559"/>
        <w:gridCol w:w="2126"/>
        <w:gridCol w:w="1560"/>
        <w:gridCol w:w="3089"/>
      </w:tblGrid>
      <w:tr w:rsidR="0022378C" w:rsidRPr="00D05C0E" w14:paraId="56F05D95" w14:textId="77777777" w:rsidTr="003509EB">
        <w:tc>
          <w:tcPr>
            <w:tcW w:w="1413" w:type="dxa"/>
          </w:tcPr>
          <w:p w14:paraId="09147A7B" w14:textId="77777777" w:rsidR="0022378C" w:rsidRPr="00D05C0E" w:rsidRDefault="0022378C" w:rsidP="00D05C0E">
            <w:pPr>
              <w:jc w:val="center"/>
              <w:rPr>
                <w:rFonts w:cs="Arial"/>
                <w:b/>
              </w:rPr>
            </w:pPr>
            <w:r w:rsidRPr="00D05C0E">
              <w:rPr>
                <w:rFonts w:cs="Arial"/>
                <w:b/>
              </w:rPr>
              <w:t>Version</w:t>
            </w:r>
          </w:p>
        </w:tc>
        <w:tc>
          <w:tcPr>
            <w:tcW w:w="1559" w:type="dxa"/>
          </w:tcPr>
          <w:p w14:paraId="71AB65D8" w14:textId="77777777" w:rsidR="0022378C" w:rsidRPr="00D05C0E" w:rsidRDefault="0022378C" w:rsidP="00D05C0E">
            <w:pPr>
              <w:rPr>
                <w:rFonts w:cs="Arial"/>
                <w:b/>
              </w:rPr>
            </w:pPr>
            <w:r w:rsidRPr="00D05C0E">
              <w:rPr>
                <w:rFonts w:cs="Arial"/>
                <w:b/>
              </w:rPr>
              <w:t>Date</w:t>
            </w:r>
          </w:p>
        </w:tc>
        <w:tc>
          <w:tcPr>
            <w:tcW w:w="2126" w:type="dxa"/>
          </w:tcPr>
          <w:p w14:paraId="576F1344" w14:textId="77777777" w:rsidR="0022378C" w:rsidRPr="00D05C0E" w:rsidRDefault="0022378C" w:rsidP="00D05C0E">
            <w:pPr>
              <w:rPr>
                <w:rFonts w:cs="Arial"/>
                <w:b/>
              </w:rPr>
            </w:pPr>
            <w:r w:rsidRPr="00D05C0E">
              <w:rPr>
                <w:rFonts w:cs="Arial"/>
                <w:b/>
              </w:rPr>
              <w:t>Author</w:t>
            </w:r>
          </w:p>
        </w:tc>
        <w:tc>
          <w:tcPr>
            <w:tcW w:w="1560" w:type="dxa"/>
          </w:tcPr>
          <w:p w14:paraId="5B430506" w14:textId="77777777" w:rsidR="0022378C" w:rsidRPr="00D05C0E" w:rsidRDefault="0022378C" w:rsidP="00D05C0E">
            <w:pPr>
              <w:rPr>
                <w:rFonts w:cs="Arial"/>
                <w:b/>
              </w:rPr>
            </w:pPr>
            <w:r w:rsidRPr="00D05C0E">
              <w:rPr>
                <w:rFonts w:cs="Arial"/>
                <w:b/>
              </w:rPr>
              <w:t>Status</w:t>
            </w:r>
          </w:p>
        </w:tc>
        <w:tc>
          <w:tcPr>
            <w:tcW w:w="3089" w:type="dxa"/>
          </w:tcPr>
          <w:p w14:paraId="3524918B" w14:textId="77777777" w:rsidR="0022378C" w:rsidRPr="00D05C0E" w:rsidRDefault="0022378C" w:rsidP="00D05C0E">
            <w:pPr>
              <w:rPr>
                <w:rFonts w:cs="Arial"/>
                <w:b/>
              </w:rPr>
            </w:pPr>
            <w:r w:rsidRPr="00D05C0E">
              <w:rPr>
                <w:rFonts w:cs="Arial"/>
                <w:b/>
              </w:rPr>
              <w:t>Comment</w:t>
            </w:r>
          </w:p>
        </w:tc>
      </w:tr>
      <w:tr w:rsidR="00D05C0E" w:rsidRPr="00D05C0E" w14:paraId="5B9E6F48" w14:textId="77777777" w:rsidTr="003509EB">
        <w:tc>
          <w:tcPr>
            <w:tcW w:w="1413" w:type="dxa"/>
          </w:tcPr>
          <w:p w14:paraId="5E430008" w14:textId="77777777" w:rsidR="00D05C0E" w:rsidRPr="00D05C0E" w:rsidRDefault="00D05C0E" w:rsidP="00C61EB5">
            <w:pPr>
              <w:jc w:val="center"/>
              <w:rPr>
                <w:rFonts w:cs="Arial"/>
              </w:rPr>
            </w:pPr>
            <w:r w:rsidRPr="00D05C0E">
              <w:rPr>
                <w:rFonts w:cs="Arial"/>
              </w:rPr>
              <w:t>1.0</w:t>
            </w:r>
          </w:p>
        </w:tc>
        <w:tc>
          <w:tcPr>
            <w:tcW w:w="1559" w:type="dxa"/>
          </w:tcPr>
          <w:p w14:paraId="4B652A1E" w14:textId="77777777" w:rsidR="00D05C0E" w:rsidRPr="00D05C0E" w:rsidRDefault="00D05C0E" w:rsidP="00C61EB5">
            <w:pPr>
              <w:rPr>
                <w:rFonts w:cs="Arial"/>
              </w:rPr>
            </w:pPr>
            <w:r w:rsidRPr="00D05C0E">
              <w:rPr>
                <w:rFonts w:cs="Arial"/>
              </w:rPr>
              <w:t>22/01/2008</w:t>
            </w:r>
          </w:p>
        </w:tc>
        <w:tc>
          <w:tcPr>
            <w:tcW w:w="2126" w:type="dxa"/>
          </w:tcPr>
          <w:p w14:paraId="030D9A5E" w14:textId="77777777" w:rsidR="00D05C0E" w:rsidRPr="00D05C0E" w:rsidRDefault="00D05C0E" w:rsidP="00C61EB5">
            <w:pPr>
              <w:rPr>
                <w:rFonts w:cs="Arial"/>
              </w:rPr>
            </w:pPr>
            <w:r w:rsidRPr="00D05C0E">
              <w:rPr>
                <w:rFonts w:cs="Arial"/>
              </w:rPr>
              <w:t>Linen &amp; Accommodation Manager</w:t>
            </w:r>
          </w:p>
        </w:tc>
        <w:tc>
          <w:tcPr>
            <w:tcW w:w="1560" w:type="dxa"/>
          </w:tcPr>
          <w:p w14:paraId="3BE7B6FB" w14:textId="77777777" w:rsidR="00D05C0E" w:rsidRPr="00D05C0E" w:rsidRDefault="00D05C0E" w:rsidP="00C61EB5">
            <w:pPr>
              <w:rPr>
                <w:rFonts w:cs="Arial"/>
              </w:rPr>
            </w:pPr>
            <w:r w:rsidRPr="00D05C0E">
              <w:rPr>
                <w:rFonts w:cs="Arial"/>
              </w:rPr>
              <w:t>Superseded</w:t>
            </w:r>
          </w:p>
        </w:tc>
        <w:tc>
          <w:tcPr>
            <w:tcW w:w="3089" w:type="dxa"/>
          </w:tcPr>
          <w:p w14:paraId="436382D1" w14:textId="77777777" w:rsidR="00D05C0E" w:rsidRPr="00D05C0E" w:rsidRDefault="00D05C0E" w:rsidP="00C61EB5">
            <w:pPr>
              <w:rPr>
                <w:rFonts w:cs="Arial"/>
              </w:rPr>
            </w:pPr>
          </w:p>
        </w:tc>
      </w:tr>
      <w:tr w:rsidR="00D05C0E" w:rsidRPr="00D05C0E" w14:paraId="421FAB97" w14:textId="77777777" w:rsidTr="003509EB">
        <w:tc>
          <w:tcPr>
            <w:tcW w:w="1413" w:type="dxa"/>
          </w:tcPr>
          <w:p w14:paraId="681FF173" w14:textId="77777777" w:rsidR="00D05C0E" w:rsidRPr="00D05C0E" w:rsidRDefault="00D05C0E" w:rsidP="00C61EB5">
            <w:pPr>
              <w:jc w:val="center"/>
              <w:rPr>
                <w:rFonts w:cs="Arial"/>
              </w:rPr>
            </w:pPr>
            <w:r w:rsidRPr="00D05C0E">
              <w:rPr>
                <w:rFonts w:cs="Arial"/>
              </w:rPr>
              <w:t>2.0</w:t>
            </w:r>
          </w:p>
        </w:tc>
        <w:tc>
          <w:tcPr>
            <w:tcW w:w="1559" w:type="dxa"/>
          </w:tcPr>
          <w:p w14:paraId="2C7EAFE1" w14:textId="77777777" w:rsidR="00D05C0E" w:rsidRPr="00D05C0E" w:rsidRDefault="00D05C0E" w:rsidP="00C61EB5">
            <w:pPr>
              <w:rPr>
                <w:rFonts w:cs="Arial"/>
              </w:rPr>
            </w:pPr>
            <w:r w:rsidRPr="00D05C0E">
              <w:rPr>
                <w:rFonts w:cs="Arial"/>
              </w:rPr>
              <w:t>07/09/2010</w:t>
            </w:r>
          </w:p>
        </w:tc>
        <w:tc>
          <w:tcPr>
            <w:tcW w:w="2126" w:type="dxa"/>
          </w:tcPr>
          <w:p w14:paraId="132E222F" w14:textId="77777777" w:rsidR="00D05C0E" w:rsidRPr="00D05C0E" w:rsidRDefault="00D05C0E" w:rsidP="00C61EB5">
            <w:pPr>
              <w:rPr>
                <w:rFonts w:cs="Arial"/>
              </w:rPr>
            </w:pPr>
            <w:r w:rsidRPr="00D05C0E">
              <w:rPr>
                <w:rFonts w:cs="Arial"/>
              </w:rPr>
              <w:t>Accommodation Manager</w:t>
            </w:r>
          </w:p>
        </w:tc>
        <w:tc>
          <w:tcPr>
            <w:tcW w:w="1560" w:type="dxa"/>
          </w:tcPr>
          <w:p w14:paraId="6BE21793" w14:textId="77777777" w:rsidR="00D05C0E" w:rsidRPr="00D05C0E" w:rsidRDefault="00D05C0E" w:rsidP="00C61EB5">
            <w:pPr>
              <w:rPr>
                <w:rFonts w:cs="Arial"/>
              </w:rPr>
            </w:pPr>
            <w:r w:rsidRPr="00D05C0E">
              <w:rPr>
                <w:rFonts w:cs="Arial"/>
              </w:rPr>
              <w:t>Removed from publication circa 2012</w:t>
            </w:r>
          </w:p>
          <w:p w14:paraId="5BAF4C93" w14:textId="77777777" w:rsidR="00D05C0E" w:rsidRPr="00D05C0E" w:rsidRDefault="00D05C0E" w:rsidP="00C61EB5">
            <w:pPr>
              <w:rPr>
                <w:rFonts w:cs="Arial"/>
              </w:rPr>
            </w:pPr>
          </w:p>
        </w:tc>
        <w:tc>
          <w:tcPr>
            <w:tcW w:w="3089" w:type="dxa"/>
          </w:tcPr>
          <w:p w14:paraId="6F198C13" w14:textId="77777777" w:rsidR="00D05C0E" w:rsidRPr="00D05C0E" w:rsidRDefault="00D05C0E" w:rsidP="00C61EB5">
            <w:pPr>
              <w:rPr>
                <w:rFonts w:cs="Arial"/>
              </w:rPr>
            </w:pPr>
          </w:p>
        </w:tc>
      </w:tr>
      <w:tr w:rsidR="00D05C0E" w:rsidRPr="00D05C0E" w14:paraId="6A177227" w14:textId="77777777" w:rsidTr="003509EB">
        <w:tc>
          <w:tcPr>
            <w:tcW w:w="1413" w:type="dxa"/>
          </w:tcPr>
          <w:p w14:paraId="54068EE7" w14:textId="77777777" w:rsidR="00D05C0E" w:rsidRPr="00D05C0E" w:rsidRDefault="00D05C0E" w:rsidP="00C61EB5">
            <w:pPr>
              <w:jc w:val="center"/>
              <w:rPr>
                <w:rFonts w:cs="Arial"/>
              </w:rPr>
            </w:pPr>
            <w:r w:rsidRPr="00D05C0E">
              <w:rPr>
                <w:rFonts w:cs="Arial"/>
              </w:rPr>
              <w:t>3.</w:t>
            </w:r>
            <w:r w:rsidR="00AD1BFF">
              <w:rPr>
                <w:rFonts w:cs="Arial"/>
              </w:rPr>
              <w:t>2</w:t>
            </w:r>
          </w:p>
        </w:tc>
        <w:tc>
          <w:tcPr>
            <w:tcW w:w="1559" w:type="dxa"/>
          </w:tcPr>
          <w:p w14:paraId="1AA525F6" w14:textId="77777777" w:rsidR="00D05C0E" w:rsidRPr="00D05C0E" w:rsidRDefault="00B17085" w:rsidP="00C61EB5">
            <w:pPr>
              <w:rPr>
                <w:rFonts w:cs="Arial"/>
              </w:rPr>
            </w:pPr>
            <w:r>
              <w:rPr>
                <w:rFonts w:cs="Arial"/>
              </w:rPr>
              <w:t>12/01/2022</w:t>
            </w:r>
          </w:p>
          <w:p w14:paraId="4CAE1360" w14:textId="77777777" w:rsidR="00D05C0E" w:rsidRPr="00D05C0E" w:rsidRDefault="00D05C0E" w:rsidP="00C61EB5">
            <w:pPr>
              <w:rPr>
                <w:rFonts w:cs="Arial"/>
              </w:rPr>
            </w:pPr>
          </w:p>
          <w:p w14:paraId="4D2A2EE1" w14:textId="77777777" w:rsidR="00D05C0E" w:rsidRPr="00D05C0E" w:rsidRDefault="00D05C0E" w:rsidP="00C61EB5">
            <w:pPr>
              <w:rPr>
                <w:rFonts w:cs="Arial"/>
              </w:rPr>
            </w:pPr>
          </w:p>
        </w:tc>
        <w:tc>
          <w:tcPr>
            <w:tcW w:w="2126" w:type="dxa"/>
          </w:tcPr>
          <w:p w14:paraId="665541E1" w14:textId="77777777" w:rsidR="00D05C0E" w:rsidRPr="00D05C0E" w:rsidRDefault="00B17085" w:rsidP="00C61EB5">
            <w:pPr>
              <w:rPr>
                <w:rFonts w:cs="Arial"/>
              </w:rPr>
            </w:pPr>
            <w:r>
              <w:rPr>
                <w:rFonts w:cs="Arial"/>
              </w:rPr>
              <w:t>Head of Facilities</w:t>
            </w:r>
          </w:p>
        </w:tc>
        <w:tc>
          <w:tcPr>
            <w:tcW w:w="1560" w:type="dxa"/>
          </w:tcPr>
          <w:p w14:paraId="6FCD5443" w14:textId="77777777" w:rsidR="00D05C0E" w:rsidRPr="00D05C0E" w:rsidRDefault="00AD1BFF" w:rsidP="00C61EB5">
            <w:pPr>
              <w:rPr>
                <w:rFonts w:cs="Arial"/>
              </w:rPr>
            </w:pPr>
            <w:r>
              <w:rPr>
                <w:rFonts w:cs="Arial"/>
              </w:rPr>
              <w:t>Superseded</w:t>
            </w:r>
          </w:p>
        </w:tc>
        <w:tc>
          <w:tcPr>
            <w:tcW w:w="3089" w:type="dxa"/>
          </w:tcPr>
          <w:p w14:paraId="33269463" w14:textId="77777777" w:rsidR="00D05C0E" w:rsidRPr="00D05C0E" w:rsidRDefault="00D05C0E" w:rsidP="00C61EB5">
            <w:pPr>
              <w:rPr>
                <w:rFonts w:cs="Arial"/>
              </w:rPr>
            </w:pPr>
            <w:r w:rsidRPr="00D05C0E">
              <w:rPr>
                <w:rFonts w:cs="Arial"/>
              </w:rPr>
              <w:t xml:space="preserve">Policy revised to provide clarity and consistency around key issues (allocation and charging), and generally bring in line with current service needs and provision. </w:t>
            </w:r>
            <w:r w:rsidR="00B17085">
              <w:rPr>
                <w:rFonts w:cs="Arial"/>
              </w:rPr>
              <w:t>Updated to 2022 requirements.</w:t>
            </w:r>
          </w:p>
        </w:tc>
      </w:tr>
      <w:tr w:rsidR="00D05C0E" w:rsidRPr="00D05C0E" w14:paraId="3C4062FF" w14:textId="77777777" w:rsidTr="003509EB">
        <w:tc>
          <w:tcPr>
            <w:tcW w:w="1413" w:type="dxa"/>
          </w:tcPr>
          <w:p w14:paraId="20833A5B" w14:textId="77777777" w:rsidR="00D05C0E" w:rsidRPr="00D05C0E" w:rsidRDefault="00D05C0E" w:rsidP="00C61EB5">
            <w:pPr>
              <w:jc w:val="center"/>
              <w:rPr>
                <w:rFonts w:cs="Arial"/>
              </w:rPr>
            </w:pPr>
            <w:r w:rsidRPr="00D05C0E">
              <w:rPr>
                <w:rFonts w:cs="Arial"/>
              </w:rPr>
              <w:t>4.0</w:t>
            </w:r>
          </w:p>
        </w:tc>
        <w:tc>
          <w:tcPr>
            <w:tcW w:w="1559" w:type="dxa"/>
          </w:tcPr>
          <w:p w14:paraId="65627605" w14:textId="77777777" w:rsidR="00D05C0E" w:rsidRPr="00D05C0E" w:rsidRDefault="00AD1BFF" w:rsidP="00C61EB5">
            <w:pPr>
              <w:rPr>
                <w:rFonts w:cs="Arial"/>
              </w:rPr>
            </w:pPr>
            <w:r>
              <w:rPr>
                <w:rFonts w:cs="Arial"/>
              </w:rPr>
              <w:t>14/06</w:t>
            </w:r>
            <w:r w:rsidR="00D05C0E" w:rsidRPr="00D05C0E">
              <w:rPr>
                <w:rFonts w:cs="Arial"/>
              </w:rPr>
              <w:t>/2022</w:t>
            </w:r>
          </w:p>
        </w:tc>
        <w:tc>
          <w:tcPr>
            <w:tcW w:w="2126" w:type="dxa"/>
          </w:tcPr>
          <w:p w14:paraId="0D568A2B" w14:textId="77777777" w:rsidR="00D05C0E" w:rsidRPr="00D05C0E" w:rsidRDefault="00AD1BFF" w:rsidP="00C61EB5">
            <w:pPr>
              <w:rPr>
                <w:rFonts w:cs="Arial"/>
              </w:rPr>
            </w:pPr>
            <w:r>
              <w:rPr>
                <w:rFonts w:cs="Arial"/>
              </w:rPr>
              <w:t>Intelligent Client</w:t>
            </w:r>
          </w:p>
          <w:p w14:paraId="4BFF39C2" w14:textId="77777777" w:rsidR="00D05C0E" w:rsidRPr="00D05C0E" w:rsidRDefault="00D05C0E" w:rsidP="00C61EB5">
            <w:pPr>
              <w:rPr>
                <w:rFonts w:cs="Arial"/>
              </w:rPr>
            </w:pPr>
          </w:p>
        </w:tc>
        <w:tc>
          <w:tcPr>
            <w:tcW w:w="1560" w:type="dxa"/>
          </w:tcPr>
          <w:p w14:paraId="1957B2C7" w14:textId="77777777" w:rsidR="00D05C0E" w:rsidRPr="00D05C0E" w:rsidRDefault="00D05C0E" w:rsidP="00C61EB5">
            <w:pPr>
              <w:rPr>
                <w:rFonts w:cs="Arial"/>
              </w:rPr>
            </w:pPr>
          </w:p>
        </w:tc>
        <w:tc>
          <w:tcPr>
            <w:tcW w:w="3089" w:type="dxa"/>
          </w:tcPr>
          <w:p w14:paraId="547233F7" w14:textId="77777777" w:rsidR="00D05C0E" w:rsidRPr="00D05C0E" w:rsidRDefault="00AD1BFF" w:rsidP="00C61EB5">
            <w:pPr>
              <w:rPr>
                <w:rFonts w:cs="Arial"/>
              </w:rPr>
            </w:pPr>
            <w:r>
              <w:rPr>
                <w:rFonts w:cs="Arial"/>
              </w:rPr>
              <w:t>Updated in consultation with Associate Director of People and Culture</w:t>
            </w:r>
          </w:p>
        </w:tc>
      </w:tr>
    </w:tbl>
    <w:p w14:paraId="0D22A96E" w14:textId="77777777" w:rsidR="00690EC6" w:rsidRDefault="000B62FF" w:rsidP="004F139F">
      <w:pPr>
        <w:pStyle w:val="SectionTitle"/>
      </w:pPr>
      <w:r>
        <w:t>Policy Reviewers</w:t>
      </w:r>
    </w:p>
    <w:tbl>
      <w:tblPr>
        <w:tblStyle w:val="TableGrid1"/>
        <w:tblW w:w="9781" w:type="dxa"/>
        <w:tblLayout w:type="fixed"/>
        <w:tblLook w:val="04A0" w:firstRow="1" w:lastRow="0" w:firstColumn="1" w:lastColumn="0" w:noHBand="0" w:noVBand="1"/>
      </w:tblPr>
      <w:tblGrid>
        <w:gridCol w:w="7797"/>
        <w:gridCol w:w="1984"/>
      </w:tblGrid>
      <w:tr w:rsidR="00D05C0E" w:rsidRPr="00F54910" w14:paraId="396B7D25" w14:textId="77777777" w:rsidTr="003509EB">
        <w:trPr>
          <w:trHeight w:val="397"/>
        </w:trPr>
        <w:tc>
          <w:tcPr>
            <w:tcW w:w="7797" w:type="dxa"/>
          </w:tcPr>
          <w:p w14:paraId="05CA9DCE" w14:textId="77777777" w:rsidR="00690EC6" w:rsidRPr="00F54910" w:rsidRDefault="00690EC6" w:rsidP="000D0D5C">
            <w:pPr>
              <w:contextualSpacing/>
              <w:rPr>
                <w:rFonts w:cs="Arial"/>
                <w:b/>
              </w:rPr>
            </w:pPr>
            <w:r w:rsidRPr="00F54910">
              <w:rPr>
                <w:rFonts w:cs="Arial"/>
                <w:b/>
              </w:rPr>
              <w:t>Title</w:t>
            </w:r>
            <w:r w:rsidR="005E3923">
              <w:rPr>
                <w:rFonts w:cs="Arial"/>
                <w:b/>
              </w:rPr>
              <w:t xml:space="preserve"> and Care Group</w:t>
            </w:r>
            <w:r w:rsidRPr="00F54910">
              <w:rPr>
                <w:rFonts w:cs="Arial"/>
                <w:b/>
              </w:rPr>
              <w:t xml:space="preserve"> of Individual</w:t>
            </w:r>
          </w:p>
        </w:tc>
        <w:tc>
          <w:tcPr>
            <w:tcW w:w="1984" w:type="dxa"/>
          </w:tcPr>
          <w:p w14:paraId="4914AE32" w14:textId="77777777" w:rsidR="00690EC6" w:rsidRPr="00F54910" w:rsidRDefault="00690EC6" w:rsidP="00C61EB5">
            <w:pPr>
              <w:rPr>
                <w:rFonts w:cs="Arial"/>
                <w:b/>
              </w:rPr>
            </w:pPr>
            <w:r w:rsidRPr="00F54910">
              <w:rPr>
                <w:rFonts w:cs="Arial"/>
                <w:b/>
              </w:rPr>
              <w:t>Date Consulted</w:t>
            </w:r>
          </w:p>
        </w:tc>
      </w:tr>
      <w:tr w:rsidR="00D05C0E" w:rsidRPr="00F54910" w14:paraId="2CF84C00" w14:textId="77777777" w:rsidTr="003509EB">
        <w:trPr>
          <w:trHeight w:val="397"/>
        </w:trPr>
        <w:tc>
          <w:tcPr>
            <w:tcW w:w="7797" w:type="dxa"/>
          </w:tcPr>
          <w:p w14:paraId="6BACCB22" w14:textId="77777777" w:rsidR="00D05C0E" w:rsidRPr="00B603CC" w:rsidRDefault="00DB60F6" w:rsidP="00DB60F6">
            <w:pPr>
              <w:pStyle w:val="TableParagraph"/>
              <w:spacing w:before="0"/>
              <w:ind w:left="0"/>
              <w:rPr>
                <w:rFonts w:ascii="Arial" w:hAnsi="Arial" w:cs="Arial"/>
                <w:sz w:val="24"/>
                <w:szCs w:val="24"/>
              </w:rPr>
            </w:pPr>
            <w:r>
              <w:rPr>
                <w:rFonts w:ascii="Arial" w:hAnsi="Arial" w:cs="Arial"/>
                <w:sz w:val="24"/>
                <w:szCs w:val="24"/>
              </w:rPr>
              <w:t xml:space="preserve"> </w:t>
            </w:r>
            <w:r w:rsidR="00D05C0E" w:rsidRPr="00B603CC">
              <w:rPr>
                <w:rFonts w:ascii="Arial" w:hAnsi="Arial" w:cs="Arial"/>
                <w:sz w:val="24"/>
                <w:szCs w:val="24"/>
              </w:rPr>
              <w:t>Associate Director of People &amp; Culture</w:t>
            </w:r>
          </w:p>
        </w:tc>
        <w:tc>
          <w:tcPr>
            <w:tcW w:w="1984" w:type="dxa"/>
          </w:tcPr>
          <w:p w14:paraId="5EF9B742"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14 June 2022</w:t>
            </w:r>
          </w:p>
        </w:tc>
      </w:tr>
      <w:tr w:rsidR="00D05C0E" w:rsidRPr="00F54910" w14:paraId="0FFCD398" w14:textId="77777777" w:rsidTr="003509EB">
        <w:trPr>
          <w:trHeight w:val="397"/>
        </w:trPr>
        <w:tc>
          <w:tcPr>
            <w:tcW w:w="7797" w:type="dxa"/>
          </w:tcPr>
          <w:p w14:paraId="4C885A7D" w14:textId="77777777" w:rsidR="00D05C0E" w:rsidRPr="00B603CC" w:rsidRDefault="00DB60F6" w:rsidP="00DB60F6">
            <w:pPr>
              <w:pStyle w:val="TableParagraph"/>
              <w:spacing w:before="0"/>
              <w:ind w:left="0"/>
              <w:rPr>
                <w:rFonts w:ascii="Arial" w:hAnsi="Arial" w:cs="Arial"/>
                <w:sz w:val="24"/>
                <w:szCs w:val="24"/>
              </w:rPr>
            </w:pPr>
            <w:r>
              <w:rPr>
                <w:rFonts w:ascii="Arial" w:hAnsi="Arial" w:cs="Arial"/>
                <w:sz w:val="24"/>
                <w:szCs w:val="24"/>
              </w:rPr>
              <w:t xml:space="preserve"> </w:t>
            </w:r>
            <w:r w:rsidR="00D05C0E" w:rsidRPr="00B603CC">
              <w:rPr>
                <w:rFonts w:ascii="Arial" w:hAnsi="Arial" w:cs="Arial"/>
                <w:sz w:val="24"/>
                <w:szCs w:val="24"/>
              </w:rPr>
              <w:t>Associate Director of Soft Facilities</w:t>
            </w:r>
            <w:r w:rsidR="00B603CC">
              <w:rPr>
                <w:rFonts w:ascii="Arial" w:hAnsi="Arial" w:cs="Arial"/>
                <w:sz w:val="24"/>
                <w:szCs w:val="24"/>
              </w:rPr>
              <w:t>,</w:t>
            </w:r>
            <w:r w:rsidR="00D05C0E" w:rsidRPr="00B603CC">
              <w:rPr>
                <w:rFonts w:ascii="Arial" w:hAnsi="Arial" w:cs="Arial"/>
                <w:sz w:val="24"/>
                <w:szCs w:val="24"/>
              </w:rPr>
              <w:t xml:space="preserve"> 2gether Support Solutions </w:t>
            </w:r>
          </w:p>
        </w:tc>
        <w:tc>
          <w:tcPr>
            <w:tcW w:w="1984" w:type="dxa"/>
          </w:tcPr>
          <w:p w14:paraId="260459FC"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15 June 2022</w:t>
            </w:r>
          </w:p>
        </w:tc>
      </w:tr>
      <w:tr w:rsidR="00D05C0E" w14:paraId="638F8C58" w14:textId="77777777" w:rsidTr="003509EB">
        <w:trPr>
          <w:trHeight w:val="434"/>
        </w:trPr>
        <w:tc>
          <w:tcPr>
            <w:tcW w:w="7797" w:type="dxa"/>
          </w:tcPr>
          <w:p w14:paraId="714E26C9" w14:textId="77777777" w:rsidR="00D05C0E" w:rsidRPr="00B603CC" w:rsidRDefault="00D05C0E" w:rsidP="00C61EB5">
            <w:pPr>
              <w:pStyle w:val="TableParagraph"/>
              <w:spacing w:before="0"/>
              <w:ind w:left="142"/>
              <w:rPr>
                <w:rFonts w:ascii="Arial" w:hAnsi="Arial" w:cs="Arial"/>
                <w:sz w:val="24"/>
                <w:szCs w:val="24"/>
              </w:rPr>
            </w:pPr>
            <w:r w:rsidRPr="00B603CC">
              <w:rPr>
                <w:rFonts w:ascii="Arial" w:hAnsi="Arial" w:cs="Arial"/>
                <w:sz w:val="24"/>
                <w:szCs w:val="24"/>
              </w:rPr>
              <w:t>Facilities Accommodation Manager</w:t>
            </w:r>
            <w:r w:rsidR="00B603CC">
              <w:rPr>
                <w:rFonts w:ascii="Arial" w:hAnsi="Arial" w:cs="Arial"/>
                <w:sz w:val="24"/>
                <w:szCs w:val="24"/>
              </w:rPr>
              <w:t>,</w:t>
            </w:r>
            <w:r w:rsidRPr="00B603CC">
              <w:rPr>
                <w:rFonts w:ascii="Arial" w:hAnsi="Arial" w:cs="Arial"/>
                <w:sz w:val="24"/>
                <w:szCs w:val="24"/>
              </w:rPr>
              <w:t xml:space="preserve"> 2gether Support Solutions</w:t>
            </w:r>
          </w:p>
        </w:tc>
        <w:tc>
          <w:tcPr>
            <w:tcW w:w="1984" w:type="dxa"/>
          </w:tcPr>
          <w:p w14:paraId="5E32F28A"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15 June 2022</w:t>
            </w:r>
          </w:p>
        </w:tc>
      </w:tr>
      <w:tr w:rsidR="00D05C0E" w14:paraId="7E2E44D5" w14:textId="77777777" w:rsidTr="003509EB">
        <w:trPr>
          <w:trHeight w:val="434"/>
        </w:trPr>
        <w:tc>
          <w:tcPr>
            <w:tcW w:w="7797" w:type="dxa"/>
          </w:tcPr>
          <w:p w14:paraId="1508019C" w14:textId="77777777" w:rsidR="00D05C0E" w:rsidRPr="00B603CC" w:rsidRDefault="00C11513" w:rsidP="00C61EB5">
            <w:pPr>
              <w:pStyle w:val="TableParagraph"/>
              <w:spacing w:before="0"/>
              <w:ind w:left="142"/>
              <w:rPr>
                <w:rFonts w:ascii="Arial" w:hAnsi="Arial" w:cs="Arial"/>
                <w:sz w:val="24"/>
                <w:szCs w:val="24"/>
              </w:rPr>
            </w:pPr>
            <w:r w:rsidRPr="00B603CC">
              <w:rPr>
                <w:rFonts w:ascii="Arial" w:hAnsi="Arial" w:cs="Arial"/>
                <w:sz w:val="24"/>
                <w:szCs w:val="24"/>
              </w:rPr>
              <w:t>Clinical Director for Medical Education</w:t>
            </w:r>
            <w:r w:rsidR="00D05C0E" w:rsidRPr="00B603CC">
              <w:rPr>
                <w:rFonts w:ascii="Arial" w:hAnsi="Arial" w:cs="Arial"/>
                <w:sz w:val="24"/>
                <w:szCs w:val="24"/>
              </w:rPr>
              <w:t xml:space="preserve"> </w:t>
            </w:r>
          </w:p>
        </w:tc>
        <w:tc>
          <w:tcPr>
            <w:tcW w:w="1984" w:type="dxa"/>
          </w:tcPr>
          <w:p w14:paraId="6F3277E3"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4 July 2022</w:t>
            </w:r>
          </w:p>
        </w:tc>
      </w:tr>
      <w:tr w:rsidR="00D05C0E" w14:paraId="50578FCD" w14:textId="77777777" w:rsidTr="003509EB">
        <w:trPr>
          <w:trHeight w:val="434"/>
        </w:trPr>
        <w:tc>
          <w:tcPr>
            <w:tcW w:w="7797" w:type="dxa"/>
          </w:tcPr>
          <w:p w14:paraId="5013ABDE" w14:textId="77777777" w:rsidR="00D05C0E" w:rsidRPr="00B603CC" w:rsidRDefault="00C11513" w:rsidP="00C61EB5">
            <w:pPr>
              <w:pStyle w:val="TableParagraph"/>
              <w:spacing w:before="0"/>
              <w:ind w:left="142"/>
              <w:rPr>
                <w:rFonts w:ascii="Arial" w:hAnsi="Arial" w:cs="Arial"/>
                <w:sz w:val="24"/>
                <w:szCs w:val="24"/>
              </w:rPr>
            </w:pPr>
            <w:r w:rsidRPr="00B603CC">
              <w:rPr>
                <w:rFonts w:ascii="Arial" w:hAnsi="Arial" w:cs="Arial"/>
                <w:sz w:val="24"/>
                <w:szCs w:val="24"/>
              </w:rPr>
              <w:t>Associate Director for Medical Education</w:t>
            </w:r>
          </w:p>
        </w:tc>
        <w:tc>
          <w:tcPr>
            <w:tcW w:w="1984" w:type="dxa"/>
          </w:tcPr>
          <w:p w14:paraId="1DB553AB"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4 July 2022</w:t>
            </w:r>
          </w:p>
        </w:tc>
      </w:tr>
      <w:tr w:rsidR="00D05C0E" w14:paraId="1D21D1F9" w14:textId="77777777" w:rsidTr="003509EB">
        <w:trPr>
          <w:trHeight w:val="434"/>
        </w:trPr>
        <w:tc>
          <w:tcPr>
            <w:tcW w:w="7797" w:type="dxa"/>
          </w:tcPr>
          <w:p w14:paraId="4A348CA8" w14:textId="77777777" w:rsidR="00D05C0E" w:rsidRPr="00B603CC" w:rsidRDefault="00C11513" w:rsidP="00C61EB5">
            <w:pPr>
              <w:pStyle w:val="TableParagraph"/>
              <w:spacing w:before="0"/>
              <w:ind w:left="142"/>
              <w:rPr>
                <w:rFonts w:ascii="Arial" w:hAnsi="Arial" w:cs="Arial"/>
                <w:sz w:val="24"/>
                <w:szCs w:val="24"/>
              </w:rPr>
            </w:pPr>
            <w:r w:rsidRPr="00B603CC">
              <w:rPr>
                <w:rFonts w:ascii="Arial" w:hAnsi="Arial" w:cs="Arial"/>
                <w:sz w:val="24"/>
                <w:szCs w:val="24"/>
              </w:rPr>
              <w:t xml:space="preserve">Chief </w:t>
            </w:r>
            <w:r w:rsidR="00D05C0E" w:rsidRPr="00B603CC">
              <w:rPr>
                <w:rFonts w:ascii="Arial" w:hAnsi="Arial" w:cs="Arial"/>
                <w:sz w:val="24"/>
                <w:szCs w:val="24"/>
              </w:rPr>
              <w:t xml:space="preserve">Medical Director </w:t>
            </w:r>
          </w:p>
        </w:tc>
        <w:tc>
          <w:tcPr>
            <w:tcW w:w="1984" w:type="dxa"/>
          </w:tcPr>
          <w:p w14:paraId="5D04D30F"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23 June 2022</w:t>
            </w:r>
          </w:p>
        </w:tc>
      </w:tr>
      <w:tr w:rsidR="00D05C0E" w14:paraId="4567BCE6" w14:textId="77777777" w:rsidTr="003509EB">
        <w:trPr>
          <w:trHeight w:val="434"/>
        </w:trPr>
        <w:tc>
          <w:tcPr>
            <w:tcW w:w="7797" w:type="dxa"/>
          </w:tcPr>
          <w:p w14:paraId="35810A09" w14:textId="77777777" w:rsidR="00D05C0E" w:rsidRPr="00B603CC" w:rsidRDefault="00C11513" w:rsidP="00C61EB5">
            <w:pPr>
              <w:pStyle w:val="TableParagraph"/>
              <w:spacing w:before="0"/>
              <w:ind w:left="142"/>
              <w:rPr>
                <w:rFonts w:ascii="Arial" w:hAnsi="Arial" w:cs="Arial"/>
                <w:sz w:val="24"/>
                <w:szCs w:val="24"/>
              </w:rPr>
            </w:pPr>
            <w:r w:rsidRPr="00B603CC">
              <w:rPr>
                <w:rFonts w:ascii="Arial" w:hAnsi="Arial" w:cs="Arial"/>
                <w:sz w:val="24"/>
                <w:szCs w:val="24"/>
              </w:rPr>
              <w:t>Chief Executive Officer</w:t>
            </w:r>
          </w:p>
        </w:tc>
        <w:tc>
          <w:tcPr>
            <w:tcW w:w="1984" w:type="dxa"/>
          </w:tcPr>
          <w:p w14:paraId="326AC72C"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23 June 2022</w:t>
            </w:r>
          </w:p>
        </w:tc>
      </w:tr>
      <w:tr w:rsidR="00D05C0E" w14:paraId="45EE13ED" w14:textId="77777777" w:rsidTr="003509EB">
        <w:trPr>
          <w:trHeight w:val="434"/>
        </w:trPr>
        <w:tc>
          <w:tcPr>
            <w:tcW w:w="7797" w:type="dxa"/>
          </w:tcPr>
          <w:p w14:paraId="37C69C32"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Chief Finance Officer</w:t>
            </w:r>
          </w:p>
        </w:tc>
        <w:tc>
          <w:tcPr>
            <w:tcW w:w="1984" w:type="dxa"/>
          </w:tcPr>
          <w:p w14:paraId="5962FF6E" w14:textId="77777777" w:rsidR="00D05C0E" w:rsidRPr="00B603CC" w:rsidRDefault="00A30F16" w:rsidP="00C61EB5">
            <w:pPr>
              <w:pStyle w:val="TableParagraph"/>
              <w:spacing w:before="0"/>
              <w:ind w:left="142"/>
              <w:jc w:val="center"/>
              <w:rPr>
                <w:rFonts w:ascii="Arial" w:hAnsi="Arial" w:cs="Arial"/>
                <w:sz w:val="24"/>
                <w:szCs w:val="24"/>
              </w:rPr>
            </w:pPr>
            <w:r w:rsidRPr="00B603CC">
              <w:rPr>
                <w:rFonts w:ascii="Arial" w:hAnsi="Arial" w:cs="Arial"/>
                <w:sz w:val="24"/>
                <w:szCs w:val="24"/>
              </w:rPr>
              <w:t>6 J</w:t>
            </w:r>
            <w:r w:rsidR="00D05C0E" w:rsidRPr="00B603CC">
              <w:rPr>
                <w:rFonts w:ascii="Arial" w:hAnsi="Arial" w:cs="Arial"/>
                <w:sz w:val="24"/>
                <w:szCs w:val="24"/>
              </w:rPr>
              <w:t>uly 2022</w:t>
            </w:r>
          </w:p>
        </w:tc>
      </w:tr>
      <w:tr w:rsidR="00D05C0E" w14:paraId="7513A901" w14:textId="77777777" w:rsidTr="003509EB">
        <w:trPr>
          <w:trHeight w:val="434"/>
        </w:trPr>
        <w:tc>
          <w:tcPr>
            <w:tcW w:w="7797" w:type="dxa"/>
          </w:tcPr>
          <w:p w14:paraId="597F3354"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Chief People Officer</w:t>
            </w:r>
          </w:p>
        </w:tc>
        <w:tc>
          <w:tcPr>
            <w:tcW w:w="1984" w:type="dxa"/>
          </w:tcPr>
          <w:p w14:paraId="7FE0FB3F" w14:textId="77777777" w:rsidR="00D05C0E" w:rsidRPr="00B603CC" w:rsidRDefault="00D05C0E" w:rsidP="00C61EB5">
            <w:pPr>
              <w:pStyle w:val="TableParagraph"/>
              <w:spacing w:before="0"/>
              <w:ind w:left="142"/>
              <w:jc w:val="center"/>
              <w:rPr>
                <w:rFonts w:ascii="Arial" w:hAnsi="Arial" w:cs="Arial"/>
                <w:sz w:val="24"/>
                <w:szCs w:val="24"/>
              </w:rPr>
            </w:pPr>
            <w:r w:rsidRPr="00B603CC">
              <w:rPr>
                <w:rFonts w:ascii="Arial" w:hAnsi="Arial" w:cs="Arial"/>
                <w:sz w:val="24"/>
                <w:szCs w:val="24"/>
              </w:rPr>
              <w:t>6 July 2022</w:t>
            </w:r>
          </w:p>
        </w:tc>
      </w:tr>
      <w:tr w:rsidR="00D05C0E" w14:paraId="609F4FD4" w14:textId="77777777" w:rsidTr="003509EB">
        <w:trPr>
          <w:trHeight w:val="434"/>
        </w:trPr>
        <w:tc>
          <w:tcPr>
            <w:tcW w:w="7797" w:type="dxa"/>
          </w:tcPr>
          <w:p w14:paraId="0E4774CA"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Chief Nursing and Midwifery Officer</w:t>
            </w:r>
          </w:p>
        </w:tc>
        <w:tc>
          <w:tcPr>
            <w:tcW w:w="1984" w:type="dxa"/>
          </w:tcPr>
          <w:p w14:paraId="665832BC"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5AD60A0D" w14:textId="77777777" w:rsidTr="003509EB">
        <w:trPr>
          <w:trHeight w:val="434"/>
        </w:trPr>
        <w:tc>
          <w:tcPr>
            <w:tcW w:w="7797" w:type="dxa"/>
          </w:tcPr>
          <w:p w14:paraId="5AC669AE"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Chief Operating Officer</w:t>
            </w:r>
          </w:p>
        </w:tc>
        <w:tc>
          <w:tcPr>
            <w:tcW w:w="1984" w:type="dxa"/>
          </w:tcPr>
          <w:p w14:paraId="08D1271C"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37F3AD00" w14:textId="77777777" w:rsidTr="003509EB">
        <w:trPr>
          <w:trHeight w:val="434"/>
        </w:trPr>
        <w:tc>
          <w:tcPr>
            <w:tcW w:w="7797" w:type="dxa"/>
          </w:tcPr>
          <w:p w14:paraId="604C8D5B"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Deputy Chief Operating Officer</w:t>
            </w:r>
          </w:p>
        </w:tc>
        <w:tc>
          <w:tcPr>
            <w:tcW w:w="1984" w:type="dxa"/>
          </w:tcPr>
          <w:p w14:paraId="73D7C6D4"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175D7ADE" w14:textId="77777777" w:rsidTr="003509EB">
        <w:trPr>
          <w:trHeight w:val="434"/>
        </w:trPr>
        <w:tc>
          <w:tcPr>
            <w:tcW w:w="7797" w:type="dxa"/>
          </w:tcPr>
          <w:p w14:paraId="1A40A7C1"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Acting Deputy Chief Nursing Officer</w:t>
            </w:r>
          </w:p>
        </w:tc>
        <w:tc>
          <w:tcPr>
            <w:tcW w:w="1984" w:type="dxa"/>
          </w:tcPr>
          <w:p w14:paraId="3D7046EB"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789ABBF7" w14:textId="77777777" w:rsidTr="003509EB">
        <w:trPr>
          <w:trHeight w:val="434"/>
        </w:trPr>
        <w:tc>
          <w:tcPr>
            <w:tcW w:w="7797" w:type="dxa"/>
          </w:tcPr>
          <w:p w14:paraId="783F53C9"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 xml:space="preserve">Deputy Director of Human Resources </w:t>
            </w:r>
          </w:p>
        </w:tc>
        <w:tc>
          <w:tcPr>
            <w:tcW w:w="1984" w:type="dxa"/>
          </w:tcPr>
          <w:p w14:paraId="307E4E9D"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2AFCDB82" w14:textId="77777777" w:rsidTr="003509EB">
        <w:trPr>
          <w:trHeight w:val="434"/>
        </w:trPr>
        <w:tc>
          <w:tcPr>
            <w:tcW w:w="7797" w:type="dxa"/>
          </w:tcPr>
          <w:p w14:paraId="6329F840"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Deputy Director of Human Resources</w:t>
            </w:r>
          </w:p>
        </w:tc>
        <w:tc>
          <w:tcPr>
            <w:tcW w:w="1984" w:type="dxa"/>
          </w:tcPr>
          <w:p w14:paraId="5C25A376"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B603CC" w14:paraId="68A99D5C" w14:textId="77777777" w:rsidTr="003509EB">
        <w:trPr>
          <w:trHeight w:val="434"/>
        </w:trPr>
        <w:tc>
          <w:tcPr>
            <w:tcW w:w="7797" w:type="dxa"/>
          </w:tcPr>
          <w:p w14:paraId="417DC472" w14:textId="77777777" w:rsidR="00B603CC" w:rsidRPr="00B603CC" w:rsidRDefault="00B603CC" w:rsidP="00B603CC">
            <w:pPr>
              <w:pStyle w:val="TableParagraph"/>
              <w:spacing w:before="0"/>
              <w:ind w:left="142"/>
              <w:rPr>
                <w:rFonts w:ascii="Arial" w:hAnsi="Arial" w:cs="Arial"/>
                <w:sz w:val="24"/>
                <w:szCs w:val="24"/>
              </w:rPr>
            </w:pPr>
            <w:r w:rsidRPr="00B603CC">
              <w:rPr>
                <w:rFonts w:ascii="Arial" w:hAnsi="Arial" w:cs="Arial"/>
                <w:sz w:val="24"/>
                <w:szCs w:val="24"/>
              </w:rPr>
              <w:lastRenderedPageBreak/>
              <w:t>Clinical Director William Harvey</w:t>
            </w:r>
          </w:p>
        </w:tc>
        <w:tc>
          <w:tcPr>
            <w:tcW w:w="1984" w:type="dxa"/>
          </w:tcPr>
          <w:p w14:paraId="10E6286D" w14:textId="77777777" w:rsidR="00B603CC" w:rsidRPr="00B603CC" w:rsidRDefault="00B603CC"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6E604A39" w14:textId="77777777" w:rsidTr="003509EB">
        <w:trPr>
          <w:trHeight w:val="434"/>
        </w:trPr>
        <w:tc>
          <w:tcPr>
            <w:tcW w:w="7797" w:type="dxa"/>
          </w:tcPr>
          <w:p w14:paraId="4E06C25D"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Operational Director William Harvey</w:t>
            </w:r>
          </w:p>
        </w:tc>
        <w:tc>
          <w:tcPr>
            <w:tcW w:w="1984" w:type="dxa"/>
          </w:tcPr>
          <w:p w14:paraId="745B51DC"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066E9C62" w14:textId="77777777" w:rsidTr="003509EB">
        <w:trPr>
          <w:trHeight w:val="434"/>
        </w:trPr>
        <w:tc>
          <w:tcPr>
            <w:tcW w:w="7797" w:type="dxa"/>
          </w:tcPr>
          <w:p w14:paraId="7F0C5CB9"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 xml:space="preserve">Nurse Director William Harvey </w:t>
            </w:r>
          </w:p>
        </w:tc>
        <w:tc>
          <w:tcPr>
            <w:tcW w:w="1984" w:type="dxa"/>
          </w:tcPr>
          <w:p w14:paraId="184E1454"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3EDA987E" w14:textId="77777777" w:rsidTr="003509EB">
        <w:trPr>
          <w:trHeight w:val="434"/>
        </w:trPr>
        <w:tc>
          <w:tcPr>
            <w:tcW w:w="7797" w:type="dxa"/>
          </w:tcPr>
          <w:p w14:paraId="5C72021D"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 xml:space="preserve">Operational Director Kent and Canterbury Hospital </w:t>
            </w:r>
          </w:p>
        </w:tc>
        <w:tc>
          <w:tcPr>
            <w:tcW w:w="1984" w:type="dxa"/>
          </w:tcPr>
          <w:p w14:paraId="1CC7FA50"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1C8363B5" w14:textId="77777777" w:rsidTr="003509EB">
        <w:trPr>
          <w:trHeight w:val="434"/>
        </w:trPr>
        <w:tc>
          <w:tcPr>
            <w:tcW w:w="7797" w:type="dxa"/>
          </w:tcPr>
          <w:p w14:paraId="6318F3E9"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Nurse Director QEQM</w:t>
            </w:r>
          </w:p>
        </w:tc>
        <w:tc>
          <w:tcPr>
            <w:tcW w:w="1984" w:type="dxa"/>
          </w:tcPr>
          <w:p w14:paraId="4F521F30"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01ABD50F" w14:textId="77777777" w:rsidTr="003509EB">
        <w:trPr>
          <w:trHeight w:val="434"/>
        </w:trPr>
        <w:tc>
          <w:tcPr>
            <w:tcW w:w="7797" w:type="dxa"/>
          </w:tcPr>
          <w:p w14:paraId="7794E679"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Care Group Triumvirates</w:t>
            </w:r>
          </w:p>
        </w:tc>
        <w:tc>
          <w:tcPr>
            <w:tcW w:w="1984" w:type="dxa"/>
          </w:tcPr>
          <w:p w14:paraId="265ABA5A"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679D708F" w14:textId="77777777" w:rsidTr="003509EB">
        <w:trPr>
          <w:trHeight w:val="434"/>
        </w:trPr>
        <w:tc>
          <w:tcPr>
            <w:tcW w:w="7797" w:type="dxa"/>
          </w:tcPr>
          <w:p w14:paraId="38194311" w14:textId="77777777" w:rsidR="00D05C0E" w:rsidRPr="00B603CC" w:rsidRDefault="00166CE0" w:rsidP="00C61EB5">
            <w:pPr>
              <w:pStyle w:val="TableParagraph"/>
              <w:spacing w:before="0"/>
              <w:ind w:left="142"/>
              <w:rPr>
                <w:rFonts w:ascii="Arial" w:hAnsi="Arial" w:cs="Arial"/>
                <w:sz w:val="24"/>
                <w:szCs w:val="24"/>
              </w:rPr>
            </w:pPr>
            <w:r>
              <w:rPr>
                <w:rFonts w:ascii="Arial" w:hAnsi="Arial" w:cs="Arial"/>
                <w:sz w:val="24"/>
                <w:szCs w:val="24"/>
              </w:rPr>
              <w:t xml:space="preserve">Trust </w:t>
            </w:r>
            <w:r w:rsidRPr="00166CE0">
              <w:rPr>
                <w:rFonts w:ascii="Arial" w:hAnsi="Arial" w:cs="Arial"/>
                <w:sz w:val="24"/>
                <w:szCs w:val="24"/>
              </w:rPr>
              <w:t>Head of Legal Services</w:t>
            </w:r>
          </w:p>
        </w:tc>
        <w:tc>
          <w:tcPr>
            <w:tcW w:w="1984" w:type="dxa"/>
          </w:tcPr>
          <w:p w14:paraId="3C2EB9DF"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712A13B6" w14:textId="77777777" w:rsidTr="003509EB">
        <w:trPr>
          <w:trHeight w:val="434"/>
        </w:trPr>
        <w:tc>
          <w:tcPr>
            <w:tcW w:w="7797" w:type="dxa"/>
          </w:tcPr>
          <w:p w14:paraId="1DF401E8" w14:textId="77777777" w:rsidR="00D05C0E" w:rsidRPr="00B603CC" w:rsidRDefault="00D05C0E" w:rsidP="00B603CC">
            <w:pPr>
              <w:pStyle w:val="TableParagraph"/>
              <w:spacing w:before="0"/>
              <w:ind w:left="142"/>
              <w:rPr>
                <w:rFonts w:ascii="Arial" w:hAnsi="Arial" w:cs="Arial"/>
                <w:sz w:val="24"/>
                <w:szCs w:val="24"/>
              </w:rPr>
            </w:pPr>
            <w:r w:rsidRPr="00B603CC">
              <w:rPr>
                <w:rFonts w:ascii="Arial" w:hAnsi="Arial" w:cs="Arial"/>
                <w:sz w:val="24"/>
                <w:szCs w:val="24"/>
              </w:rPr>
              <w:t xml:space="preserve">Managing Director of 2gether Support Solutions </w:t>
            </w:r>
          </w:p>
        </w:tc>
        <w:tc>
          <w:tcPr>
            <w:tcW w:w="1984" w:type="dxa"/>
          </w:tcPr>
          <w:p w14:paraId="34F9E099"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r w:rsidR="00D05C0E" w14:paraId="256CDB54" w14:textId="77777777" w:rsidTr="003509EB">
        <w:trPr>
          <w:trHeight w:val="434"/>
        </w:trPr>
        <w:tc>
          <w:tcPr>
            <w:tcW w:w="7797" w:type="dxa"/>
          </w:tcPr>
          <w:p w14:paraId="76432DEA" w14:textId="77777777" w:rsidR="00D05C0E" w:rsidRPr="00B603CC" w:rsidRDefault="00D05C0E" w:rsidP="00C61EB5">
            <w:pPr>
              <w:pStyle w:val="TableParagraph"/>
              <w:spacing w:before="0"/>
              <w:ind w:left="142"/>
              <w:rPr>
                <w:rFonts w:ascii="Arial" w:hAnsi="Arial" w:cs="Arial"/>
                <w:sz w:val="24"/>
                <w:szCs w:val="24"/>
              </w:rPr>
            </w:pPr>
            <w:r w:rsidRPr="00B603CC">
              <w:rPr>
                <w:rFonts w:ascii="Arial" w:hAnsi="Arial" w:cs="Arial"/>
                <w:sz w:val="24"/>
                <w:szCs w:val="24"/>
              </w:rPr>
              <w:t>Director of Soft Facilities 2gether Support Solutions</w:t>
            </w:r>
          </w:p>
        </w:tc>
        <w:tc>
          <w:tcPr>
            <w:tcW w:w="1984" w:type="dxa"/>
          </w:tcPr>
          <w:p w14:paraId="0A457381" w14:textId="77777777" w:rsidR="00D05C0E" w:rsidRPr="00B603CC" w:rsidRDefault="00D05C0E" w:rsidP="00C61EB5">
            <w:pPr>
              <w:pStyle w:val="TableParagraph"/>
              <w:spacing w:before="0"/>
              <w:ind w:left="105"/>
              <w:jc w:val="center"/>
              <w:rPr>
                <w:rFonts w:ascii="Arial" w:hAnsi="Arial" w:cs="Arial"/>
                <w:sz w:val="24"/>
                <w:szCs w:val="24"/>
              </w:rPr>
            </w:pPr>
            <w:r w:rsidRPr="00B603CC">
              <w:rPr>
                <w:rFonts w:ascii="Arial" w:hAnsi="Arial" w:cs="Arial"/>
                <w:sz w:val="24"/>
                <w:szCs w:val="24"/>
              </w:rPr>
              <w:t>6 July 2022</w:t>
            </w:r>
          </w:p>
        </w:tc>
      </w:tr>
    </w:tbl>
    <w:p w14:paraId="5C26F995" w14:textId="77777777" w:rsidR="00690EC6" w:rsidRDefault="00690EC6" w:rsidP="000B62FF">
      <w:pPr>
        <w:spacing w:before="60" w:after="60"/>
        <w:ind w:firstLine="181"/>
        <w:rPr>
          <w:rFonts w:cs="Arial"/>
          <w:b/>
        </w:rPr>
      </w:pPr>
    </w:p>
    <w:tbl>
      <w:tblPr>
        <w:tblStyle w:val="TableGrid1"/>
        <w:tblW w:w="9747" w:type="dxa"/>
        <w:tblLook w:val="04A0" w:firstRow="1" w:lastRow="0" w:firstColumn="1" w:lastColumn="0" w:noHBand="0" w:noVBand="1"/>
      </w:tblPr>
      <w:tblGrid>
        <w:gridCol w:w="7792"/>
        <w:gridCol w:w="1955"/>
      </w:tblGrid>
      <w:tr w:rsidR="00690EC6" w:rsidRPr="00F54910" w14:paraId="587C30C3" w14:textId="77777777" w:rsidTr="003509EB">
        <w:trPr>
          <w:trHeight w:val="397"/>
        </w:trPr>
        <w:tc>
          <w:tcPr>
            <w:tcW w:w="7792" w:type="dxa"/>
          </w:tcPr>
          <w:p w14:paraId="5E41C1B0" w14:textId="77777777" w:rsidR="00690EC6" w:rsidRPr="00F54910" w:rsidRDefault="00690EC6" w:rsidP="000D0D5C">
            <w:pPr>
              <w:contextualSpacing/>
              <w:rPr>
                <w:rFonts w:cs="Arial"/>
                <w:b/>
              </w:rPr>
            </w:pPr>
            <w:r w:rsidRPr="00F54910">
              <w:rPr>
                <w:rFonts w:cs="Arial"/>
                <w:b/>
              </w:rPr>
              <w:t>Name of Committee</w:t>
            </w:r>
          </w:p>
        </w:tc>
        <w:tc>
          <w:tcPr>
            <w:tcW w:w="1955" w:type="dxa"/>
          </w:tcPr>
          <w:p w14:paraId="1BB060BF" w14:textId="77777777" w:rsidR="00690EC6" w:rsidRPr="00F54910" w:rsidRDefault="00690EC6" w:rsidP="000D0D5C">
            <w:pPr>
              <w:rPr>
                <w:rFonts w:cs="Arial"/>
                <w:b/>
              </w:rPr>
            </w:pPr>
            <w:r w:rsidRPr="00F54910">
              <w:rPr>
                <w:rFonts w:cs="Arial"/>
                <w:b/>
              </w:rPr>
              <w:t>Date Reviewed</w:t>
            </w:r>
          </w:p>
        </w:tc>
      </w:tr>
      <w:tr w:rsidR="00690EC6" w:rsidRPr="00F54910" w14:paraId="04251C3E" w14:textId="77777777" w:rsidTr="003509EB">
        <w:trPr>
          <w:trHeight w:val="397"/>
        </w:trPr>
        <w:tc>
          <w:tcPr>
            <w:tcW w:w="7792" w:type="dxa"/>
          </w:tcPr>
          <w:p w14:paraId="2F679D94" w14:textId="77777777" w:rsidR="00690EC6" w:rsidRPr="00251DBC" w:rsidRDefault="00D05C0E" w:rsidP="000D0D5C">
            <w:pPr>
              <w:rPr>
                <w:rFonts w:cs="Arial"/>
              </w:rPr>
            </w:pPr>
            <w:r w:rsidRPr="00D05C0E">
              <w:rPr>
                <w:rFonts w:cs="Arial"/>
              </w:rPr>
              <w:t>Accommodation Steering Group</w:t>
            </w:r>
          </w:p>
        </w:tc>
        <w:tc>
          <w:tcPr>
            <w:tcW w:w="1955" w:type="dxa"/>
          </w:tcPr>
          <w:p w14:paraId="35151075" w14:textId="77777777" w:rsidR="00690EC6" w:rsidRPr="00251DBC" w:rsidRDefault="0037458D" w:rsidP="00C61EB5">
            <w:pPr>
              <w:jc w:val="center"/>
              <w:rPr>
                <w:rFonts w:cs="Arial"/>
              </w:rPr>
            </w:pPr>
            <w:r>
              <w:rPr>
                <w:rFonts w:cs="Arial"/>
              </w:rPr>
              <w:t>13 July</w:t>
            </w:r>
            <w:r w:rsidR="00A30F16">
              <w:rPr>
                <w:rFonts w:cs="Arial"/>
              </w:rPr>
              <w:t xml:space="preserve"> 2022</w:t>
            </w:r>
          </w:p>
        </w:tc>
      </w:tr>
      <w:tr w:rsidR="00690EC6" w:rsidRPr="00F54910" w14:paraId="4BD38B81" w14:textId="77777777" w:rsidTr="003509EB">
        <w:trPr>
          <w:trHeight w:val="397"/>
        </w:trPr>
        <w:tc>
          <w:tcPr>
            <w:tcW w:w="7792" w:type="dxa"/>
          </w:tcPr>
          <w:p w14:paraId="1EB931CB" w14:textId="77777777" w:rsidR="00690EC6" w:rsidRPr="00251DBC" w:rsidRDefault="00D05C0E" w:rsidP="000D0D5C">
            <w:pPr>
              <w:rPr>
                <w:rFonts w:cs="Arial"/>
              </w:rPr>
            </w:pPr>
            <w:r>
              <w:rPr>
                <w:rFonts w:cs="Arial"/>
              </w:rPr>
              <w:t>Policy Authorisation Group</w:t>
            </w:r>
          </w:p>
        </w:tc>
        <w:tc>
          <w:tcPr>
            <w:tcW w:w="1955" w:type="dxa"/>
          </w:tcPr>
          <w:p w14:paraId="41B80639" w14:textId="77777777" w:rsidR="00690EC6" w:rsidRPr="00251DBC" w:rsidRDefault="00702056" w:rsidP="00C61EB5">
            <w:pPr>
              <w:jc w:val="center"/>
              <w:rPr>
                <w:rFonts w:cs="Arial"/>
              </w:rPr>
            </w:pPr>
            <w:r>
              <w:rPr>
                <w:rFonts w:cs="Arial"/>
              </w:rPr>
              <w:t xml:space="preserve">20 </w:t>
            </w:r>
            <w:r w:rsidR="006A6FD0">
              <w:rPr>
                <w:rFonts w:cs="Arial"/>
              </w:rPr>
              <w:t>July</w:t>
            </w:r>
            <w:r>
              <w:rPr>
                <w:rFonts w:cs="Arial"/>
              </w:rPr>
              <w:t xml:space="preserve"> 2022</w:t>
            </w:r>
          </w:p>
        </w:tc>
      </w:tr>
    </w:tbl>
    <w:p w14:paraId="0D9BA2B1" w14:textId="77777777" w:rsidR="000B62FF" w:rsidRDefault="000B62FF" w:rsidP="000B62FF">
      <w:pPr>
        <w:pStyle w:val="SectionTitle"/>
        <w:spacing w:before="360"/>
      </w:pPr>
      <w:r>
        <w:t>Summary of Key Changes from Last Approved Version</w:t>
      </w:r>
    </w:p>
    <w:p w14:paraId="26BD1713" w14:textId="77777777" w:rsidR="000B62FF" w:rsidRDefault="00D05C0E" w:rsidP="000B62FF">
      <w:r w:rsidRPr="00D05C0E">
        <w:t>This version of the policy represents a periodic update and changes to some areas of terminology following changes in the wider NHS.</w:t>
      </w:r>
    </w:p>
    <w:p w14:paraId="3F2B0546" w14:textId="77777777" w:rsidR="00D5698E" w:rsidRDefault="00D5698E" w:rsidP="00F47948">
      <w:pPr>
        <w:pStyle w:val="SectionTitle"/>
        <w:spacing w:before="360"/>
      </w:pPr>
      <w:r>
        <w:t>Associated Documentation</w:t>
      </w:r>
    </w:p>
    <w:p w14:paraId="7076324E" w14:textId="77777777" w:rsidR="00D05C0E" w:rsidRDefault="00D05C0E" w:rsidP="00F2720B">
      <w:pPr>
        <w:rPr>
          <w:rFonts w:cs="Arial"/>
          <w:szCs w:val="22"/>
        </w:rPr>
      </w:pPr>
      <w:r w:rsidRPr="00D05C0E">
        <w:rPr>
          <w:rFonts w:cs="Arial"/>
          <w:szCs w:val="22"/>
        </w:rPr>
        <w:t xml:space="preserve">EKHUFT Management of Violence &amp; Aggression Policy </w:t>
      </w:r>
    </w:p>
    <w:p w14:paraId="0174DF6A" w14:textId="77777777" w:rsidR="00D05C0E" w:rsidRPr="00D05C0E" w:rsidRDefault="00D05C0E" w:rsidP="00F2720B">
      <w:pPr>
        <w:rPr>
          <w:rFonts w:cs="Arial"/>
          <w:szCs w:val="22"/>
        </w:rPr>
      </w:pPr>
      <w:r w:rsidRPr="00D05C0E">
        <w:rPr>
          <w:rFonts w:cs="Arial"/>
          <w:szCs w:val="22"/>
        </w:rPr>
        <w:t>EKHUFT Health and Safety Policy</w:t>
      </w:r>
    </w:p>
    <w:p w14:paraId="7BAB8965" w14:textId="77777777" w:rsidR="00D05C0E" w:rsidRDefault="00D05C0E" w:rsidP="00F2720B">
      <w:pPr>
        <w:rPr>
          <w:rFonts w:cs="Arial"/>
          <w:szCs w:val="22"/>
        </w:rPr>
      </w:pPr>
      <w:r w:rsidRPr="00D05C0E">
        <w:rPr>
          <w:rFonts w:cs="Arial"/>
          <w:szCs w:val="22"/>
        </w:rPr>
        <w:t xml:space="preserve">EKHUFT Information Governance Policy </w:t>
      </w:r>
    </w:p>
    <w:p w14:paraId="7EC2E81E" w14:textId="77777777" w:rsidR="00D05C0E" w:rsidRDefault="00D05C0E" w:rsidP="00F2720B">
      <w:pPr>
        <w:rPr>
          <w:rFonts w:cs="Arial"/>
          <w:szCs w:val="22"/>
        </w:rPr>
      </w:pPr>
      <w:r w:rsidRPr="00D05C0E">
        <w:rPr>
          <w:rFonts w:cs="Arial"/>
          <w:szCs w:val="22"/>
        </w:rPr>
        <w:t xml:space="preserve">EKHUFT Information Security Policy </w:t>
      </w:r>
    </w:p>
    <w:p w14:paraId="164FB904" w14:textId="77777777" w:rsidR="00D05C0E" w:rsidRPr="00D05C0E" w:rsidRDefault="00D05C0E" w:rsidP="00F2720B">
      <w:pPr>
        <w:rPr>
          <w:rFonts w:cs="Arial"/>
          <w:szCs w:val="22"/>
        </w:rPr>
      </w:pPr>
      <w:r w:rsidRPr="00D05C0E">
        <w:rPr>
          <w:rFonts w:cs="Arial"/>
          <w:szCs w:val="22"/>
        </w:rPr>
        <w:t>EKHUFT Lone Worker Policy</w:t>
      </w:r>
    </w:p>
    <w:p w14:paraId="0B799A82" w14:textId="77777777" w:rsidR="00D05C0E" w:rsidRDefault="00D05C0E" w:rsidP="00F2720B">
      <w:pPr>
        <w:rPr>
          <w:rFonts w:cs="Arial"/>
          <w:szCs w:val="22"/>
        </w:rPr>
      </w:pPr>
      <w:r w:rsidRPr="00D05C0E">
        <w:rPr>
          <w:rFonts w:cs="Arial"/>
          <w:szCs w:val="22"/>
        </w:rPr>
        <w:t xml:space="preserve">EKHUFT Major Incident Plan </w:t>
      </w:r>
    </w:p>
    <w:p w14:paraId="53292EB7" w14:textId="77777777" w:rsidR="00D05C0E" w:rsidRPr="00D05C0E" w:rsidRDefault="00D05C0E" w:rsidP="00F2720B">
      <w:pPr>
        <w:rPr>
          <w:rFonts w:cs="Arial"/>
          <w:szCs w:val="22"/>
        </w:rPr>
      </w:pPr>
      <w:r w:rsidRPr="00D05C0E">
        <w:rPr>
          <w:rFonts w:cs="Arial"/>
          <w:szCs w:val="22"/>
        </w:rPr>
        <w:t>EKHUFT Freedom to Speak Up Policy</w:t>
      </w:r>
    </w:p>
    <w:p w14:paraId="6DF1F2E0" w14:textId="77777777" w:rsidR="00D05C0E" w:rsidRDefault="00D05C0E" w:rsidP="00F2720B">
      <w:pPr>
        <w:rPr>
          <w:rFonts w:cs="Arial"/>
          <w:szCs w:val="22"/>
        </w:rPr>
      </w:pPr>
      <w:r w:rsidRPr="00D05C0E">
        <w:rPr>
          <w:rFonts w:cs="Arial"/>
          <w:szCs w:val="22"/>
        </w:rPr>
        <w:t xml:space="preserve">EKHUFT Anti-Fraud, Bribery and Corruption Policy </w:t>
      </w:r>
    </w:p>
    <w:p w14:paraId="75FF77C1" w14:textId="77777777" w:rsidR="00D05C0E" w:rsidRPr="00D05C0E" w:rsidRDefault="00D05C0E" w:rsidP="00F2720B">
      <w:pPr>
        <w:rPr>
          <w:rFonts w:cs="Arial"/>
          <w:szCs w:val="22"/>
        </w:rPr>
      </w:pPr>
      <w:r w:rsidRPr="00D05C0E">
        <w:rPr>
          <w:rFonts w:cs="Arial"/>
          <w:szCs w:val="22"/>
        </w:rPr>
        <w:t>EKHUFT Local Security Procedures</w:t>
      </w:r>
    </w:p>
    <w:p w14:paraId="64A21508" w14:textId="77777777" w:rsidR="00C900D2" w:rsidRPr="00871C1C" w:rsidRDefault="00D05C0E" w:rsidP="00F2720B">
      <w:pPr>
        <w:rPr>
          <w:rFonts w:cs="Arial"/>
          <w:szCs w:val="22"/>
        </w:rPr>
      </w:pPr>
      <w:r w:rsidRPr="00D05C0E">
        <w:rPr>
          <w:rFonts w:cs="Arial"/>
          <w:szCs w:val="22"/>
        </w:rPr>
        <w:t>Residential Accommodation Service Level Agreement with 2gether Support Services</w:t>
      </w:r>
    </w:p>
    <w:p w14:paraId="60516D40" w14:textId="77777777" w:rsidR="003509EB" w:rsidRDefault="00ED535B" w:rsidP="00B932B0">
      <w:pPr>
        <w:pStyle w:val="SectionTitle"/>
        <w:rPr>
          <w:noProof/>
        </w:rPr>
      </w:pPr>
      <w:r>
        <w:br w:type="page"/>
      </w:r>
      <w:r w:rsidR="00D40ED0">
        <w:lastRenderedPageBreak/>
        <w:t>Contents</w:t>
      </w:r>
      <w:r w:rsidR="000A1E88">
        <w:fldChar w:fldCharType="begin"/>
      </w:r>
      <w:r w:rsidR="000A1E88">
        <w:instrText xml:space="preserve"> TOC \o "1-3" \h \z \u </w:instrText>
      </w:r>
      <w:r w:rsidR="000A1E88">
        <w:fldChar w:fldCharType="separate"/>
      </w:r>
    </w:p>
    <w:p w14:paraId="2ED9163B" w14:textId="2D29E578" w:rsidR="003509EB" w:rsidRDefault="003509EB">
      <w:pPr>
        <w:pStyle w:val="TOC1"/>
        <w:rPr>
          <w:rFonts w:asciiTheme="minorHAnsi" w:eastAsiaTheme="minorEastAsia" w:hAnsiTheme="minorHAnsi" w:cstheme="minorBidi"/>
          <w:noProof/>
          <w:sz w:val="22"/>
          <w:szCs w:val="22"/>
        </w:rPr>
      </w:pPr>
      <w:hyperlink w:anchor="_Toc174092980" w:history="1">
        <w:r w:rsidRPr="005122A0">
          <w:rPr>
            <w:rStyle w:val="Hyperlink"/>
            <w:noProof/>
          </w:rPr>
          <w:t>1.</w:t>
        </w:r>
        <w:r>
          <w:rPr>
            <w:rFonts w:asciiTheme="minorHAnsi" w:eastAsiaTheme="minorEastAsia" w:hAnsiTheme="minorHAnsi" w:cstheme="minorBidi"/>
            <w:noProof/>
            <w:sz w:val="22"/>
            <w:szCs w:val="22"/>
          </w:rPr>
          <w:tab/>
        </w:r>
        <w:r w:rsidRPr="005122A0">
          <w:rPr>
            <w:rStyle w:val="Hyperlink"/>
            <w:noProof/>
          </w:rPr>
          <w:t>Policy Description</w:t>
        </w:r>
        <w:r>
          <w:rPr>
            <w:noProof/>
            <w:webHidden/>
          </w:rPr>
          <w:tab/>
        </w:r>
        <w:r>
          <w:rPr>
            <w:noProof/>
            <w:webHidden/>
          </w:rPr>
          <w:fldChar w:fldCharType="begin"/>
        </w:r>
        <w:r>
          <w:rPr>
            <w:noProof/>
            <w:webHidden/>
          </w:rPr>
          <w:instrText xml:space="preserve"> PAGEREF _Toc174092980 \h </w:instrText>
        </w:r>
        <w:r>
          <w:rPr>
            <w:noProof/>
            <w:webHidden/>
          </w:rPr>
        </w:r>
        <w:r>
          <w:rPr>
            <w:noProof/>
            <w:webHidden/>
          </w:rPr>
          <w:fldChar w:fldCharType="separate"/>
        </w:r>
        <w:r>
          <w:rPr>
            <w:noProof/>
            <w:webHidden/>
          </w:rPr>
          <w:t>5</w:t>
        </w:r>
        <w:r>
          <w:rPr>
            <w:noProof/>
            <w:webHidden/>
          </w:rPr>
          <w:fldChar w:fldCharType="end"/>
        </w:r>
      </w:hyperlink>
    </w:p>
    <w:p w14:paraId="59369113" w14:textId="7D5C1B29" w:rsidR="003509EB" w:rsidRDefault="00785219">
      <w:pPr>
        <w:pStyle w:val="TOC1"/>
        <w:rPr>
          <w:rFonts w:asciiTheme="minorHAnsi" w:eastAsiaTheme="minorEastAsia" w:hAnsiTheme="minorHAnsi" w:cstheme="minorBidi"/>
          <w:noProof/>
          <w:sz w:val="22"/>
          <w:szCs w:val="22"/>
        </w:rPr>
      </w:pPr>
      <w:hyperlink w:anchor="_Toc174092981" w:history="1">
        <w:r w:rsidR="003509EB" w:rsidRPr="005122A0">
          <w:rPr>
            <w:rStyle w:val="Hyperlink"/>
            <w:noProof/>
          </w:rPr>
          <w:t>2.</w:t>
        </w:r>
        <w:r w:rsidR="003509EB">
          <w:rPr>
            <w:rFonts w:asciiTheme="minorHAnsi" w:eastAsiaTheme="minorEastAsia" w:hAnsiTheme="minorHAnsi" w:cstheme="minorBidi"/>
            <w:noProof/>
            <w:sz w:val="22"/>
            <w:szCs w:val="22"/>
          </w:rPr>
          <w:tab/>
        </w:r>
        <w:r w:rsidR="003509EB" w:rsidRPr="005122A0">
          <w:rPr>
            <w:rStyle w:val="Hyperlink"/>
            <w:noProof/>
          </w:rPr>
          <w:t>Introduction</w:t>
        </w:r>
        <w:r w:rsidR="003509EB">
          <w:rPr>
            <w:noProof/>
            <w:webHidden/>
          </w:rPr>
          <w:tab/>
        </w:r>
        <w:r w:rsidR="003509EB">
          <w:rPr>
            <w:noProof/>
            <w:webHidden/>
          </w:rPr>
          <w:fldChar w:fldCharType="begin"/>
        </w:r>
        <w:r w:rsidR="003509EB">
          <w:rPr>
            <w:noProof/>
            <w:webHidden/>
          </w:rPr>
          <w:instrText xml:space="preserve"> PAGEREF _Toc174092981 \h </w:instrText>
        </w:r>
        <w:r w:rsidR="003509EB">
          <w:rPr>
            <w:noProof/>
            <w:webHidden/>
          </w:rPr>
        </w:r>
        <w:r w:rsidR="003509EB">
          <w:rPr>
            <w:noProof/>
            <w:webHidden/>
          </w:rPr>
          <w:fldChar w:fldCharType="separate"/>
        </w:r>
        <w:r w:rsidR="003509EB">
          <w:rPr>
            <w:noProof/>
            <w:webHidden/>
          </w:rPr>
          <w:t>5</w:t>
        </w:r>
        <w:r w:rsidR="003509EB">
          <w:rPr>
            <w:noProof/>
            <w:webHidden/>
          </w:rPr>
          <w:fldChar w:fldCharType="end"/>
        </w:r>
      </w:hyperlink>
    </w:p>
    <w:p w14:paraId="1D687639" w14:textId="75360259" w:rsidR="003509EB" w:rsidRDefault="00785219">
      <w:pPr>
        <w:pStyle w:val="TOC1"/>
        <w:rPr>
          <w:rFonts w:asciiTheme="minorHAnsi" w:eastAsiaTheme="minorEastAsia" w:hAnsiTheme="minorHAnsi" w:cstheme="minorBidi"/>
          <w:noProof/>
          <w:sz w:val="22"/>
          <w:szCs w:val="22"/>
        </w:rPr>
      </w:pPr>
      <w:hyperlink w:anchor="_Toc174092982" w:history="1">
        <w:r w:rsidR="003509EB" w:rsidRPr="005122A0">
          <w:rPr>
            <w:rStyle w:val="Hyperlink"/>
            <w:noProof/>
          </w:rPr>
          <w:t>3.</w:t>
        </w:r>
        <w:r w:rsidR="003509EB">
          <w:rPr>
            <w:rFonts w:asciiTheme="minorHAnsi" w:eastAsiaTheme="minorEastAsia" w:hAnsiTheme="minorHAnsi" w:cstheme="minorBidi"/>
            <w:noProof/>
            <w:sz w:val="22"/>
            <w:szCs w:val="22"/>
          </w:rPr>
          <w:tab/>
        </w:r>
        <w:r w:rsidR="003509EB" w:rsidRPr="005122A0">
          <w:rPr>
            <w:rStyle w:val="Hyperlink"/>
            <w:noProof/>
          </w:rPr>
          <w:t>Definitions</w:t>
        </w:r>
        <w:r w:rsidR="003509EB">
          <w:rPr>
            <w:noProof/>
            <w:webHidden/>
          </w:rPr>
          <w:tab/>
        </w:r>
        <w:r w:rsidR="003509EB">
          <w:rPr>
            <w:noProof/>
            <w:webHidden/>
          </w:rPr>
          <w:fldChar w:fldCharType="begin"/>
        </w:r>
        <w:r w:rsidR="003509EB">
          <w:rPr>
            <w:noProof/>
            <w:webHidden/>
          </w:rPr>
          <w:instrText xml:space="preserve"> PAGEREF _Toc174092982 \h </w:instrText>
        </w:r>
        <w:r w:rsidR="003509EB">
          <w:rPr>
            <w:noProof/>
            <w:webHidden/>
          </w:rPr>
        </w:r>
        <w:r w:rsidR="003509EB">
          <w:rPr>
            <w:noProof/>
            <w:webHidden/>
          </w:rPr>
          <w:fldChar w:fldCharType="separate"/>
        </w:r>
        <w:r w:rsidR="003509EB">
          <w:rPr>
            <w:noProof/>
            <w:webHidden/>
          </w:rPr>
          <w:t>5</w:t>
        </w:r>
        <w:r w:rsidR="003509EB">
          <w:rPr>
            <w:noProof/>
            <w:webHidden/>
          </w:rPr>
          <w:fldChar w:fldCharType="end"/>
        </w:r>
      </w:hyperlink>
    </w:p>
    <w:p w14:paraId="4B8C26E6" w14:textId="1400453C" w:rsidR="003509EB" w:rsidRDefault="00785219">
      <w:pPr>
        <w:pStyle w:val="TOC1"/>
        <w:rPr>
          <w:rFonts w:asciiTheme="minorHAnsi" w:eastAsiaTheme="minorEastAsia" w:hAnsiTheme="minorHAnsi" w:cstheme="minorBidi"/>
          <w:noProof/>
          <w:sz w:val="22"/>
          <w:szCs w:val="22"/>
        </w:rPr>
      </w:pPr>
      <w:hyperlink w:anchor="_Toc174092983" w:history="1">
        <w:r w:rsidR="003509EB" w:rsidRPr="005122A0">
          <w:rPr>
            <w:rStyle w:val="Hyperlink"/>
            <w:noProof/>
          </w:rPr>
          <w:t>4.</w:t>
        </w:r>
        <w:r w:rsidR="003509EB">
          <w:rPr>
            <w:rFonts w:asciiTheme="minorHAnsi" w:eastAsiaTheme="minorEastAsia" w:hAnsiTheme="minorHAnsi" w:cstheme="minorBidi"/>
            <w:noProof/>
            <w:sz w:val="22"/>
            <w:szCs w:val="22"/>
          </w:rPr>
          <w:tab/>
        </w:r>
        <w:r w:rsidR="003509EB" w:rsidRPr="005122A0">
          <w:rPr>
            <w:rStyle w:val="Hyperlink"/>
            <w:noProof/>
          </w:rPr>
          <w:t>Purpose and Scope</w:t>
        </w:r>
        <w:r w:rsidR="003509EB">
          <w:rPr>
            <w:noProof/>
            <w:webHidden/>
          </w:rPr>
          <w:tab/>
        </w:r>
        <w:r w:rsidR="003509EB">
          <w:rPr>
            <w:noProof/>
            <w:webHidden/>
          </w:rPr>
          <w:fldChar w:fldCharType="begin"/>
        </w:r>
        <w:r w:rsidR="003509EB">
          <w:rPr>
            <w:noProof/>
            <w:webHidden/>
          </w:rPr>
          <w:instrText xml:space="preserve"> PAGEREF _Toc174092983 \h </w:instrText>
        </w:r>
        <w:r w:rsidR="003509EB">
          <w:rPr>
            <w:noProof/>
            <w:webHidden/>
          </w:rPr>
        </w:r>
        <w:r w:rsidR="003509EB">
          <w:rPr>
            <w:noProof/>
            <w:webHidden/>
          </w:rPr>
          <w:fldChar w:fldCharType="separate"/>
        </w:r>
        <w:r w:rsidR="003509EB">
          <w:rPr>
            <w:noProof/>
            <w:webHidden/>
          </w:rPr>
          <w:t>7</w:t>
        </w:r>
        <w:r w:rsidR="003509EB">
          <w:rPr>
            <w:noProof/>
            <w:webHidden/>
          </w:rPr>
          <w:fldChar w:fldCharType="end"/>
        </w:r>
      </w:hyperlink>
    </w:p>
    <w:p w14:paraId="5ABD1640" w14:textId="5399A766" w:rsidR="003509EB" w:rsidRDefault="00785219">
      <w:pPr>
        <w:pStyle w:val="TOC1"/>
        <w:rPr>
          <w:rFonts w:asciiTheme="minorHAnsi" w:eastAsiaTheme="minorEastAsia" w:hAnsiTheme="minorHAnsi" w:cstheme="minorBidi"/>
          <w:noProof/>
          <w:sz w:val="22"/>
          <w:szCs w:val="22"/>
        </w:rPr>
      </w:pPr>
      <w:hyperlink w:anchor="_Toc174092984" w:history="1">
        <w:r w:rsidR="003509EB" w:rsidRPr="005122A0">
          <w:rPr>
            <w:rStyle w:val="Hyperlink"/>
            <w:noProof/>
          </w:rPr>
          <w:t>5.</w:t>
        </w:r>
        <w:r w:rsidR="003509EB">
          <w:rPr>
            <w:rFonts w:asciiTheme="minorHAnsi" w:eastAsiaTheme="minorEastAsia" w:hAnsiTheme="minorHAnsi" w:cstheme="minorBidi"/>
            <w:noProof/>
            <w:sz w:val="22"/>
            <w:szCs w:val="22"/>
          </w:rPr>
          <w:tab/>
        </w:r>
        <w:r w:rsidR="003509EB" w:rsidRPr="005122A0">
          <w:rPr>
            <w:rStyle w:val="Hyperlink"/>
            <w:noProof/>
          </w:rPr>
          <w:t>Duties</w:t>
        </w:r>
        <w:r w:rsidR="003509EB">
          <w:rPr>
            <w:noProof/>
            <w:webHidden/>
          </w:rPr>
          <w:tab/>
        </w:r>
        <w:r w:rsidR="003509EB">
          <w:rPr>
            <w:noProof/>
            <w:webHidden/>
          </w:rPr>
          <w:fldChar w:fldCharType="begin"/>
        </w:r>
        <w:r w:rsidR="003509EB">
          <w:rPr>
            <w:noProof/>
            <w:webHidden/>
          </w:rPr>
          <w:instrText xml:space="preserve"> PAGEREF _Toc174092984 \h </w:instrText>
        </w:r>
        <w:r w:rsidR="003509EB">
          <w:rPr>
            <w:noProof/>
            <w:webHidden/>
          </w:rPr>
        </w:r>
        <w:r w:rsidR="003509EB">
          <w:rPr>
            <w:noProof/>
            <w:webHidden/>
          </w:rPr>
          <w:fldChar w:fldCharType="separate"/>
        </w:r>
        <w:r w:rsidR="003509EB">
          <w:rPr>
            <w:noProof/>
            <w:webHidden/>
          </w:rPr>
          <w:t>7</w:t>
        </w:r>
        <w:r w:rsidR="003509EB">
          <w:rPr>
            <w:noProof/>
            <w:webHidden/>
          </w:rPr>
          <w:fldChar w:fldCharType="end"/>
        </w:r>
      </w:hyperlink>
    </w:p>
    <w:p w14:paraId="230B8725" w14:textId="47E46242" w:rsidR="003509EB" w:rsidRDefault="00785219">
      <w:pPr>
        <w:pStyle w:val="TOC1"/>
        <w:rPr>
          <w:rFonts w:asciiTheme="minorHAnsi" w:eastAsiaTheme="minorEastAsia" w:hAnsiTheme="minorHAnsi" w:cstheme="minorBidi"/>
          <w:noProof/>
          <w:sz w:val="22"/>
          <w:szCs w:val="22"/>
        </w:rPr>
      </w:pPr>
      <w:hyperlink w:anchor="_Toc174092985" w:history="1">
        <w:r w:rsidR="003509EB" w:rsidRPr="005122A0">
          <w:rPr>
            <w:rStyle w:val="Hyperlink"/>
            <w:noProof/>
          </w:rPr>
          <w:t>6.</w:t>
        </w:r>
        <w:r w:rsidR="003509EB">
          <w:rPr>
            <w:rFonts w:asciiTheme="minorHAnsi" w:eastAsiaTheme="minorEastAsia" w:hAnsiTheme="minorHAnsi" w:cstheme="minorBidi"/>
            <w:noProof/>
            <w:sz w:val="22"/>
            <w:szCs w:val="22"/>
          </w:rPr>
          <w:tab/>
        </w:r>
        <w:r w:rsidR="003509EB" w:rsidRPr="005122A0">
          <w:rPr>
            <w:rStyle w:val="Hyperlink"/>
            <w:noProof/>
          </w:rPr>
          <w:t>Tenancy Duration</w:t>
        </w:r>
        <w:r w:rsidR="003509EB">
          <w:rPr>
            <w:noProof/>
            <w:webHidden/>
          </w:rPr>
          <w:tab/>
        </w:r>
        <w:r w:rsidR="003509EB">
          <w:rPr>
            <w:noProof/>
            <w:webHidden/>
          </w:rPr>
          <w:fldChar w:fldCharType="begin"/>
        </w:r>
        <w:r w:rsidR="003509EB">
          <w:rPr>
            <w:noProof/>
            <w:webHidden/>
          </w:rPr>
          <w:instrText xml:space="preserve"> PAGEREF _Toc174092985 \h </w:instrText>
        </w:r>
        <w:r w:rsidR="003509EB">
          <w:rPr>
            <w:noProof/>
            <w:webHidden/>
          </w:rPr>
        </w:r>
        <w:r w:rsidR="003509EB">
          <w:rPr>
            <w:noProof/>
            <w:webHidden/>
          </w:rPr>
          <w:fldChar w:fldCharType="separate"/>
        </w:r>
        <w:r w:rsidR="003509EB">
          <w:rPr>
            <w:noProof/>
            <w:webHidden/>
          </w:rPr>
          <w:t>8</w:t>
        </w:r>
        <w:r w:rsidR="003509EB">
          <w:rPr>
            <w:noProof/>
            <w:webHidden/>
          </w:rPr>
          <w:fldChar w:fldCharType="end"/>
        </w:r>
      </w:hyperlink>
    </w:p>
    <w:p w14:paraId="0C4C4D84" w14:textId="57053BB9" w:rsidR="003509EB" w:rsidRDefault="00785219">
      <w:pPr>
        <w:pStyle w:val="TOC1"/>
        <w:rPr>
          <w:rFonts w:asciiTheme="minorHAnsi" w:eastAsiaTheme="minorEastAsia" w:hAnsiTheme="minorHAnsi" w:cstheme="minorBidi"/>
          <w:noProof/>
          <w:sz w:val="22"/>
          <w:szCs w:val="22"/>
        </w:rPr>
      </w:pPr>
      <w:hyperlink w:anchor="_Toc174092986" w:history="1">
        <w:r w:rsidR="003509EB" w:rsidRPr="005122A0">
          <w:rPr>
            <w:rStyle w:val="Hyperlink"/>
            <w:noProof/>
          </w:rPr>
          <w:t>7.</w:t>
        </w:r>
        <w:r w:rsidR="003509EB">
          <w:rPr>
            <w:rFonts w:asciiTheme="minorHAnsi" w:eastAsiaTheme="minorEastAsia" w:hAnsiTheme="minorHAnsi" w:cstheme="minorBidi"/>
            <w:noProof/>
            <w:sz w:val="22"/>
            <w:szCs w:val="22"/>
          </w:rPr>
          <w:tab/>
        </w:r>
        <w:r w:rsidR="003509EB" w:rsidRPr="005122A0">
          <w:rPr>
            <w:rStyle w:val="Hyperlink"/>
            <w:noProof/>
          </w:rPr>
          <w:t>Requesting Extensions to Remain in Trust Accommodation</w:t>
        </w:r>
        <w:r w:rsidR="003509EB">
          <w:rPr>
            <w:noProof/>
            <w:webHidden/>
          </w:rPr>
          <w:tab/>
        </w:r>
        <w:r w:rsidR="003509EB">
          <w:rPr>
            <w:noProof/>
            <w:webHidden/>
          </w:rPr>
          <w:fldChar w:fldCharType="begin"/>
        </w:r>
        <w:r w:rsidR="003509EB">
          <w:rPr>
            <w:noProof/>
            <w:webHidden/>
          </w:rPr>
          <w:instrText xml:space="preserve"> PAGEREF _Toc174092986 \h </w:instrText>
        </w:r>
        <w:r w:rsidR="003509EB">
          <w:rPr>
            <w:noProof/>
            <w:webHidden/>
          </w:rPr>
        </w:r>
        <w:r w:rsidR="003509EB">
          <w:rPr>
            <w:noProof/>
            <w:webHidden/>
          </w:rPr>
          <w:fldChar w:fldCharType="separate"/>
        </w:r>
        <w:r w:rsidR="003509EB">
          <w:rPr>
            <w:noProof/>
            <w:webHidden/>
          </w:rPr>
          <w:t>9</w:t>
        </w:r>
        <w:r w:rsidR="003509EB">
          <w:rPr>
            <w:noProof/>
            <w:webHidden/>
          </w:rPr>
          <w:fldChar w:fldCharType="end"/>
        </w:r>
      </w:hyperlink>
    </w:p>
    <w:p w14:paraId="664687D5" w14:textId="1EB75C56" w:rsidR="003509EB" w:rsidRDefault="00785219">
      <w:pPr>
        <w:pStyle w:val="TOC1"/>
        <w:rPr>
          <w:rFonts w:asciiTheme="minorHAnsi" w:eastAsiaTheme="minorEastAsia" w:hAnsiTheme="minorHAnsi" w:cstheme="minorBidi"/>
          <w:noProof/>
          <w:sz w:val="22"/>
          <w:szCs w:val="22"/>
        </w:rPr>
      </w:pPr>
      <w:hyperlink w:anchor="_Toc174092987" w:history="1">
        <w:r w:rsidR="003509EB" w:rsidRPr="005122A0">
          <w:rPr>
            <w:rStyle w:val="Hyperlink"/>
            <w:noProof/>
          </w:rPr>
          <w:t>8.</w:t>
        </w:r>
        <w:r w:rsidR="003509EB">
          <w:rPr>
            <w:rFonts w:asciiTheme="minorHAnsi" w:eastAsiaTheme="minorEastAsia" w:hAnsiTheme="minorHAnsi" w:cstheme="minorBidi"/>
            <w:noProof/>
            <w:sz w:val="22"/>
            <w:szCs w:val="22"/>
          </w:rPr>
          <w:tab/>
        </w:r>
        <w:r w:rsidR="003509EB" w:rsidRPr="005122A0">
          <w:rPr>
            <w:rStyle w:val="Hyperlink"/>
            <w:noProof/>
          </w:rPr>
          <w:t>Room Availability, On Call Rooms and the Right to Refuse Accommodation</w:t>
        </w:r>
        <w:r w:rsidR="003509EB">
          <w:rPr>
            <w:noProof/>
            <w:webHidden/>
          </w:rPr>
          <w:tab/>
        </w:r>
        <w:r w:rsidR="003509EB">
          <w:rPr>
            <w:noProof/>
            <w:webHidden/>
          </w:rPr>
          <w:fldChar w:fldCharType="begin"/>
        </w:r>
        <w:r w:rsidR="003509EB">
          <w:rPr>
            <w:noProof/>
            <w:webHidden/>
          </w:rPr>
          <w:instrText xml:space="preserve"> PAGEREF _Toc174092987 \h </w:instrText>
        </w:r>
        <w:r w:rsidR="003509EB">
          <w:rPr>
            <w:noProof/>
            <w:webHidden/>
          </w:rPr>
        </w:r>
        <w:r w:rsidR="003509EB">
          <w:rPr>
            <w:noProof/>
            <w:webHidden/>
          </w:rPr>
          <w:fldChar w:fldCharType="separate"/>
        </w:r>
        <w:r w:rsidR="003509EB">
          <w:rPr>
            <w:noProof/>
            <w:webHidden/>
          </w:rPr>
          <w:t>10</w:t>
        </w:r>
        <w:r w:rsidR="003509EB">
          <w:rPr>
            <w:noProof/>
            <w:webHidden/>
          </w:rPr>
          <w:fldChar w:fldCharType="end"/>
        </w:r>
      </w:hyperlink>
    </w:p>
    <w:p w14:paraId="3AD5F023" w14:textId="330997FD" w:rsidR="003509EB" w:rsidRDefault="00785219">
      <w:pPr>
        <w:pStyle w:val="TOC1"/>
        <w:rPr>
          <w:rFonts w:asciiTheme="minorHAnsi" w:eastAsiaTheme="minorEastAsia" w:hAnsiTheme="minorHAnsi" w:cstheme="minorBidi"/>
          <w:noProof/>
          <w:sz w:val="22"/>
          <w:szCs w:val="22"/>
        </w:rPr>
      </w:pPr>
      <w:hyperlink w:anchor="_Toc174092988" w:history="1">
        <w:r w:rsidR="003509EB" w:rsidRPr="005122A0">
          <w:rPr>
            <w:rStyle w:val="Hyperlink"/>
            <w:noProof/>
          </w:rPr>
          <w:t>9.</w:t>
        </w:r>
        <w:r w:rsidR="003509EB">
          <w:rPr>
            <w:rFonts w:asciiTheme="minorHAnsi" w:eastAsiaTheme="minorEastAsia" w:hAnsiTheme="minorHAnsi" w:cstheme="minorBidi"/>
            <w:noProof/>
            <w:sz w:val="22"/>
            <w:szCs w:val="22"/>
          </w:rPr>
          <w:tab/>
        </w:r>
        <w:r w:rsidR="003509EB" w:rsidRPr="005122A0">
          <w:rPr>
            <w:rStyle w:val="Hyperlink"/>
            <w:noProof/>
          </w:rPr>
          <w:t>International Nurses</w:t>
        </w:r>
        <w:r w:rsidR="003509EB">
          <w:rPr>
            <w:noProof/>
            <w:webHidden/>
          </w:rPr>
          <w:tab/>
        </w:r>
        <w:r w:rsidR="003509EB">
          <w:rPr>
            <w:noProof/>
            <w:webHidden/>
          </w:rPr>
          <w:fldChar w:fldCharType="begin"/>
        </w:r>
        <w:r w:rsidR="003509EB">
          <w:rPr>
            <w:noProof/>
            <w:webHidden/>
          </w:rPr>
          <w:instrText xml:space="preserve"> PAGEREF _Toc174092988 \h </w:instrText>
        </w:r>
        <w:r w:rsidR="003509EB">
          <w:rPr>
            <w:noProof/>
            <w:webHidden/>
          </w:rPr>
        </w:r>
        <w:r w:rsidR="003509EB">
          <w:rPr>
            <w:noProof/>
            <w:webHidden/>
          </w:rPr>
          <w:fldChar w:fldCharType="separate"/>
        </w:r>
        <w:r w:rsidR="003509EB">
          <w:rPr>
            <w:noProof/>
            <w:webHidden/>
          </w:rPr>
          <w:t>10</w:t>
        </w:r>
        <w:r w:rsidR="003509EB">
          <w:rPr>
            <w:noProof/>
            <w:webHidden/>
          </w:rPr>
          <w:fldChar w:fldCharType="end"/>
        </w:r>
      </w:hyperlink>
    </w:p>
    <w:p w14:paraId="3C6A4EEC" w14:textId="7876BA5C" w:rsidR="003509EB" w:rsidRDefault="00785219">
      <w:pPr>
        <w:pStyle w:val="TOC1"/>
        <w:rPr>
          <w:rFonts w:asciiTheme="minorHAnsi" w:eastAsiaTheme="minorEastAsia" w:hAnsiTheme="minorHAnsi" w:cstheme="minorBidi"/>
          <w:noProof/>
          <w:sz w:val="22"/>
          <w:szCs w:val="22"/>
        </w:rPr>
      </w:pPr>
      <w:hyperlink w:anchor="_Toc174092989" w:history="1">
        <w:r w:rsidR="003509EB" w:rsidRPr="005122A0">
          <w:rPr>
            <w:rStyle w:val="Hyperlink"/>
            <w:noProof/>
          </w:rPr>
          <w:t>10.</w:t>
        </w:r>
        <w:r w:rsidR="003509EB">
          <w:rPr>
            <w:rFonts w:asciiTheme="minorHAnsi" w:eastAsiaTheme="minorEastAsia" w:hAnsiTheme="minorHAnsi" w:cstheme="minorBidi"/>
            <w:noProof/>
            <w:sz w:val="22"/>
            <w:szCs w:val="22"/>
          </w:rPr>
          <w:tab/>
        </w:r>
        <w:r w:rsidR="003509EB" w:rsidRPr="005122A0">
          <w:rPr>
            <w:rStyle w:val="Hyperlink"/>
            <w:noProof/>
          </w:rPr>
          <w:t>Room Allocation Criteria</w:t>
        </w:r>
        <w:r w:rsidR="003509EB">
          <w:rPr>
            <w:noProof/>
            <w:webHidden/>
          </w:rPr>
          <w:tab/>
        </w:r>
        <w:r w:rsidR="003509EB">
          <w:rPr>
            <w:noProof/>
            <w:webHidden/>
          </w:rPr>
          <w:fldChar w:fldCharType="begin"/>
        </w:r>
        <w:r w:rsidR="003509EB">
          <w:rPr>
            <w:noProof/>
            <w:webHidden/>
          </w:rPr>
          <w:instrText xml:space="preserve"> PAGEREF _Toc174092989 \h </w:instrText>
        </w:r>
        <w:r w:rsidR="003509EB">
          <w:rPr>
            <w:noProof/>
            <w:webHidden/>
          </w:rPr>
        </w:r>
        <w:r w:rsidR="003509EB">
          <w:rPr>
            <w:noProof/>
            <w:webHidden/>
          </w:rPr>
          <w:fldChar w:fldCharType="separate"/>
        </w:r>
        <w:r w:rsidR="003509EB">
          <w:rPr>
            <w:noProof/>
            <w:webHidden/>
          </w:rPr>
          <w:t>11</w:t>
        </w:r>
        <w:r w:rsidR="003509EB">
          <w:rPr>
            <w:noProof/>
            <w:webHidden/>
          </w:rPr>
          <w:fldChar w:fldCharType="end"/>
        </w:r>
      </w:hyperlink>
    </w:p>
    <w:p w14:paraId="55629644" w14:textId="521C4A12" w:rsidR="003509EB" w:rsidRDefault="00785219">
      <w:pPr>
        <w:pStyle w:val="TOC1"/>
        <w:rPr>
          <w:rFonts w:asciiTheme="minorHAnsi" w:eastAsiaTheme="minorEastAsia" w:hAnsiTheme="minorHAnsi" w:cstheme="minorBidi"/>
          <w:noProof/>
          <w:sz w:val="22"/>
          <w:szCs w:val="22"/>
        </w:rPr>
      </w:pPr>
      <w:hyperlink w:anchor="_Toc174092990" w:history="1">
        <w:r w:rsidR="003509EB" w:rsidRPr="005122A0">
          <w:rPr>
            <w:rStyle w:val="Hyperlink"/>
            <w:noProof/>
          </w:rPr>
          <w:t>11.</w:t>
        </w:r>
        <w:r w:rsidR="003509EB">
          <w:rPr>
            <w:rFonts w:asciiTheme="minorHAnsi" w:eastAsiaTheme="minorEastAsia" w:hAnsiTheme="minorHAnsi" w:cstheme="minorBidi"/>
            <w:noProof/>
            <w:sz w:val="22"/>
            <w:szCs w:val="22"/>
          </w:rPr>
          <w:tab/>
        </w:r>
        <w:r w:rsidR="003509EB" w:rsidRPr="005122A0">
          <w:rPr>
            <w:rStyle w:val="Hyperlink"/>
            <w:noProof/>
          </w:rPr>
          <w:t>Allocation of Accommodation by Staff Group</w:t>
        </w:r>
        <w:r w:rsidR="003509EB">
          <w:rPr>
            <w:noProof/>
            <w:webHidden/>
          </w:rPr>
          <w:tab/>
        </w:r>
        <w:r w:rsidR="003509EB">
          <w:rPr>
            <w:noProof/>
            <w:webHidden/>
          </w:rPr>
          <w:fldChar w:fldCharType="begin"/>
        </w:r>
        <w:r w:rsidR="003509EB">
          <w:rPr>
            <w:noProof/>
            <w:webHidden/>
          </w:rPr>
          <w:instrText xml:space="preserve"> PAGEREF _Toc174092990 \h </w:instrText>
        </w:r>
        <w:r w:rsidR="003509EB">
          <w:rPr>
            <w:noProof/>
            <w:webHidden/>
          </w:rPr>
        </w:r>
        <w:r w:rsidR="003509EB">
          <w:rPr>
            <w:noProof/>
            <w:webHidden/>
          </w:rPr>
          <w:fldChar w:fldCharType="separate"/>
        </w:r>
        <w:r w:rsidR="003509EB">
          <w:rPr>
            <w:noProof/>
            <w:webHidden/>
          </w:rPr>
          <w:t>12</w:t>
        </w:r>
        <w:r w:rsidR="003509EB">
          <w:rPr>
            <w:noProof/>
            <w:webHidden/>
          </w:rPr>
          <w:fldChar w:fldCharType="end"/>
        </w:r>
      </w:hyperlink>
    </w:p>
    <w:p w14:paraId="422B8313" w14:textId="50EAE1CD" w:rsidR="003509EB" w:rsidRDefault="00785219">
      <w:pPr>
        <w:pStyle w:val="TOC1"/>
        <w:rPr>
          <w:rFonts w:asciiTheme="minorHAnsi" w:eastAsiaTheme="minorEastAsia" w:hAnsiTheme="minorHAnsi" w:cstheme="minorBidi"/>
          <w:noProof/>
          <w:sz w:val="22"/>
          <w:szCs w:val="22"/>
        </w:rPr>
      </w:pPr>
      <w:hyperlink w:anchor="_Toc174092991" w:history="1">
        <w:r w:rsidR="003509EB" w:rsidRPr="005122A0">
          <w:rPr>
            <w:rStyle w:val="Hyperlink"/>
            <w:noProof/>
          </w:rPr>
          <w:t>12.</w:t>
        </w:r>
        <w:r w:rsidR="003509EB">
          <w:rPr>
            <w:rFonts w:asciiTheme="minorHAnsi" w:eastAsiaTheme="minorEastAsia" w:hAnsiTheme="minorHAnsi" w:cstheme="minorBidi"/>
            <w:noProof/>
            <w:sz w:val="22"/>
            <w:szCs w:val="22"/>
          </w:rPr>
          <w:tab/>
        </w:r>
        <w:r w:rsidR="003509EB" w:rsidRPr="005122A0">
          <w:rPr>
            <w:rStyle w:val="Hyperlink"/>
            <w:noProof/>
          </w:rPr>
          <w:t>Charges</w:t>
        </w:r>
        <w:r w:rsidR="003509EB">
          <w:rPr>
            <w:noProof/>
            <w:webHidden/>
          </w:rPr>
          <w:tab/>
        </w:r>
        <w:r w:rsidR="003509EB">
          <w:rPr>
            <w:noProof/>
            <w:webHidden/>
          </w:rPr>
          <w:fldChar w:fldCharType="begin"/>
        </w:r>
        <w:r w:rsidR="003509EB">
          <w:rPr>
            <w:noProof/>
            <w:webHidden/>
          </w:rPr>
          <w:instrText xml:space="preserve"> PAGEREF _Toc174092991 \h </w:instrText>
        </w:r>
        <w:r w:rsidR="003509EB">
          <w:rPr>
            <w:noProof/>
            <w:webHidden/>
          </w:rPr>
        </w:r>
        <w:r w:rsidR="003509EB">
          <w:rPr>
            <w:noProof/>
            <w:webHidden/>
          </w:rPr>
          <w:fldChar w:fldCharType="separate"/>
        </w:r>
        <w:r w:rsidR="003509EB">
          <w:rPr>
            <w:noProof/>
            <w:webHidden/>
          </w:rPr>
          <w:t>14</w:t>
        </w:r>
        <w:r w:rsidR="003509EB">
          <w:rPr>
            <w:noProof/>
            <w:webHidden/>
          </w:rPr>
          <w:fldChar w:fldCharType="end"/>
        </w:r>
      </w:hyperlink>
    </w:p>
    <w:p w14:paraId="1A50379D" w14:textId="5E8D3B83" w:rsidR="003509EB" w:rsidRDefault="00785219">
      <w:pPr>
        <w:pStyle w:val="TOC1"/>
        <w:rPr>
          <w:rFonts w:asciiTheme="minorHAnsi" w:eastAsiaTheme="minorEastAsia" w:hAnsiTheme="minorHAnsi" w:cstheme="minorBidi"/>
          <w:noProof/>
          <w:sz w:val="22"/>
          <w:szCs w:val="22"/>
        </w:rPr>
      </w:pPr>
      <w:hyperlink w:anchor="_Toc174092992" w:history="1">
        <w:r w:rsidR="003509EB" w:rsidRPr="005122A0">
          <w:rPr>
            <w:rStyle w:val="Hyperlink"/>
            <w:noProof/>
          </w:rPr>
          <w:t>13.</w:t>
        </w:r>
        <w:r w:rsidR="003509EB">
          <w:rPr>
            <w:rFonts w:asciiTheme="minorHAnsi" w:eastAsiaTheme="minorEastAsia" w:hAnsiTheme="minorHAnsi" w:cstheme="minorBidi"/>
            <w:noProof/>
            <w:sz w:val="22"/>
            <w:szCs w:val="22"/>
          </w:rPr>
          <w:tab/>
        </w:r>
        <w:r w:rsidR="003509EB" w:rsidRPr="005122A0">
          <w:rPr>
            <w:rStyle w:val="Hyperlink"/>
            <w:noProof/>
          </w:rPr>
          <w:t>Trust Obligations</w:t>
        </w:r>
        <w:r w:rsidR="003509EB">
          <w:rPr>
            <w:noProof/>
            <w:webHidden/>
          </w:rPr>
          <w:tab/>
        </w:r>
        <w:r w:rsidR="003509EB">
          <w:rPr>
            <w:noProof/>
            <w:webHidden/>
          </w:rPr>
          <w:fldChar w:fldCharType="begin"/>
        </w:r>
        <w:r w:rsidR="003509EB">
          <w:rPr>
            <w:noProof/>
            <w:webHidden/>
          </w:rPr>
          <w:instrText xml:space="preserve"> PAGEREF _Toc174092992 \h </w:instrText>
        </w:r>
        <w:r w:rsidR="003509EB">
          <w:rPr>
            <w:noProof/>
            <w:webHidden/>
          </w:rPr>
        </w:r>
        <w:r w:rsidR="003509EB">
          <w:rPr>
            <w:noProof/>
            <w:webHidden/>
          </w:rPr>
          <w:fldChar w:fldCharType="separate"/>
        </w:r>
        <w:r w:rsidR="003509EB">
          <w:rPr>
            <w:noProof/>
            <w:webHidden/>
          </w:rPr>
          <w:t>16</w:t>
        </w:r>
        <w:r w:rsidR="003509EB">
          <w:rPr>
            <w:noProof/>
            <w:webHidden/>
          </w:rPr>
          <w:fldChar w:fldCharType="end"/>
        </w:r>
      </w:hyperlink>
    </w:p>
    <w:p w14:paraId="12722EFF" w14:textId="0EA93375" w:rsidR="003509EB" w:rsidRDefault="00785219">
      <w:pPr>
        <w:pStyle w:val="TOC1"/>
        <w:rPr>
          <w:rFonts w:asciiTheme="minorHAnsi" w:eastAsiaTheme="minorEastAsia" w:hAnsiTheme="minorHAnsi" w:cstheme="minorBidi"/>
          <w:noProof/>
          <w:sz w:val="22"/>
          <w:szCs w:val="22"/>
        </w:rPr>
      </w:pPr>
      <w:hyperlink w:anchor="_Toc174092993" w:history="1">
        <w:r w:rsidR="003509EB" w:rsidRPr="005122A0">
          <w:rPr>
            <w:rStyle w:val="Hyperlink"/>
            <w:noProof/>
          </w:rPr>
          <w:t>14.</w:t>
        </w:r>
        <w:r w:rsidR="003509EB">
          <w:rPr>
            <w:rFonts w:asciiTheme="minorHAnsi" w:eastAsiaTheme="minorEastAsia" w:hAnsiTheme="minorHAnsi" w:cstheme="minorBidi"/>
            <w:noProof/>
            <w:sz w:val="22"/>
            <w:szCs w:val="22"/>
          </w:rPr>
          <w:tab/>
        </w:r>
        <w:r w:rsidR="003509EB" w:rsidRPr="005122A0">
          <w:rPr>
            <w:rStyle w:val="Hyperlink"/>
            <w:noProof/>
          </w:rPr>
          <w:t>Tenant Obligations: booking, arriving, occupying and vacating</w:t>
        </w:r>
        <w:r w:rsidR="003509EB">
          <w:rPr>
            <w:noProof/>
            <w:webHidden/>
          </w:rPr>
          <w:tab/>
        </w:r>
        <w:r w:rsidR="003509EB">
          <w:rPr>
            <w:noProof/>
            <w:webHidden/>
          </w:rPr>
          <w:fldChar w:fldCharType="begin"/>
        </w:r>
        <w:r w:rsidR="003509EB">
          <w:rPr>
            <w:noProof/>
            <w:webHidden/>
          </w:rPr>
          <w:instrText xml:space="preserve"> PAGEREF _Toc174092993 \h </w:instrText>
        </w:r>
        <w:r w:rsidR="003509EB">
          <w:rPr>
            <w:noProof/>
            <w:webHidden/>
          </w:rPr>
        </w:r>
        <w:r w:rsidR="003509EB">
          <w:rPr>
            <w:noProof/>
            <w:webHidden/>
          </w:rPr>
          <w:fldChar w:fldCharType="separate"/>
        </w:r>
        <w:r w:rsidR="003509EB">
          <w:rPr>
            <w:noProof/>
            <w:webHidden/>
          </w:rPr>
          <w:t>17</w:t>
        </w:r>
        <w:r w:rsidR="003509EB">
          <w:rPr>
            <w:noProof/>
            <w:webHidden/>
          </w:rPr>
          <w:fldChar w:fldCharType="end"/>
        </w:r>
      </w:hyperlink>
    </w:p>
    <w:p w14:paraId="41819F83" w14:textId="62B31E6F" w:rsidR="003509EB" w:rsidRDefault="00785219">
      <w:pPr>
        <w:pStyle w:val="TOC1"/>
        <w:rPr>
          <w:rFonts w:asciiTheme="minorHAnsi" w:eastAsiaTheme="minorEastAsia" w:hAnsiTheme="minorHAnsi" w:cstheme="minorBidi"/>
          <w:noProof/>
          <w:sz w:val="22"/>
          <w:szCs w:val="22"/>
        </w:rPr>
      </w:pPr>
      <w:hyperlink w:anchor="_Toc174092994" w:history="1">
        <w:r w:rsidR="003509EB" w:rsidRPr="005122A0">
          <w:rPr>
            <w:rStyle w:val="Hyperlink"/>
            <w:noProof/>
          </w:rPr>
          <w:t>15.</w:t>
        </w:r>
        <w:r w:rsidR="003509EB">
          <w:rPr>
            <w:rFonts w:asciiTheme="minorHAnsi" w:eastAsiaTheme="minorEastAsia" w:hAnsiTheme="minorHAnsi" w:cstheme="minorBidi"/>
            <w:noProof/>
            <w:sz w:val="22"/>
            <w:szCs w:val="22"/>
          </w:rPr>
          <w:tab/>
        </w:r>
        <w:r w:rsidR="003509EB" w:rsidRPr="005122A0">
          <w:rPr>
            <w:rStyle w:val="Hyperlink"/>
            <w:noProof/>
          </w:rPr>
          <w:t>Policy Development, Approval and Authorisation</w:t>
        </w:r>
        <w:r w:rsidR="003509EB">
          <w:rPr>
            <w:noProof/>
            <w:webHidden/>
          </w:rPr>
          <w:tab/>
        </w:r>
        <w:r w:rsidR="003509EB">
          <w:rPr>
            <w:noProof/>
            <w:webHidden/>
          </w:rPr>
          <w:fldChar w:fldCharType="begin"/>
        </w:r>
        <w:r w:rsidR="003509EB">
          <w:rPr>
            <w:noProof/>
            <w:webHidden/>
          </w:rPr>
          <w:instrText xml:space="preserve"> PAGEREF _Toc174092994 \h </w:instrText>
        </w:r>
        <w:r w:rsidR="003509EB">
          <w:rPr>
            <w:noProof/>
            <w:webHidden/>
          </w:rPr>
        </w:r>
        <w:r w:rsidR="003509EB">
          <w:rPr>
            <w:noProof/>
            <w:webHidden/>
          </w:rPr>
          <w:fldChar w:fldCharType="separate"/>
        </w:r>
        <w:r w:rsidR="003509EB">
          <w:rPr>
            <w:noProof/>
            <w:webHidden/>
          </w:rPr>
          <w:t>20</w:t>
        </w:r>
        <w:r w:rsidR="003509EB">
          <w:rPr>
            <w:noProof/>
            <w:webHidden/>
          </w:rPr>
          <w:fldChar w:fldCharType="end"/>
        </w:r>
      </w:hyperlink>
    </w:p>
    <w:p w14:paraId="24D14B3E" w14:textId="50B42CA5" w:rsidR="003509EB" w:rsidRDefault="00785219">
      <w:pPr>
        <w:pStyle w:val="TOC1"/>
        <w:rPr>
          <w:rFonts w:asciiTheme="minorHAnsi" w:eastAsiaTheme="minorEastAsia" w:hAnsiTheme="minorHAnsi" w:cstheme="minorBidi"/>
          <w:noProof/>
          <w:sz w:val="22"/>
          <w:szCs w:val="22"/>
        </w:rPr>
      </w:pPr>
      <w:hyperlink w:anchor="_Toc174092995" w:history="1">
        <w:r w:rsidR="003509EB" w:rsidRPr="005122A0">
          <w:rPr>
            <w:rStyle w:val="Hyperlink"/>
            <w:noProof/>
          </w:rPr>
          <w:t>16.</w:t>
        </w:r>
        <w:r w:rsidR="003509EB">
          <w:rPr>
            <w:rFonts w:asciiTheme="minorHAnsi" w:eastAsiaTheme="minorEastAsia" w:hAnsiTheme="minorHAnsi" w:cstheme="minorBidi"/>
            <w:noProof/>
            <w:sz w:val="22"/>
            <w:szCs w:val="22"/>
          </w:rPr>
          <w:tab/>
        </w:r>
        <w:r w:rsidR="003509EB" w:rsidRPr="005122A0">
          <w:rPr>
            <w:rStyle w:val="Hyperlink"/>
            <w:noProof/>
          </w:rPr>
          <w:t>Review and Revision Arrangements</w:t>
        </w:r>
        <w:r w:rsidR="003509EB">
          <w:rPr>
            <w:noProof/>
            <w:webHidden/>
          </w:rPr>
          <w:tab/>
        </w:r>
        <w:r w:rsidR="003509EB">
          <w:rPr>
            <w:noProof/>
            <w:webHidden/>
          </w:rPr>
          <w:fldChar w:fldCharType="begin"/>
        </w:r>
        <w:r w:rsidR="003509EB">
          <w:rPr>
            <w:noProof/>
            <w:webHidden/>
          </w:rPr>
          <w:instrText xml:space="preserve"> PAGEREF _Toc174092995 \h </w:instrText>
        </w:r>
        <w:r w:rsidR="003509EB">
          <w:rPr>
            <w:noProof/>
            <w:webHidden/>
          </w:rPr>
        </w:r>
        <w:r w:rsidR="003509EB">
          <w:rPr>
            <w:noProof/>
            <w:webHidden/>
          </w:rPr>
          <w:fldChar w:fldCharType="separate"/>
        </w:r>
        <w:r w:rsidR="003509EB">
          <w:rPr>
            <w:noProof/>
            <w:webHidden/>
          </w:rPr>
          <w:t>20</w:t>
        </w:r>
        <w:r w:rsidR="003509EB">
          <w:rPr>
            <w:noProof/>
            <w:webHidden/>
          </w:rPr>
          <w:fldChar w:fldCharType="end"/>
        </w:r>
      </w:hyperlink>
    </w:p>
    <w:p w14:paraId="0C405D86" w14:textId="316A287D" w:rsidR="003509EB" w:rsidRDefault="00785219">
      <w:pPr>
        <w:pStyle w:val="TOC1"/>
        <w:rPr>
          <w:rFonts w:asciiTheme="minorHAnsi" w:eastAsiaTheme="minorEastAsia" w:hAnsiTheme="minorHAnsi" w:cstheme="minorBidi"/>
          <w:noProof/>
          <w:sz w:val="22"/>
          <w:szCs w:val="22"/>
        </w:rPr>
      </w:pPr>
      <w:hyperlink w:anchor="_Toc174092996" w:history="1">
        <w:r w:rsidR="003509EB" w:rsidRPr="005122A0">
          <w:rPr>
            <w:rStyle w:val="Hyperlink"/>
            <w:noProof/>
          </w:rPr>
          <w:t>17.</w:t>
        </w:r>
        <w:r w:rsidR="003509EB">
          <w:rPr>
            <w:rFonts w:asciiTheme="minorHAnsi" w:eastAsiaTheme="minorEastAsia" w:hAnsiTheme="minorHAnsi" w:cstheme="minorBidi"/>
            <w:noProof/>
            <w:sz w:val="22"/>
            <w:szCs w:val="22"/>
          </w:rPr>
          <w:tab/>
        </w:r>
        <w:r w:rsidR="003509EB" w:rsidRPr="005122A0">
          <w:rPr>
            <w:rStyle w:val="Hyperlink"/>
            <w:noProof/>
          </w:rPr>
          <w:t>Policy Implementation</w:t>
        </w:r>
        <w:r w:rsidR="003509EB">
          <w:rPr>
            <w:noProof/>
            <w:webHidden/>
          </w:rPr>
          <w:tab/>
        </w:r>
        <w:r w:rsidR="003509EB">
          <w:rPr>
            <w:noProof/>
            <w:webHidden/>
          </w:rPr>
          <w:fldChar w:fldCharType="begin"/>
        </w:r>
        <w:r w:rsidR="003509EB">
          <w:rPr>
            <w:noProof/>
            <w:webHidden/>
          </w:rPr>
          <w:instrText xml:space="preserve"> PAGEREF _Toc174092996 \h </w:instrText>
        </w:r>
        <w:r w:rsidR="003509EB">
          <w:rPr>
            <w:noProof/>
            <w:webHidden/>
          </w:rPr>
        </w:r>
        <w:r w:rsidR="003509EB">
          <w:rPr>
            <w:noProof/>
            <w:webHidden/>
          </w:rPr>
          <w:fldChar w:fldCharType="separate"/>
        </w:r>
        <w:r w:rsidR="003509EB">
          <w:rPr>
            <w:noProof/>
            <w:webHidden/>
          </w:rPr>
          <w:t>21</w:t>
        </w:r>
        <w:r w:rsidR="003509EB">
          <w:rPr>
            <w:noProof/>
            <w:webHidden/>
          </w:rPr>
          <w:fldChar w:fldCharType="end"/>
        </w:r>
      </w:hyperlink>
    </w:p>
    <w:p w14:paraId="1C50828C" w14:textId="1049A56F" w:rsidR="003509EB" w:rsidRDefault="00785219">
      <w:pPr>
        <w:pStyle w:val="TOC1"/>
        <w:rPr>
          <w:rFonts w:asciiTheme="minorHAnsi" w:eastAsiaTheme="minorEastAsia" w:hAnsiTheme="minorHAnsi" w:cstheme="minorBidi"/>
          <w:noProof/>
          <w:sz w:val="22"/>
          <w:szCs w:val="22"/>
        </w:rPr>
      </w:pPr>
      <w:hyperlink w:anchor="_Toc174092997" w:history="1">
        <w:r w:rsidR="003509EB" w:rsidRPr="005122A0">
          <w:rPr>
            <w:rStyle w:val="Hyperlink"/>
            <w:noProof/>
          </w:rPr>
          <w:t>18.</w:t>
        </w:r>
        <w:r w:rsidR="003509EB">
          <w:rPr>
            <w:rFonts w:asciiTheme="minorHAnsi" w:eastAsiaTheme="minorEastAsia" w:hAnsiTheme="minorHAnsi" w:cstheme="minorBidi"/>
            <w:noProof/>
            <w:sz w:val="22"/>
            <w:szCs w:val="22"/>
          </w:rPr>
          <w:tab/>
        </w:r>
        <w:r w:rsidR="003509EB" w:rsidRPr="005122A0">
          <w:rPr>
            <w:rStyle w:val="Hyperlink"/>
            <w:noProof/>
          </w:rPr>
          <w:t>Document Control including Archiving Arrangements</w:t>
        </w:r>
        <w:r w:rsidR="003509EB">
          <w:rPr>
            <w:noProof/>
            <w:webHidden/>
          </w:rPr>
          <w:tab/>
        </w:r>
        <w:r w:rsidR="003509EB">
          <w:rPr>
            <w:noProof/>
            <w:webHidden/>
          </w:rPr>
          <w:fldChar w:fldCharType="begin"/>
        </w:r>
        <w:r w:rsidR="003509EB">
          <w:rPr>
            <w:noProof/>
            <w:webHidden/>
          </w:rPr>
          <w:instrText xml:space="preserve"> PAGEREF _Toc174092997 \h </w:instrText>
        </w:r>
        <w:r w:rsidR="003509EB">
          <w:rPr>
            <w:noProof/>
            <w:webHidden/>
          </w:rPr>
        </w:r>
        <w:r w:rsidR="003509EB">
          <w:rPr>
            <w:noProof/>
            <w:webHidden/>
          </w:rPr>
          <w:fldChar w:fldCharType="separate"/>
        </w:r>
        <w:r w:rsidR="003509EB">
          <w:rPr>
            <w:noProof/>
            <w:webHidden/>
          </w:rPr>
          <w:t>21</w:t>
        </w:r>
        <w:r w:rsidR="003509EB">
          <w:rPr>
            <w:noProof/>
            <w:webHidden/>
          </w:rPr>
          <w:fldChar w:fldCharType="end"/>
        </w:r>
      </w:hyperlink>
    </w:p>
    <w:p w14:paraId="57ACF66C" w14:textId="419A15D7" w:rsidR="003509EB" w:rsidRDefault="00785219">
      <w:pPr>
        <w:pStyle w:val="TOC1"/>
        <w:rPr>
          <w:rFonts w:asciiTheme="minorHAnsi" w:eastAsiaTheme="minorEastAsia" w:hAnsiTheme="minorHAnsi" w:cstheme="minorBidi"/>
          <w:noProof/>
          <w:sz w:val="22"/>
          <w:szCs w:val="22"/>
        </w:rPr>
      </w:pPr>
      <w:hyperlink w:anchor="_Toc174092998" w:history="1">
        <w:r w:rsidR="003509EB" w:rsidRPr="005122A0">
          <w:rPr>
            <w:rStyle w:val="Hyperlink"/>
            <w:noProof/>
          </w:rPr>
          <w:t>19.</w:t>
        </w:r>
        <w:r w:rsidR="003509EB">
          <w:rPr>
            <w:rFonts w:asciiTheme="minorHAnsi" w:eastAsiaTheme="minorEastAsia" w:hAnsiTheme="minorHAnsi" w:cstheme="minorBidi"/>
            <w:noProof/>
            <w:sz w:val="22"/>
            <w:szCs w:val="22"/>
          </w:rPr>
          <w:tab/>
        </w:r>
        <w:r w:rsidR="003509EB" w:rsidRPr="005122A0">
          <w:rPr>
            <w:rStyle w:val="Hyperlink"/>
            <w:noProof/>
          </w:rPr>
          <w:t>Monitoring Compliance</w:t>
        </w:r>
        <w:r w:rsidR="003509EB">
          <w:rPr>
            <w:noProof/>
            <w:webHidden/>
          </w:rPr>
          <w:tab/>
        </w:r>
        <w:r w:rsidR="003509EB">
          <w:rPr>
            <w:noProof/>
            <w:webHidden/>
          </w:rPr>
          <w:fldChar w:fldCharType="begin"/>
        </w:r>
        <w:r w:rsidR="003509EB">
          <w:rPr>
            <w:noProof/>
            <w:webHidden/>
          </w:rPr>
          <w:instrText xml:space="preserve"> PAGEREF _Toc174092998 \h </w:instrText>
        </w:r>
        <w:r w:rsidR="003509EB">
          <w:rPr>
            <w:noProof/>
            <w:webHidden/>
          </w:rPr>
        </w:r>
        <w:r w:rsidR="003509EB">
          <w:rPr>
            <w:noProof/>
            <w:webHidden/>
          </w:rPr>
          <w:fldChar w:fldCharType="separate"/>
        </w:r>
        <w:r w:rsidR="003509EB">
          <w:rPr>
            <w:noProof/>
            <w:webHidden/>
          </w:rPr>
          <w:t>21</w:t>
        </w:r>
        <w:r w:rsidR="003509EB">
          <w:rPr>
            <w:noProof/>
            <w:webHidden/>
          </w:rPr>
          <w:fldChar w:fldCharType="end"/>
        </w:r>
      </w:hyperlink>
    </w:p>
    <w:p w14:paraId="2176649A" w14:textId="6D04108D" w:rsidR="003509EB" w:rsidRDefault="00785219">
      <w:pPr>
        <w:pStyle w:val="TOC1"/>
        <w:rPr>
          <w:rFonts w:asciiTheme="minorHAnsi" w:eastAsiaTheme="minorEastAsia" w:hAnsiTheme="minorHAnsi" w:cstheme="minorBidi"/>
          <w:noProof/>
          <w:sz w:val="22"/>
          <w:szCs w:val="22"/>
        </w:rPr>
      </w:pPr>
      <w:hyperlink w:anchor="_Toc174092999" w:history="1">
        <w:r w:rsidR="003509EB" w:rsidRPr="005122A0">
          <w:rPr>
            <w:rStyle w:val="Hyperlink"/>
            <w:noProof/>
          </w:rPr>
          <w:t>20.</w:t>
        </w:r>
        <w:r w:rsidR="003509EB">
          <w:rPr>
            <w:rFonts w:asciiTheme="minorHAnsi" w:eastAsiaTheme="minorEastAsia" w:hAnsiTheme="minorHAnsi" w:cstheme="minorBidi"/>
            <w:noProof/>
            <w:sz w:val="22"/>
            <w:szCs w:val="22"/>
          </w:rPr>
          <w:tab/>
        </w:r>
        <w:r w:rsidR="003509EB" w:rsidRPr="005122A0">
          <w:rPr>
            <w:rStyle w:val="Hyperlink"/>
            <w:noProof/>
          </w:rPr>
          <w:t>References</w:t>
        </w:r>
        <w:r w:rsidR="003509EB">
          <w:rPr>
            <w:noProof/>
            <w:webHidden/>
          </w:rPr>
          <w:tab/>
        </w:r>
        <w:r w:rsidR="003509EB">
          <w:rPr>
            <w:noProof/>
            <w:webHidden/>
          </w:rPr>
          <w:fldChar w:fldCharType="begin"/>
        </w:r>
        <w:r w:rsidR="003509EB">
          <w:rPr>
            <w:noProof/>
            <w:webHidden/>
          </w:rPr>
          <w:instrText xml:space="preserve"> PAGEREF _Toc174092999 \h </w:instrText>
        </w:r>
        <w:r w:rsidR="003509EB">
          <w:rPr>
            <w:noProof/>
            <w:webHidden/>
          </w:rPr>
        </w:r>
        <w:r w:rsidR="003509EB">
          <w:rPr>
            <w:noProof/>
            <w:webHidden/>
          </w:rPr>
          <w:fldChar w:fldCharType="separate"/>
        </w:r>
        <w:r w:rsidR="003509EB">
          <w:rPr>
            <w:noProof/>
            <w:webHidden/>
          </w:rPr>
          <w:t>21</w:t>
        </w:r>
        <w:r w:rsidR="003509EB">
          <w:rPr>
            <w:noProof/>
            <w:webHidden/>
          </w:rPr>
          <w:fldChar w:fldCharType="end"/>
        </w:r>
      </w:hyperlink>
    </w:p>
    <w:p w14:paraId="55FE39D7" w14:textId="0D570153" w:rsidR="003509EB" w:rsidRDefault="00785219">
      <w:pPr>
        <w:pStyle w:val="TOC1"/>
        <w:rPr>
          <w:rFonts w:asciiTheme="minorHAnsi" w:eastAsiaTheme="minorEastAsia" w:hAnsiTheme="minorHAnsi" w:cstheme="minorBidi"/>
          <w:noProof/>
          <w:sz w:val="22"/>
          <w:szCs w:val="22"/>
        </w:rPr>
      </w:pPr>
      <w:hyperlink w:anchor="_Toc174093000" w:history="1">
        <w:r w:rsidR="003509EB" w:rsidRPr="005122A0">
          <w:rPr>
            <w:rStyle w:val="Hyperlink"/>
            <w:noProof/>
          </w:rPr>
          <w:t>21.</w:t>
        </w:r>
        <w:r w:rsidR="003509EB">
          <w:rPr>
            <w:rFonts w:asciiTheme="minorHAnsi" w:eastAsiaTheme="minorEastAsia" w:hAnsiTheme="minorHAnsi" w:cstheme="minorBidi"/>
            <w:noProof/>
            <w:sz w:val="22"/>
            <w:szCs w:val="22"/>
          </w:rPr>
          <w:tab/>
        </w:r>
        <w:r w:rsidR="003509EB" w:rsidRPr="005122A0">
          <w:rPr>
            <w:rStyle w:val="Hyperlink"/>
            <w:noProof/>
          </w:rPr>
          <w:t>Appendices</w:t>
        </w:r>
        <w:r w:rsidR="003509EB">
          <w:rPr>
            <w:noProof/>
            <w:webHidden/>
          </w:rPr>
          <w:tab/>
        </w:r>
        <w:r w:rsidR="003509EB">
          <w:rPr>
            <w:noProof/>
            <w:webHidden/>
          </w:rPr>
          <w:fldChar w:fldCharType="begin"/>
        </w:r>
        <w:r w:rsidR="003509EB">
          <w:rPr>
            <w:noProof/>
            <w:webHidden/>
          </w:rPr>
          <w:instrText xml:space="preserve"> PAGEREF _Toc174093000 \h </w:instrText>
        </w:r>
        <w:r w:rsidR="003509EB">
          <w:rPr>
            <w:noProof/>
            <w:webHidden/>
          </w:rPr>
        </w:r>
        <w:r w:rsidR="003509EB">
          <w:rPr>
            <w:noProof/>
            <w:webHidden/>
          </w:rPr>
          <w:fldChar w:fldCharType="separate"/>
        </w:r>
        <w:r w:rsidR="003509EB">
          <w:rPr>
            <w:noProof/>
            <w:webHidden/>
          </w:rPr>
          <w:t>21</w:t>
        </w:r>
        <w:r w:rsidR="003509EB">
          <w:rPr>
            <w:noProof/>
            <w:webHidden/>
          </w:rPr>
          <w:fldChar w:fldCharType="end"/>
        </w:r>
      </w:hyperlink>
    </w:p>
    <w:p w14:paraId="14FDDB67" w14:textId="0C765278" w:rsidR="003509EB" w:rsidRDefault="00785219">
      <w:pPr>
        <w:pStyle w:val="TOC1"/>
        <w:rPr>
          <w:rFonts w:asciiTheme="minorHAnsi" w:eastAsiaTheme="minorEastAsia" w:hAnsiTheme="minorHAnsi" w:cstheme="minorBidi"/>
          <w:noProof/>
          <w:sz w:val="22"/>
          <w:szCs w:val="22"/>
        </w:rPr>
      </w:pPr>
      <w:hyperlink w:anchor="_Toc174093001" w:history="1">
        <w:r w:rsidR="003509EB" w:rsidRPr="005122A0">
          <w:rPr>
            <w:rStyle w:val="Hyperlink"/>
            <w:noProof/>
          </w:rPr>
          <w:t>Appendix 1 – Terms and Conditions of service for Doctors &amp; Dentists in Training (England) (2016)</w:t>
        </w:r>
        <w:r w:rsidR="003509EB">
          <w:rPr>
            <w:noProof/>
            <w:webHidden/>
          </w:rPr>
          <w:tab/>
        </w:r>
        <w:r w:rsidR="003509EB">
          <w:rPr>
            <w:noProof/>
            <w:webHidden/>
          </w:rPr>
          <w:fldChar w:fldCharType="begin"/>
        </w:r>
        <w:r w:rsidR="003509EB">
          <w:rPr>
            <w:noProof/>
            <w:webHidden/>
          </w:rPr>
          <w:instrText xml:space="preserve"> PAGEREF _Toc174093001 \h </w:instrText>
        </w:r>
        <w:r w:rsidR="003509EB">
          <w:rPr>
            <w:noProof/>
            <w:webHidden/>
          </w:rPr>
        </w:r>
        <w:r w:rsidR="003509EB">
          <w:rPr>
            <w:noProof/>
            <w:webHidden/>
          </w:rPr>
          <w:fldChar w:fldCharType="separate"/>
        </w:r>
        <w:r w:rsidR="003509EB">
          <w:rPr>
            <w:noProof/>
            <w:webHidden/>
          </w:rPr>
          <w:t>22</w:t>
        </w:r>
        <w:r w:rsidR="003509EB">
          <w:rPr>
            <w:noProof/>
            <w:webHidden/>
          </w:rPr>
          <w:fldChar w:fldCharType="end"/>
        </w:r>
      </w:hyperlink>
    </w:p>
    <w:p w14:paraId="69D6C047" w14:textId="4703309C" w:rsidR="003509EB" w:rsidRDefault="00785219">
      <w:pPr>
        <w:pStyle w:val="TOC1"/>
        <w:rPr>
          <w:rFonts w:asciiTheme="minorHAnsi" w:eastAsiaTheme="minorEastAsia" w:hAnsiTheme="minorHAnsi" w:cstheme="minorBidi"/>
          <w:noProof/>
          <w:sz w:val="22"/>
          <w:szCs w:val="22"/>
        </w:rPr>
      </w:pPr>
      <w:hyperlink w:anchor="_Toc174093002" w:history="1">
        <w:r w:rsidR="003509EB" w:rsidRPr="005122A0">
          <w:rPr>
            <w:rStyle w:val="Hyperlink"/>
            <w:noProof/>
          </w:rPr>
          <w:t>Appendix 2 – Equality Analysis</w:t>
        </w:r>
        <w:r w:rsidR="003509EB">
          <w:rPr>
            <w:noProof/>
            <w:webHidden/>
          </w:rPr>
          <w:tab/>
        </w:r>
        <w:r w:rsidR="003509EB">
          <w:rPr>
            <w:noProof/>
            <w:webHidden/>
          </w:rPr>
          <w:fldChar w:fldCharType="begin"/>
        </w:r>
        <w:r w:rsidR="003509EB">
          <w:rPr>
            <w:noProof/>
            <w:webHidden/>
          </w:rPr>
          <w:instrText xml:space="preserve"> PAGEREF _Toc174093002 \h </w:instrText>
        </w:r>
        <w:r w:rsidR="003509EB">
          <w:rPr>
            <w:noProof/>
            <w:webHidden/>
          </w:rPr>
        </w:r>
        <w:r w:rsidR="003509EB">
          <w:rPr>
            <w:noProof/>
            <w:webHidden/>
          </w:rPr>
          <w:fldChar w:fldCharType="separate"/>
        </w:r>
        <w:r w:rsidR="003509EB">
          <w:rPr>
            <w:noProof/>
            <w:webHidden/>
          </w:rPr>
          <w:t>23</w:t>
        </w:r>
        <w:r w:rsidR="003509EB">
          <w:rPr>
            <w:noProof/>
            <w:webHidden/>
          </w:rPr>
          <w:fldChar w:fldCharType="end"/>
        </w:r>
      </w:hyperlink>
    </w:p>
    <w:p w14:paraId="6E9B5708" w14:textId="7728AECB" w:rsidR="003509EB" w:rsidRDefault="00785219">
      <w:pPr>
        <w:pStyle w:val="TOC1"/>
        <w:rPr>
          <w:rFonts w:asciiTheme="minorHAnsi" w:eastAsiaTheme="minorEastAsia" w:hAnsiTheme="minorHAnsi" w:cstheme="minorBidi"/>
          <w:noProof/>
          <w:sz w:val="22"/>
          <w:szCs w:val="22"/>
        </w:rPr>
      </w:pPr>
      <w:hyperlink w:anchor="_Toc174093003" w:history="1">
        <w:r w:rsidR="003509EB" w:rsidRPr="005122A0">
          <w:rPr>
            <w:rStyle w:val="Hyperlink"/>
            <w:noProof/>
          </w:rPr>
          <w:t>Appendix 3 – Policy Implementation Plan</w:t>
        </w:r>
        <w:r w:rsidR="003509EB">
          <w:rPr>
            <w:noProof/>
            <w:webHidden/>
          </w:rPr>
          <w:tab/>
        </w:r>
        <w:r w:rsidR="003509EB">
          <w:rPr>
            <w:noProof/>
            <w:webHidden/>
          </w:rPr>
          <w:fldChar w:fldCharType="begin"/>
        </w:r>
        <w:r w:rsidR="003509EB">
          <w:rPr>
            <w:noProof/>
            <w:webHidden/>
          </w:rPr>
          <w:instrText xml:space="preserve"> PAGEREF _Toc174093003 \h </w:instrText>
        </w:r>
        <w:r w:rsidR="003509EB">
          <w:rPr>
            <w:noProof/>
            <w:webHidden/>
          </w:rPr>
        </w:r>
        <w:r w:rsidR="003509EB">
          <w:rPr>
            <w:noProof/>
            <w:webHidden/>
          </w:rPr>
          <w:fldChar w:fldCharType="separate"/>
        </w:r>
        <w:r w:rsidR="003509EB">
          <w:rPr>
            <w:noProof/>
            <w:webHidden/>
          </w:rPr>
          <w:t>25</w:t>
        </w:r>
        <w:r w:rsidR="003509EB">
          <w:rPr>
            <w:noProof/>
            <w:webHidden/>
          </w:rPr>
          <w:fldChar w:fldCharType="end"/>
        </w:r>
      </w:hyperlink>
    </w:p>
    <w:p w14:paraId="35A7DC34" w14:textId="77777777" w:rsidR="004F139F" w:rsidRDefault="000A1E88" w:rsidP="00C004A5">
      <w:pPr>
        <w:rPr>
          <w:noProof/>
        </w:rPr>
      </w:pPr>
      <w:r>
        <w:rPr>
          <w:noProof/>
        </w:rPr>
        <w:fldChar w:fldCharType="end"/>
      </w:r>
    </w:p>
    <w:p w14:paraId="03B77589" w14:textId="77777777" w:rsidR="00C004A5" w:rsidRPr="002D69EB" w:rsidRDefault="00C004A5" w:rsidP="00B932B0">
      <w:pPr>
        <w:spacing w:before="120" w:after="120"/>
        <w:rPr>
          <w:bCs/>
          <w:noProof/>
          <w:color w:val="FF0000"/>
        </w:rPr>
      </w:pPr>
    </w:p>
    <w:p w14:paraId="3024B68D" w14:textId="77777777" w:rsidR="005B39AA" w:rsidRDefault="004F139F" w:rsidP="003B486C">
      <w:pPr>
        <w:pStyle w:val="Policyheader"/>
      </w:pPr>
      <w:r>
        <w:br w:type="page"/>
      </w:r>
      <w:bookmarkStart w:id="2" w:name="_Toc523986721"/>
      <w:bookmarkStart w:id="3" w:name="_Toc174092980"/>
      <w:r w:rsidR="00717CAE" w:rsidRPr="00290562">
        <w:lastRenderedPageBreak/>
        <w:t>Policy</w:t>
      </w:r>
      <w:r w:rsidR="00486418" w:rsidRPr="005B39AA">
        <w:t xml:space="preserve"> </w:t>
      </w:r>
      <w:bookmarkEnd w:id="2"/>
      <w:r w:rsidR="00095C83" w:rsidRPr="003B486C">
        <w:t>Description</w:t>
      </w:r>
      <w:bookmarkEnd w:id="3"/>
    </w:p>
    <w:p w14:paraId="0B7C1864" w14:textId="77777777" w:rsidR="00290562" w:rsidRDefault="00D05C0E" w:rsidP="003B486C">
      <w:pPr>
        <w:pStyle w:val="Policybulletlevel2"/>
      </w:pPr>
      <w:r w:rsidRPr="00D05C0E">
        <w:t>This policy provides a clear set of rules that govern access to and use of</w:t>
      </w:r>
      <w:r w:rsidR="00593348">
        <w:t xml:space="preserve"> the</w:t>
      </w:r>
      <w:r w:rsidRPr="00D05C0E">
        <w:t xml:space="preserve"> on-site</w:t>
      </w:r>
      <w:r w:rsidR="00593348">
        <w:t>,</w:t>
      </w:r>
      <w:r w:rsidRPr="00D05C0E">
        <w:t xml:space="preserve"> temporary residential accommodation facilities made available to staff </w:t>
      </w:r>
      <w:r w:rsidRPr="003B486C">
        <w:t>employed</w:t>
      </w:r>
      <w:r w:rsidRPr="00D05C0E">
        <w:t xml:space="preserve"> by, or by exception those providing services to, the East Kent Hospitals University NHS Foundation Trust (EKHUFT</w:t>
      </w:r>
      <w:r w:rsidR="0032267C">
        <w:t xml:space="preserve">, or </w:t>
      </w:r>
      <w:r w:rsidRPr="00D05C0E">
        <w:t>the Trust).  It will ensure that within the resources available, the Trust provides appropriate, accessible and affordable accommodation for eligible staff.</w:t>
      </w:r>
    </w:p>
    <w:p w14:paraId="32C06DA6" w14:textId="77777777" w:rsidR="00712F68" w:rsidRDefault="0022378C" w:rsidP="003B486C">
      <w:pPr>
        <w:pStyle w:val="Policyheader"/>
      </w:pPr>
      <w:bookmarkStart w:id="4" w:name="_Toc523986722"/>
      <w:bookmarkStart w:id="5" w:name="_Toc523989235"/>
      <w:bookmarkStart w:id="6" w:name="_Toc174092981"/>
      <w:r w:rsidRPr="00D5698E">
        <w:t>Introduction</w:t>
      </w:r>
      <w:bookmarkEnd w:id="4"/>
      <w:bookmarkEnd w:id="5"/>
      <w:bookmarkEnd w:id="6"/>
      <w:r w:rsidR="00467DFF" w:rsidRPr="00196CDD">
        <w:t xml:space="preserve"> </w:t>
      </w:r>
    </w:p>
    <w:p w14:paraId="1B3B516C" w14:textId="77777777" w:rsidR="00D05C0E" w:rsidRDefault="00A85DD4" w:rsidP="003B486C">
      <w:pPr>
        <w:pStyle w:val="Policybulletlevel2"/>
      </w:pPr>
      <w:r>
        <w:t xml:space="preserve">The </w:t>
      </w:r>
      <w:r w:rsidR="00D05C0E">
        <w:t>Trust recognises the importance of the provision and effective management of staff accommodation both in terms of its obligations as a teaching Trust and also to support the recruitment and retention of high calib</w:t>
      </w:r>
      <w:r w:rsidR="00A30F16">
        <w:t>re</w:t>
      </w:r>
      <w:r w:rsidR="00D05C0E">
        <w:t xml:space="preserve"> staff.</w:t>
      </w:r>
    </w:p>
    <w:p w14:paraId="4DAF6716" w14:textId="77777777" w:rsidR="00D05C0E" w:rsidRDefault="00D05C0E" w:rsidP="003B486C">
      <w:pPr>
        <w:pStyle w:val="Policybulletlevel2"/>
      </w:pPr>
      <w:r>
        <w:t>Affordable and accessible on-site accommodation allows applicants from outside of the local recruitment area the opportunity to settle in to their post without the added stress of seeking private rented accommodation in an area</w:t>
      </w:r>
      <w:r w:rsidR="00A85DD4">
        <w:t xml:space="preserve"> </w:t>
      </w:r>
      <w:r>
        <w:t>/</w:t>
      </w:r>
      <w:r w:rsidR="00A85DD4">
        <w:t xml:space="preserve"> </w:t>
      </w:r>
      <w:r>
        <w:t>country with which they may be unfamiliar</w:t>
      </w:r>
      <w:r w:rsidR="00A85DD4">
        <w:t>.  A</w:t>
      </w:r>
      <w:r>
        <w:t xml:space="preserve">dditional priority will be given to </w:t>
      </w:r>
      <w:r w:rsidR="00696035">
        <w:t>International</w:t>
      </w:r>
      <w:r>
        <w:t xml:space="preserve"> recruits.  </w:t>
      </w:r>
    </w:p>
    <w:p w14:paraId="5D12A270" w14:textId="77777777" w:rsidR="00932253" w:rsidRDefault="00932253" w:rsidP="003B486C">
      <w:pPr>
        <w:pStyle w:val="Policybulletlevel2"/>
      </w:pPr>
      <w:r>
        <w:t>The Trust’s university status presents an added obligation to provide accommodation for doctors in training, nursing students, GP trainees, and other student professions.</w:t>
      </w:r>
    </w:p>
    <w:p w14:paraId="2EEE8EA9" w14:textId="77777777" w:rsidR="00932253" w:rsidRDefault="00932253" w:rsidP="003B486C">
      <w:pPr>
        <w:pStyle w:val="Policybulletlevel2"/>
      </w:pPr>
      <w:r>
        <w:t>The backdrop of dynamic clinical pressures also results in a changing landscape in terms of short-notice demand, particularly in respect of locum doctors and agency nurses</w:t>
      </w:r>
      <w:r w:rsidR="00E03F48">
        <w:t>, a</w:t>
      </w:r>
      <w:r>
        <w:t>s well as on-call schedules across multiple services.</w:t>
      </w:r>
    </w:p>
    <w:p w14:paraId="10E3B96C" w14:textId="77777777" w:rsidR="00D05C0E" w:rsidRDefault="00932253" w:rsidP="003B486C">
      <w:pPr>
        <w:pStyle w:val="Policybulletlevel2"/>
      </w:pPr>
      <w:r>
        <w:t>The policy reflects these often competing demands and seeks to provide a framework which allows for accommodation to be provided in line with organisational and mandatory requirements.</w:t>
      </w:r>
    </w:p>
    <w:p w14:paraId="0B4D176A" w14:textId="77777777" w:rsidR="000343DE" w:rsidRPr="001321EA" w:rsidRDefault="00730768" w:rsidP="003B486C">
      <w:pPr>
        <w:pStyle w:val="Policyheader"/>
      </w:pPr>
      <w:bookmarkStart w:id="7" w:name="_Toc523986723"/>
      <w:bookmarkStart w:id="8" w:name="_Toc523989237"/>
      <w:bookmarkStart w:id="9" w:name="_Toc174092982"/>
      <w:r w:rsidRPr="00D5698E">
        <w:t>Definitions</w:t>
      </w:r>
      <w:bookmarkStart w:id="10" w:name="_Toc523988942"/>
      <w:bookmarkStart w:id="11" w:name="_Toc523988961"/>
      <w:bookmarkStart w:id="12" w:name="_Toc523989238"/>
      <w:bookmarkStart w:id="13" w:name="_Toc523989267"/>
      <w:bookmarkStart w:id="14" w:name="_Toc523989323"/>
      <w:bookmarkStart w:id="15" w:name="_Toc523989577"/>
      <w:bookmarkStart w:id="16" w:name="_Toc523989900"/>
      <w:bookmarkStart w:id="17" w:name="_Toc523990376"/>
      <w:bookmarkStart w:id="18" w:name="_Toc523990562"/>
      <w:bookmarkStart w:id="19" w:name="_Toc6490109"/>
      <w:bookmarkStart w:id="20" w:name="_Toc6490142"/>
      <w:bookmarkStart w:id="21" w:name="_Toc6490161"/>
      <w:bookmarkStart w:id="22" w:name="_Toc12517011"/>
      <w:bookmarkStart w:id="23" w:name="_Toc12517063"/>
      <w:bookmarkStart w:id="24" w:name="_Toc523988943"/>
      <w:bookmarkStart w:id="25" w:name="_Toc523988962"/>
      <w:bookmarkStart w:id="26" w:name="_Toc523989239"/>
      <w:bookmarkStart w:id="27" w:name="_Toc523989268"/>
      <w:bookmarkStart w:id="28" w:name="_Toc523989324"/>
      <w:bookmarkStart w:id="29" w:name="_Toc523989578"/>
      <w:bookmarkStart w:id="30" w:name="_Toc523989901"/>
      <w:bookmarkStart w:id="31" w:name="_Toc523990377"/>
      <w:bookmarkStart w:id="32" w:name="_Toc523990563"/>
      <w:bookmarkStart w:id="33" w:name="_Toc6490110"/>
      <w:bookmarkStart w:id="34" w:name="_Toc6490143"/>
      <w:bookmarkStart w:id="35" w:name="_Toc6490162"/>
      <w:bookmarkStart w:id="36" w:name="_Toc12517012"/>
      <w:bookmarkStart w:id="37" w:name="_Toc125170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787F34F" w14:textId="77777777" w:rsidR="00932253" w:rsidRPr="00932253" w:rsidRDefault="00932253" w:rsidP="003B486C">
      <w:pPr>
        <w:pStyle w:val="Policybulletlevel2"/>
      </w:pPr>
      <w:bookmarkStart w:id="38" w:name="_Toc523989241"/>
      <w:bookmarkStart w:id="39" w:name="_Toc523986724"/>
      <w:bookmarkStart w:id="40" w:name="_Toc523989242"/>
      <w:bookmarkEnd w:id="38"/>
      <w:r w:rsidRPr="00932253">
        <w:rPr>
          <w:b/>
        </w:rPr>
        <w:t>Assured Shorthold Tenancy (AST)</w:t>
      </w:r>
      <w:r w:rsidRPr="00932253">
        <w:t xml:space="preserve"> – within the meaning of the Housing Act 1988 as amended by the Housing Act 1996.  Contractual document required for tenancies over one month in duration</w:t>
      </w:r>
      <w:r w:rsidR="005B0966">
        <w:t>.</w:t>
      </w:r>
    </w:p>
    <w:p w14:paraId="258DE136" w14:textId="77777777" w:rsidR="00932253" w:rsidRPr="00932253" w:rsidRDefault="00932253" w:rsidP="003B486C">
      <w:pPr>
        <w:pStyle w:val="Policybulletlevel2"/>
      </w:pPr>
      <w:r w:rsidRPr="00932253">
        <w:rPr>
          <w:b/>
        </w:rPr>
        <w:t>Common Law Tenancy (CLT)</w:t>
      </w:r>
      <w:r w:rsidRPr="00932253">
        <w:t xml:space="preserve"> – In a common law residential tenancy, the tenant’s rights and obligations are mainly dependent on the terms agreed between the parties (written into the agreement), they are contractual or “non-statutory contractual tenancies” as opposed to those being regulated by statute</w:t>
      </w:r>
      <w:r w:rsidR="005B0966">
        <w:t>.</w:t>
      </w:r>
    </w:p>
    <w:p w14:paraId="4F05A158" w14:textId="77777777" w:rsidR="00932253" w:rsidRPr="00932253" w:rsidRDefault="00932253" w:rsidP="003B486C">
      <w:pPr>
        <w:pStyle w:val="Policybulletlevel2"/>
      </w:pPr>
      <w:r w:rsidRPr="00932253">
        <w:rPr>
          <w:b/>
        </w:rPr>
        <w:lastRenderedPageBreak/>
        <w:t>License to Occupy (LTO)</w:t>
      </w:r>
      <w:r w:rsidRPr="00932253">
        <w:t xml:space="preserve"> - is a personal agreement between a property owner (Licensor) and an occupier (Licensee). Under a License the Licensor provides the Licensee with the non-exclusive possession of a property for a period of time (up to one month or up to six months for medical students)</w:t>
      </w:r>
      <w:r w:rsidR="005B0966">
        <w:t>.</w:t>
      </w:r>
    </w:p>
    <w:p w14:paraId="260B86CF" w14:textId="77777777" w:rsidR="00932253" w:rsidRPr="00932253" w:rsidRDefault="00932253" w:rsidP="003B486C">
      <w:pPr>
        <w:pStyle w:val="Policybulletlevel2"/>
      </w:pPr>
      <w:r w:rsidRPr="00932253">
        <w:rPr>
          <w:b/>
        </w:rPr>
        <w:t>Deregulation Act 2015</w:t>
      </w:r>
      <w:r w:rsidRPr="00932253">
        <w:t xml:space="preserve"> – Combines legislation in relation to Tenancy deposits, Section 21 Notices and prescribed information as outlined in the Housing Act 2004 Section 213 (5) &amp; (6)</w:t>
      </w:r>
      <w:r w:rsidR="005B0966">
        <w:t>.</w:t>
      </w:r>
    </w:p>
    <w:p w14:paraId="233F84E0" w14:textId="77777777" w:rsidR="00932253" w:rsidRPr="00932253" w:rsidRDefault="00932253" w:rsidP="003B486C">
      <w:pPr>
        <w:pStyle w:val="Policybulletlevel2"/>
      </w:pPr>
      <w:r w:rsidRPr="00932253">
        <w:rPr>
          <w:b/>
        </w:rPr>
        <w:t>Homes (Fitness for Human Habitation) Act 2018</w:t>
      </w:r>
      <w:r w:rsidRPr="00932253">
        <w:t xml:space="preserve"> - An Act to amend the Landlord and Tenant Act 1985 to require that residential rented accommodation is provided and maintained in a state of fitness for human habitation; and for connected purposes</w:t>
      </w:r>
      <w:r w:rsidR="005B0966">
        <w:t>.</w:t>
      </w:r>
    </w:p>
    <w:p w14:paraId="56D93866" w14:textId="77777777" w:rsidR="00932253" w:rsidRPr="00932253" w:rsidRDefault="00932253" w:rsidP="003B486C">
      <w:pPr>
        <w:pStyle w:val="Policybulletlevel2"/>
      </w:pPr>
      <w:r w:rsidRPr="00932253">
        <w:rPr>
          <w:b/>
        </w:rPr>
        <w:t>Immigration Act 2014 –</w:t>
      </w:r>
      <w:r w:rsidRPr="00932253">
        <w:t xml:space="preserve"> Relates to The Right to Rent check that has been a legal requirement since February 2016 when it was rolled out across England. Right to Rent checks requires landlords/agents to determine the immigration status of all prospective adult tenants by checking ID before the start of a tenancy</w:t>
      </w:r>
      <w:r w:rsidR="005B0966">
        <w:t>.</w:t>
      </w:r>
    </w:p>
    <w:p w14:paraId="665595A4" w14:textId="77777777" w:rsidR="00932253" w:rsidRPr="00932253" w:rsidRDefault="00932253" w:rsidP="003B486C">
      <w:pPr>
        <w:pStyle w:val="Policybulletlevel2"/>
      </w:pPr>
      <w:r w:rsidRPr="00932253">
        <w:rPr>
          <w:b/>
        </w:rPr>
        <w:t>Staff Accommodation –</w:t>
      </w:r>
      <w:r w:rsidRPr="00932253">
        <w:t xml:space="preserve"> </w:t>
      </w:r>
      <w:r>
        <w:t>R</w:t>
      </w:r>
      <w:r w:rsidRPr="00932253">
        <w:t>esidential on-site accommodation within the control of the Trust and situated at each of the three acute sites.  Where off-site accommodation is utilised the respective organisation’s policy and terms &amp; conditions will apply</w:t>
      </w:r>
      <w:r w:rsidR="005B0966">
        <w:t>.</w:t>
      </w:r>
    </w:p>
    <w:p w14:paraId="7C5AA6B1" w14:textId="77777777" w:rsidR="00932253" w:rsidRPr="00932253" w:rsidRDefault="00932253" w:rsidP="003B486C">
      <w:pPr>
        <w:pStyle w:val="Policybulletlevel2"/>
      </w:pPr>
      <w:r w:rsidRPr="00932253">
        <w:rPr>
          <w:b/>
        </w:rPr>
        <w:t>OCCAM Room Service –</w:t>
      </w:r>
      <w:r w:rsidRPr="00932253">
        <w:t xml:space="preserve"> </w:t>
      </w:r>
      <w:r>
        <w:t>T</w:t>
      </w:r>
      <w:r w:rsidRPr="00932253">
        <w:t>he software provided to allow users to self-book accommodation, and pay at the point the room allocation is confirmed.  Source of management information to assist in effective management and future planning</w:t>
      </w:r>
      <w:r w:rsidR="005B0966">
        <w:t>.</w:t>
      </w:r>
    </w:p>
    <w:p w14:paraId="3CB9C6A4" w14:textId="77777777" w:rsidR="00932253" w:rsidRPr="00932253" w:rsidRDefault="00932253" w:rsidP="003B486C">
      <w:pPr>
        <w:pStyle w:val="Policybulletlevel2"/>
      </w:pPr>
      <w:r w:rsidRPr="00932253">
        <w:rPr>
          <w:b/>
        </w:rPr>
        <w:t>Doctors in Training (DiTs)</w:t>
      </w:r>
      <w:r w:rsidRPr="00932253">
        <w:t xml:space="preserve"> – as described within the Terms &amp; Conditions of service for NHS Doctors and Dentists in Training (England) (2016)</w:t>
      </w:r>
      <w:r w:rsidR="005B0966">
        <w:t>.</w:t>
      </w:r>
    </w:p>
    <w:p w14:paraId="3E06629C" w14:textId="77777777" w:rsidR="00932253" w:rsidRPr="00932253" w:rsidRDefault="00932253" w:rsidP="003B486C">
      <w:pPr>
        <w:pStyle w:val="Policybulletlevel2"/>
      </w:pPr>
      <w:r w:rsidRPr="00932253">
        <w:rPr>
          <w:b/>
        </w:rPr>
        <w:t>Right to Rent –</w:t>
      </w:r>
      <w:r w:rsidRPr="00932253">
        <w:t xml:space="preserve"> There must be checks made that a tenant or lodger can legally rent residential property in England. Before the start of a new tenancy, checks will be made on all tenants aged 18 and over, even if:</w:t>
      </w:r>
    </w:p>
    <w:p w14:paraId="1601DD21" w14:textId="77777777" w:rsidR="00932253" w:rsidRPr="005B0966" w:rsidRDefault="00932253" w:rsidP="00A87009">
      <w:pPr>
        <w:pStyle w:val="PolicybulletLevel3"/>
        <w:ind w:left="1701"/>
      </w:pPr>
      <w:r w:rsidRPr="00932253">
        <w:t>The</w:t>
      </w:r>
      <w:r w:rsidRPr="005B0966">
        <w:t xml:space="preserve">y are not named on the tenancy agreement; </w:t>
      </w:r>
    </w:p>
    <w:p w14:paraId="608D0863" w14:textId="77777777" w:rsidR="00932253" w:rsidRPr="005B0966" w:rsidRDefault="00932253" w:rsidP="00A87009">
      <w:pPr>
        <w:pStyle w:val="PolicybulletLevel3"/>
        <w:ind w:left="1701"/>
      </w:pPr>
      <w:r w:rsidRPr="005B0966">
        <w:t>There is no tenancy agreement; and</w:t>
      </w:r>
    </w:p>
    <w:p w14:paraId="1D87B028" w14:textId="77777777" w:rsidR="00932253" w:rsidRPr="00932253" w:rsidRDefault="00932253" w:rsidP="00A87009">
      <w:pPr>
        <w:pStyle w:val="PolicybulletLevel3"/>
        <w:ind w:left="1701"/>
        <w:rPr>
          <w:b/>
          <w:bCs/>
          <w:noProof/>
          <w:sz w:val="28"/>
        </w:rPr>
      </w:pPr>
      <w:r w:rsidRPr="005B0966">
        <w:t xml:space="preserve">The </w:t>
      </w:r>
      <w:r w:rsidRPr="00932253">
        <w:t>tenancy agreement is not in writing.</w:t>
      </w:r>
    </w:p>
    <w:p w14:paraId="797DC179" w14:textId="77777777" w:rsidR="00256C7C" w:rsidRDefault="00256C7C">
      <w:pPr>
        <w:rPr>
          <w:b/>
          <w:bCs/>
          <w:noProof/>
          <w:sz w:val="28"/>
        </w:rPr>
      </w:pPr>
      <w:r>
        <w:br w:type="page"/>
      </w:r>
    </w:p>
    <w:p w14:paraId="68744214" w14:textId="77777777" w:rsidR="00901EDC" w:rsidRDefault="00730768" w:rsidP="003B486C">
      <w:pPr>
        <w:pStyle w:val="Policyheader"/>
      </w:pPr>
      <w:bookmarkStart w:id="41" w:name="_Toc174092983"/>
      <w:r w:rsidRPr="00D5698E">
        <w:lastRenderedPageBreak/>
        <w:t>Purpos</w:t>
      </w:r>
      <w:r w:rsidRPr="007A6A04">
        <w:t>e</w:t>
      </w:r>
      <w:r w:rsidRPr="00196CDD">
        <w:t xml:space="preserve"> and Scope</w:t>
      </w:r>
      <w:bookmarkEnd w:id="39"/>
      <w:bookmarkEnd w:id="40"/>
      <w:bookmarkEnd w:id="41"/>
    </w:p>
    <w:p w14:paraId="4F17F4AC" w14:textId="77777777" w:rsidR="00486420" w:rsidRDefault="00486420" w:rsidP="003B486C">
      <w:pPr>
        <w:pStyle w:val="Policybulletlevel2"/>
      </w:pPr>
      <w:r>
        <w:t>This policy sets out the standard for management of and availability of Trust residential accommodation.</w:t>
      </w:r>
    </w:p>
    <w:p w14:paraId="65124A8A" w14:textId="77777777" w:rsidR="00486420" w:rsidRDefault="00486420" w:rsidP="003B486C">
      <w:pPr>
        <w:pStyle w:val="Policybulletlevel2"/>
      </w:pPr>
      <w:r>
        <w:t>This policy is applicable to all staff residing in and responsible for management of Trust residential accommodation.</w:t>
      </w:r>
    </w:p>
    <w:p w14:paraId="09C28B18" w14:textId="77777777" w:rsidR="00901EDC" w:rsidRDefault="00301B89" w:rsidP="003B486C">
      <w:pPr>
        <w:pStyle w:val="Policyheader"/>
      </w:pPr>
      <w:bookmarkStart w:id="42" w:name="_Toc523986725"/>
      <w:bookmarkStart w:id="43" w:name="_Toc523989243"/>
      <w:bookmarkStart w:id="44" w:name="_Toc174092984"/>
      <w:r w:rsidRPr="007A6A04">
        <w:t>Duties</w:t>
      </w:r>
      <w:bookmarkEnd w:id="42"/>
      <w:bookmarkEnd w:id="43"/>
      <w:bookmarkEnd w:id="44"/>
    </w:p>
    <w:p w14:paraId="075ECDF8" w14:textId="77777777" w:rsidR="00932253" w:rsidRDefault="00932253" w:rsidP="003B486C">
      <w:pPr>
        <w:pStyle w:val="Policybulletlevel2"/>
      </w:pPr>
      <w:r w:rsidRPr="00932253">
        <w:rPr>
          <w:b/>
        </w:rPr>
        <w:t>The Chief Executive</w:t>
      </w:r>
      <w:r>
        <w:t xml:space="preserve"> has overall responsibility for this policy.</w:t>
      </w:r>
    </w:p>
    <w:p w14:paraId="5B106A0D" w14:textId="77777777" w:rsidR="00932253" w:rsidRDefault="00932253" w:rsidP="003B486C">
      <w:pPr>
        <w:pStyle w:val="Policybulletlevel2"/>
      </w:pPr>
      <w:r w:rsidRPr="00932253">
        <w:rPr>
          <w:b/>
        </w:rPr>
        <w:t>The Director of Strategic Development and Capital Planning</w:t>
      </w:r>
      <w:r w:rsidR="006E7FD4">
        <w:rPr>
          <w:b/>
        </w:rPr>
        <w:t xml:space="preserve"> </w:t>
      </w:r>
      <w:r w:rsidRPr="00932253">
        <w:rPr>
          <w:b/>
        </w:rPr>
        <w:t>/</w:t>
      </w:r>
      <w:r w:rsidR="006E7FD4">
        <w:rPr>
          <w:b/>
        </w:rPr>
        <w:t xml:space="preserve"> </w:t>
      </w:r>
      <w:r w:rsidRPr="00932253">
        <w:rPr>
          <w:b/>
        </w:rPr>
        <w:t>Deputy CEO</w:t>
      </w:r>
      <w:r>
        <w:t xml:space="preserve"> has operational responsibility for residential accommodation management and the further development of the service in conjunction with Trust clinical strategy. This Executive also is responsible for agreeing any extensions to tenancy agreements.</w:t>
      </w:r>
    </w:p>
    <w:p w14:paraId="1FC14F17" w14:textId="77777777" w:rsidR="00932253" w:rsidRDefault="00932253" w:rsidP="003B486C">
      <w:pPr>
        <w:pStyle w:val="Policybulletlevel2"/>
      </w:pPr>
      <w:r w:rsidRPr="00932253">
        <w:rPr>
          <w:b/>
        </w:rPr>
        <w:t>The Associate Director of People &amp; Culture</w:t>
      </w:r>
      <w:r>
        <w:t xml:space="preserve"> will provide guidance and may act as an independent decision maker. </w:t>
      </w:r>
      <w:r w:rsidR="001D751F">
        <w:t xml:space="preserve"> </w:t>
      </w:r>
      <w:r>
        <w:t xml:space="preserve">This Director will also assist in the review of requests to extend the </w:t>
      </w:r>
      <w:r w:rsidR="00BE5407">
        <w:t>three</w:t>
      </w:r>
      <w:r>
        <w:t xml:space="preserve">-month occupancy for </w:t>
      </w:r>
      <w:r w:rsidR="00696035">
        <w:t>International</w:t>
      </w:r>
      <w:r>
        <w:t xml:space="preserve"> nurses.</w:t>
      </w:r>
    </w:p>
    <w:p w14:paraId="5603DB14" w14:textId="77777777" w:rsidR="00932253" w:rsidRDefault="00932253" w:rsidP="003B486C">
      <w:pPr>
        <w:pStyle w:val="Policybulletlevel2"/>
      </w:pPr>
      <w:r w:rsidRPr="00932253">
        <w:rPr>
          <w:b/>
        </w:rPr>
        <w:t>The Senior Commercial Income Manager</w:t>
      </w:r>
      <w:r>
        <w:t xml:space="preserve"> has responsibility for the financial performance of the service, capacity planning, and policy development. </w:t>
      </w:r>
    </w:p>
    <w:p w14:paraId="6CF8712B" w14:textId="77777777" w:rsidR="00932253" w:rsidRDefault="00932253" w:rsidP="003B486C">
      <w:pPr>
        <w:pStyle w:val="Policybulletlevel2"/>
      </w:pPr>
      <w:r w:rsidRPr="00932253">
        <w:rPr>
          <w:b/>
        </w:rPr>
        <w:t>2gether’s Accommodation Manager/site</w:t>
      </w:r>
      <w:r w:rsidR="00166CE0">
        <w:rPr>
          <w:b/>
        </w:rPr>
        <w:t xml:space="preserve"> Head of Facilities (</w:t>
      </w:r>
      <w:proofErr w:type="spellStart"/>
      <w:r w:rsidRPr="00932253">
        <w:rPr>
          <w:b/>
        </w:rPr>
        <w:t>HoF</w:t>
      </w:r>
      <w:proofErr w:type="spellEnd"/>
      <w:r w:rsidR="00166CE0">
        <w:rPr>
          <w:b/>
        </w:rPr>
        <w:t>)</w:t>
      </w:r>
      <w:r>
        <w:t xml:space="preserve"> is responsible for overseeing the administrative functions and is the first point of contact for escalated issues and concerns raised by service users.</w:t>
      </w:r>
    </w:p>
    <w:p w14:paraId="121A75D6" w14:textId="77777777" w:rsidR="001D751F" w:rsidRDefault="00932253" w:rsidP="003B486C">
      <w:pPr>
        <w:pStyle w:val="Policybulletlevel2"/>
      </w:pPr>
      <w:r w:rsidRPr="00932253">
        <w:rPr>
          <w:b/>
        </w:rPr>
        <w:t>2gether’s Accommodation Officers</w:t>
      </w:r>
      <w:r>
        <w:t xml:space="preserve"> provide the frontline interface with the service users, facilitating enquiries, room bookings, managing keys, raising of invoices and dealing with complaints and service requests.  </w:t>
      </w:r>
    </w:p>
    <w:p w14:paraId="1C2745EC" w14:textId="77777777" w:rsidR="00932253" w:rsidRDefault="00932253" w:rsidP="003B486C">
      <w:pPr>
        <w:pStyle w:val="Policybulletlevel2"/>
        <w:numPr>
          <w:ilvl w:val="0"/>
          <w:numId w:val="0"/>
        </w:numPr>
        <w:ind w:left="851"/>
      </w:pPr>
      <w:r>
        <w:t xml:space="preserve">They will also audit cleaning standards, carry out regular meter readings, line manage the domestics, operate the room booking software, conduct condition surveys and inventory checks, escalate outstanding defect reports, communicate with tenants, liaise with Credit Control to reduce aged debt, pass on arrears for manual invoicing, manage refunds, make additional arrangements to facilitate </w:t>
      </w:r>
      <w:r w:rsidR="00696035">
        <w:t>International</w:t>
      </w:r>
      <w:r>
        <w:t xml:space="preserve"> Nurses (OSN), such as food welcome packs, bedding packs and issue hard copy documentation specific to the needs of the OSN’s.</w:t>
      </w:r>
    </w:p>
    <w:p w14:paraId="29B22489" w14:textId="77777777" w:rsidR="00932253" w:rsidRDefault="00932253" w:rsidP="003B486C">
      <w:pPr>
        <w:pStyle w:val="Policybulletlevel2"/>
      </w:pPr>
      <w:r w:rsidRPr="00932253">
        <w:rPr>
          <w:b/>
        </w:rPr>
        <w:t>The 2gether’s Domestics</w:t>
      </w:r>
      <w:r>
        <w:t xml:space="preserve"> are responsible for undertaking vacation cleans, stocking linen and inventory stock items, and cleaning of communal areas.  In addition, the domestic will report any faults with fixtures and fittings, and any </w:t>
      </w:r>
      <w:r w:rsidR="00C03DD8">
        <w:t>Health &amp; Safety (</w:t>
      </w:r>
      <w:r>
        <w:t>H&amp;S</w:t>
      </w:r>
      <w:r w:rsidR="00C03DD8">
        <w:t>)</w:t>
      </w:r>
      <w:r>
        <w:t xml:space="preserve"> hazards identified whilst undertaking their daily tasks.</w:t>
      </w:r>
    </w:p>
    <w:p w14:paraId="32305F48" w14:textId="77777777" w:rsidR="00932253" w:rsidRDefault="00932253" w:rsidP="003B486C">
      <w:pPr>
        <w:pStyle w:val="Policybulletlevel2"/>
      </w:pPr>
      <w:r w:rsidRPr="00932253">
        <w:rPr>
          <w:b/>
        </w:rPr>
        <w:lastRenderedPageBreak/>
        <w:t>Main reception/porter lodge staff</w:t>
      </w:r>
      <w:r>
        <w:t xml:space="preserve"> hold keys to enable access out of hours (between 3.30pm and 8am, and all weekend).</w:t>
      </w:r>
      <w:r>
        <w:tab/>
      </w:r>
    </w:p>
    <w:p w14:paraId="04C419E3" w14:textId="77777777" w:rsidR="00932253" w:rsidRDefault="00932253" w:rsidP="003B486C">
      <w:pPr>
        <w:pStyle w:val="Policybulletlevel2"/>
      </w:pPr>
      <w:r w:rsidRPr="00932253">
        <w:rPr>
          <w:b/>
        </w:rPr>
        <w:t>The Finance department (East Kent Finance Consortium</w:t>
      </w:r>
      <w:r>
        <w:t xml:space="preserve">) </w:t>
      </w:r>
      <w:r w:rsidR="001D751F">
        <w:t>is</w:t>
      </w:r>
      <w:r>
        <w:t xml:space="preserve"> responsible for raising ad-hoc invoices and ensuring payment is made via standard credit control procedures.  Aged debt will be managed in accordance with relevant Trust policies and in conjunction with the Senior Commercial Income Manager.</w:t>
      </w:r>
    </w:p>
    <w:p w14:paraId="7221CCF0" w14:textId="77777777" w:rsidR="00932253" w:rsidRDefault="00932253" w:rsidP="003B486C">
      <w:pPr>
        <w:pStyle w:val="Policybulletlevel2"/>
      </w:pPr>
      <w:r w:rsidRPr="00932253">
        <w:rPr>
          <w:b/>
        </w:rPr>
        <w:t>The Estates department (and IT for Wi-Fi issues)</w:t>
      </w:r>
      <w:r>
        <w:t xml:space="preserve"> will provide a daily caretaker service and provide specialist support to address all estates defects reported by service users and/or 2gether Support Solutions and monitor compliance with Trust fire and other essential safety regulations.</w:t>
      </w:r>
    </w:p>
    <w:p w14:paraId="15C00B3A" w14:textId="77777777" w:rsidR="00932253" w:rsidRDefault="00932253" w:rsidP="003B486C">
      <w:pPr>
        <w:pStyle w:val="Policybulletlevel2"/>
      </w:pPr>
      <w:r w:rsidRPr="00932253">
        <w:rPr>
          <w:b/>
        </w:rPr>
        <w:t>Care Group Directors and Managers</w:t>
      </w:r>
      <w:r>
        <w:t xml:space="preserve"> have responsibility to be aware of and follow the procedures in this policy and to ensure that all staff have access to this policy.</w:t>
      </w:r>
      <w:r w:rsidR="001D751F">
        <w:t xml:space="preserve"> </w:t>
      </w:r>
      <w:r>
        <w:t xml:space="preserve"> All Managers who manage staff who are seeking accommodation are responsible for ensuring that this policy is adhered to.</w:t>
      </w:r>
      <w:r w:rsidR="00AA22B7">
        <w:t xml:space="preserve"> </w:t>
      </w:r>
      <w:r w:rsidR="001D751F">
        <w:t xml:space="preserve"> </w:t>
      </w:r>
      <w:r w:rsidR="00AA22B7">
        <w:t xml:space="preserve">Care Group Triumvirates will </w:t>
      </w:r>
      <w:r w:rsidR="00616B7C">
        <w:t xml:space="preserve">provide any relevant </w:t>
      </w:r>
      <w:r w:rsidR="00AA22B7">
        <w:t>inform</w:t>
      </w:r>
      <w:r w:rsidR="00616B7C">
        <w:t>ation</w:t>
      </w:r>
      <w:r w:rsidR="00AA22B7">
        <w:t xml:space="preserve"> of any negative to the service</w:t>
      </w:r>
      <w:r w:rsidR="00616B7C">
        <w:t>,</w:t>
      </w:r>
      <w:r w:rsidR="00AA22B7">
        <w:t xml:space="preserve"> if a request to extend tenancy has been made by a resident in their Care Group.</w:t>
      </w:r>
    </w:p>
    <w:p w14:paraId="037B6340" w14:textId="77777777" w:rsidR="00F70BA6" w:rsidRDefault="00932253" w:rsidP="003B486C">
      <w:pPr>
        <w:pStyle w:val="Policybulletlevel2"/>
      </w:pPr>
      <w:r w:rsidRPr="00932253">
        <w:rPr>
          <w:b/>
        </w:rPr>
        <w:t>Tenants</w:t>
      </w:r>
      <w:r>
        <w:t xml:space="preserve"> must ensure AST/LTO documents are read and agreed via the room booking portal, and abide by all prevailing terms &amp; conditions set out within the tenancy agreement and residents welcome pack.</w:t>
      </w:r>
      <w:r w:rsidR="001D751F">
        <w:t xml:space="preserve"> </w:t>
      </w:r>
      <w:r>
        <w:t xml:space="preserve"> They must also familiarise themselves with the fire safety instructions and evacuation procedure for each room. </w:t>
      </w:r>
      <w:r w:rsidR="001D751F">
        <w:t xml:space="preserve"> </w:t>
      </w:r>
      <w:r>
        <w:t>They must ensure the room/block is securely locked whenever leaving accommodation. Keys must be returned no later than 10am on the date of departure to the designated point upon ending their tenancy and the room left in a comparable condition to when it was originally let.</w:t>
      </w:r>
      <w:r w:rsidR="001D751F">
        <w:t xml:space="preserve"> </w:t>
      </w:r>
      <w:r>
        <w:t xml:space="preserve"> Additional charges may be applied to cover damage to a property beyond fair wear and tear, and excessive cleaning.</w:t>
      </w:r>
    </w:p>
    <w:p w14:paraId="2F9B440D" w14:textId="77777777" w:rsidR="00DB60F6" w:rsidRDefault="00486420" w:rsidP="003B486C">
      <w:pPr>
        <w:pStyle w:val="Policyheader"/>
      </w:pPr>
      <w:bookmarkStart w:id="45" w:name="_Toc174092985"/>
      <w:r w:rsidRPr="00DB60F6">
        <w:t>Tenancy Duration</w:t>
      </w:r>
      <w:bookmarkEnd w:id="45"/>
    </w:p>
    <w:p w14:paraId="728E6A3B" w14:textId="77777777" w:rsidR="00CE6C28" w:rsidRPr="00BB6BF5" w:rsidRDefault="00D1477E" w:rsidP="003B486C">
      <w:pPr>
        <w:pStyle w:val="Policybulletlevel2"/>
      </w:pPr>
      <w:r w:rsidRPr="00BB6BF5">
        <w:t xml:space="preserve">The Trust does recognise that new staff </w:t>
      </w:r>
      <w:r w:rsidR="00CE6C28" w:rsidRPr="00BB6BF5">
        <w:t>who move</w:t>
      </w:r>
      <w:r w:rsidRPr="00BB6BF5">
        <w:t xml:space="preserve"> to </w:t>
      </w:r>
      <w:r w:rsidR="00BB6BF5" w:rsidRPr="00BB6BF5">
        <w:t>E</w:t>
      </w:r>
      <w:r w:rsidRPr="00BB6BF5">
        <w:t>ast Kent due to be</w:t>
      </w:r>
      <w:r w:rsidR="00CE6C28" w:rsidRPr="00BB6BF5">
        <w:t xml:space="preserve">ing </w:t>
      </w:r>
      <w:r w:rsidRPr="00BB6BF5">
        <w:t>successfully appointed to a new role</w:t>
      </w:r>
      <w:r w:rsidR="001D751F" w:rsidRPr="00BB6BF5">
        <w:t>,</w:t>
      </w:r>
      <w:r w:rsidRPr="00BB6BF5">
        <w:t xml:space="preserve"> may wish to stay in the Trust’s </w:t>
      </w:r>
      <w:r w:rsidR="00CE6C28" w:rsidRPr="00BB6BF5">
        <w:t>residential accommodation on</w:t>
      </w:r>
      <w:r w:rsidRPr="00BB6BF5">
        <w:t xml:space="preserve"> the main hospital sites</w:t>
      </w:r>
      <w:r w:rsidR="001D751F" w:rsidRPr="00BB6BF5">
        <w:t>,</w:t>
      </w:r>
      <w:r w:rsidRPr="00BB6BF5">
        <w:t xml:space="preserve"> as it can be difficult to know where to start when looking for residential accommodation</w:t>
      </w:r>
      <w:r w:rsidR="00CE6C28" w:rsidRPr="00BB6BF5">
        <w:t xml:space="preserve"> in the local area</w:t>
      </w:r>
      <w:r w:rsidRPr="00BB6BF5">
        <w:t xml:space="preserve">.  The Trust and </w:t>
      </w:r>
      <w:r w:rsidR="00CE6C28" w:rsidRPr="00BB6BF5">
        <w:t>its</w:t>
      </w:r>
      <w:r w:rsidRPr="00BB6BF5">
        <w:t xml:space="preserve"> subsidiary 2gether will support all residents during their </w:t>
      </w:r>
      <w:r w:rsidR="00CE6C28" w:rsidRPr="00BB6BF5">
        <w:t>tenancy</w:t>
      </w:r>
      <w:r w:rsidR="00CE6C28" w:rsidRPr="00DB60F6">
        <w:rPr>
          <w:i/>
        </w:rPr>
        <w:t xml:space="preserve"> </w:t>
      </w:r>
      <w:r w:rsidR="00CE6C28" w:rsidRPr="00BB6BF5">
        <w:t>in our on-site accommodation</w:t>
      </w:r>
      <w:r w:rsidR="001D751F" w:rsidRPr="00BB6BF5">
        <w:t>,</w:t>
      </w:r>
      <w:r w:rsidR="00CE6C28" w:rsidRPr="00BB6BF5">
        <w:t xml:space="preserve"> as well as providing advice and guidance to tenants when they need to vacate and find private accommodation in the area.</w:t>
      </w:r>
    </w:p>
    <w:p w14:paraId="5C8E4C86" w14:textId="77777777" w:rsidR="00932253" w:rsidRDefault="00932253" w:rsidP="003B486C">
      <w:pPr>
        <w:pStyle w:val="Policybulletlevel2"/>
      </w:pPr>
      <w:r>
        <w:t xml:space="preserve">The demand for residential accommodation is variable and is requested by many people within the Trust. The Trust cannot guarantee to meet all levels of demand </w:t>
      </w:r>
      <w:r>
        <w:lastRenderedPageBreak/>
        <w:t>at all times.</w:t>
      </w:r>
      <w:r w:rsidR="001D751F">
        <w:t xml:space="preserve"> </w:t>
      </w:r>
      <w:r>
        <w:t xml:space="preserve"> It is therefore imperative that requests for residential accommodation are prioritised.</w:t>
      </w:r>
    </w:p>
    <w:p w14:paraId="5A1A8A84" w14:textId="77777777" w:rsidR="00932253" w:rsidRDefault="00932253" w:rsidP="003B486C">
      <w:pPr>
        <w:pStyle w:val="Policybulletlevel2"/>
      </w:pPr>
      <w:r>
        <w:t>Length of stay for medical students will be determined by term time</w:t>
      </w:r>
      <w:r w:rsidR="00F762FC">
        <w:t xml:space="preserve"> </w:t>
      </w:r>
      <w:r>
        <w:t>/</w:t>
      </w:r>
      <w:r w:rsidR="00F762FC">
        <w:t xml:space="preserve"> </w:t>
      </w:r>
      <w:r>
        <w:t xml:space="preserve">rotation, with accommodation available for the duration of this period. </w:t>
      </w:r>
      <w:r w:rsidR="00F762FC">
        <w:t xml:space="preserve"> </w:t>
      </w:r>
      <w:r>
        <w:t>Students wishing to stay on in accommodation between course rotations</w:t>
      </w:r>
      <w:r w:rsidR="00F762FC">
        <w:t>,</w:t>
      </w:r>
      <w:r>
        <w:t xml:space="preserve"> if returning back to the same site, will be allowed to do so providing that there is suitable capacity</w:t>
      </w:r>
      <w:r w:rsidR="006A73E4">
        <w:t>. T</w:t>
      </w:r>
      <w:r>
        <w:t xml:space="preserve">he additional cost of the accommodation between rotations must be met by the student directly. </w:t>
      </w:r>
      <w:r w:rsidR="00F762FC">
        <w:t xml:space="preserve"> </w:t>
      </w:r>
      <w:r>
        <w:t xml:space="preserve">Doctors in Training i.e. Foundation Year One (FY1 compulsory resident) will be granted a </w:t>
      </w:r>
      <w:r w:rsidR="00081E50">
        <w:t>twelve</w:t>
      </w:r>
      <w:r>
        <w:t xml:space="preserve">-month residency.  Foundation Year Two (FY2) whilst a compulsory resident will only be entitled to accommodation for a maximum of </w:t>
      </w:r>
      <w:r w:rsidR="00A8102E">
        <w:t xml:space="preserve">six </w:t>
      </w:r>
      <w:r>
        <w:t>months.</w:t>
      </w:r>
    </w:p>
    <w:p w14:paraId="4740E1FD" w14:textId="77777777" w:rsidR="00F70BA6" w:rsidRDefault="00932253" w:rsidP="003B486C">
      <w:pPr>
        <w:pStyle w:val="Policybulletlevel2"/>
      </w:pPr>
      <w:r>
        <w:t>In all other cases (with the exception of (</w:t>
      </w:r>
      <w:r w:rsidR="00D86B22">
        <w:t>I</w:t>
      </w:r>
      <w:r>
        <w:t>Ns and FY1s), the maximum length of stay will be</w:t>
      </w:r>
      <w:r w:rsidR="00166CE0">
        <w:t xml:space="preserve"> six</w:t>
      </w:r>
      <w:r>
        <w:t xml:space="preserve"> months which is considered adequate time for the tenant to seek and move into private accommodation.  If, at the point the tenancy ends, there are extenuating circumstances and capacity is such that an extension can be granted, this may be agreed with a maximum further two-month tenancy arrangement (all of which have a two</w:t>
      </w:r>
      <w:r w:rsidR="00081E50">
        <w:t>-</w:t>
      </w:r>
      <w:r>
        <w:t xml:space="preserve">month notice clause). </w:t>
      </w:r>
      <w:r w:rsidR="00F762FC">
        <w:t xml:space="preserve"> </w:t>
      </w:r>
      <w:r>
        <w:t>However, if capacity is such that an extension cannot be granted tenants will need to vacate without fail.</w:t>
      </w:r>
      <w:r w:rsidR="00CA33DC">
        <w:t xml:space="preserve"> </w:t>
      </w:r>
      <w:r w:rsidR="00F762FC">
        <w:t xml:space="preserve"> </w:t>
      </w:r>
      <w:r w:rsidR="00CA33DC">
        <w:t xml:space="preserve">If the resident requires a slightly longer extension </w:t>
      </w:r>
      <w:r w:rsidR="00081E50">
        <w:t>(for</w:t>
      </w:r>
      <w:r w:rsidR="00CA33DC">
        <w:t xml:space="preserve"> example </w:t>
      </w:r>
      <w:r w:rsidR="00081E50">
        <w:t>if</w:t>
      </w:r>
      <w:r w:rsidR="00CA33DC">
        <w:t xml:space="preserve"> a doctor in training who is moving on to an alternative Trust</w:t>
      </w:r>
      <w:r w:rsidR="00081E50">
        <w:t>) t</w:t>
      </w:r>
      <w:r w:rsidR="00CA33DC">
        <w:t xml:space="preserve">his would be considered </w:t>
      </w:r>
      <w:r w:rsidR="00E60ADB">
        <w:t xml:space="preserve">and agreed by </w:t>
      </w:r>
      <w:r w:rsidR="00EC5A78">
        <w:t>a relevant group of people that includes senior managers (i.e. HR) from the Trust and members from 2gether Support Services’ (“2gether”) accommodation team</w:t>
      </w:r>
      <w:r w:rsidR="00E60ADB">
        <w:t>.</w:t>
      </w:r>
      <w:r w:rsidR="00CA33DC">
        <w:t xml:space="preserve"> </w:t>
      </w:r>
    </w:p>
    <w:p w14:paraId="1F2A804D" w14:textId="77777777" w:rsidR="00DB60F6" w:rsidRDefault="00932253" w:rsidP="003B486C">
      <w:pPr>
        <w:pStyle w:val="Policyheader"/>
      </w:pPr>
      <w:bookmarkStart w:id="46" w:name="_Toc106191495"/>
      <w:bookmarkStart w:id="47" w:name="_Toc174092986"/>
      <w:bookmarkStart w:id="48" w:name="_Toc4687550"/>
      <w:bookmarkStart w:id="49" w:name="_Toc523986727"/>
      <w:bookmarkStart w:id="50" w:name="_Toc523989245"/>
      <w:r w:rsidRPr="00F2720B">
        <w:t>Requesting Extensions to Remain in Trust Accommodation</w:t>
      </w:r>
      <w:bookmarkEnd w:id="46"/>
      <w:bookmarkEnd w:id="47"/>
    </w:p>
    <w:p w14:paraId="3C88D833" w14:textId="77777777" w:rsidR="00932253" w:rsidRDefault="00932253" w:rsidP="003B486C">
      <w:pPr>
        <w:pStyle w:val="Policybulletlevel2"/>
      </w:pPr>
      <w:r>
        <w:t xml:space="preserve">Any tenant that requests an extension of tenancy beyond their first </w:t>
      </w:r>
      <w:r w:rsidR="00081E50">
        <w:t>six</w:t>
      </w:r>
      <w:r w:rsidR="00F229A2">
        <w:t xml:space="preserve"> </w:t>
      </w:r>
      <w:r>
        <w:t xml:space="preserve">months will </w:t>
      </w:r>
      <w:r w:rsidR="00492565">
        <w:t xml:space="preserve">only </w:t>
      </w:r>
      <w:r>
        <w:t xml:space="preserve">be considered if there are extenuating circumstances i.e. </w:t>
      </w:r>
      <w:r w:rsidR="00F035A0">
        <w:t>long-term</w:t>
      </w:r>
      <w:r>
        <w:t xml:space="preserve"> ill health</w:t>
      </w:r>
      <w:r w:rsidR="00492565">
        <w:t xml:space="preserve"> </w:t>
      </w:r>
      <w:r>
        <w:t>/</w:t>
      </w:r>
      <w:r w:rsidR="00492565">
        <w:t xml:space="preserve"> </w:t>
      </w:r>
      <w:r>
        <w:t>injury which excludes the member of staff seeking other accommodation.  If the member of staff is working</w:t>
      </w:r>
      <w:r w:rsidR="00492565">
        <w:t>,</w:t>
      </w:r>
      <w:r>
        <w:t xml:space="preserve"> this would exclude them from being eligible to remain in Trust accommodation.  Any requests due to ill health will only be considered if the resident produces a </w:t>
      </w:r>
      <w:r w:rsidR="00081E50">
        <w:t>fit note</w:t>
      </w:r>
      <w:r>
        <w:t>.</w:t>
      </w:r>
      <w:r w:rsidR="00E60ADB">
        <w:t xml:space="preserve"> </w:t>
      </w:r>
      <w:r w:rsidR="00E60ADB" w:rsidRPr="00166CE0">
        <w:t xml:space="preserve">Extensions will also be considered for </w:t>
      </w:r>
      <w:r w:rsidR="00E60ADB" w:rsidRPr="00BB6BF5">
        <w:t>Doctors in Training who are due to move to another Trust</w:t>
      </w:r>
      <w:r w:rsidR="00081E50">
        <w:t>. T</w:t>
      </w:r>
      <w:r w:rsidR="00E60ADB" w:rsidRPr="00BB6BF5">
        <w:t xml:space="preserve">he length of this extension will be determined by the date they commence their new rotation. </w:t>
      </w:r>
    </w:p>
    <w:p w14:paraId="68DAE847" w14:textId="77777777" w:rsidR="00932253" w:rsidRDefault="00932253" w:rsidP="003B486C">
      <w:pPr>
        <w:pStyle w:val="Policybulletlevel2"/>
      </w:pPr>
      <w:r>
        <w:t>Extensions may also be granted if the private landlord withdraws the offer of off- site accommodation no longer than two weeks before the tenant was due to take up residence.  Tenants must put their request in writing to 2gether’s Accommodation Manager who will present the request</w:t>
      </w:r>
      <w:r w:rsidR="00486420">
        <w:t xml:space="preserve"> to the Executive Management Team.</w:t>
      </w:r>
    </w:p>
    <w:p w14:paraId="310DDE23" w14:textId="77777777" w:rsidR="00DB60F6" w:rsidRDefault="00932253" w:rsidP="003B486C">
      <w:pPr>
        <w:pStyle w:val="Policybulletlevel2"/>
      </w:pPr>
      <w:r>
        <w:lastRenderedPageBreak/>
        <w:t>To facilitate this process 2gether’s Accommodation Manager will meet on a regular basis to present these requests</w:t>
      </w:r>
      <w:r w:rsidR="00486420">
        <w:t xml:space="preserve"> to the Executive Management Team</w:t>
      </w:r>
      <w:r>
        <w:t xml:space="preserve">.  </w:t>
      </w:r>
    </w:p>
    <w:p w14:paraId="7C0F9F3B" w14:textId="77777777" w:rsidR="009E76AD" w:rsidRDefault="009E76AD" w:rsidP="003B486C">
      <w:pPr>
        <w:pStyle w:val="Policybulletlevel2"/>
      </w:pPr>
      <w:r>
        <w:t>The Trust will instruct 2gether’s accommodation manager to inform the resident if the extension applied for has been granted or denied via a formal letter.</w:t>
      </w:r>
    </w:p>
    <w:p w14:paraId="7E5C9550" w14:textId="77777777" w:rsidR="009E76AD" w:rsidRDefault="009E76AD" w:rsidP="003B486C">
      <w:pPr>
        <w:pStyle w:val="Policybulletlevel2"/>
      </w:pPr>
      <w:r>
        <w:t>If the decision has been made to extend, then 2gether will make the necessary arrangements to charge the resident appropriately while giving the tenant the appropriate two months’ notice.</w:t>
      </w:r>
    </w:p>
    <w:p w14:paraId="40D91A12" w14:textId="77777777" w:rsidR="009E76AD" w:rsidRDefault="009E76AD" w:rsidP="003B486C">
      <w:pPr>
        <w:pStyle w:val="Policybulletlevel2"/>
      </w:pPr>
      <w:r>
        <w:t>If the extension has been refused, 2gether will inform the resident accordingly.</w:t>
      </w:r>
    </w:p>
    <w:p w14:paraId="63C9EFB1" w14:textId="77777777" w:rsidR="00932253" w:rsidRPr="00F2720B" w:rsidRDefault="00833A67" w:rsidP="003B486C">
      <w:pPr>
        <w:pStyle w:val="Policyheader"/>
      </w:pPr>
      <w:bookmarkStart w:id="51" w:name="_Toc106191496"/>
      <w:bookmarkStart w:id="52" w:name="_Toc174092987"/>
      <w:r w:rsidRPr="00F2720B">
        <w:t>Room Availability, On Call Rooms and the Right to Refuse Accommodation</w:t>
      </w:r>
      <w:bookmarkEnd w:id="51"/>
      <w:bookmarkEnd w:id="52"/>
    </w:p>
    <w:p w14:paraId="54FD3A42" w14:textId="77777777" w:rsidR="00833A67" w:rsidRPr="003B486C" w:rsidRDefault="00833A67" w:rsidP="003B486C">
      <w:pPr>
        <w:pStyle w:val="Policybulletlevel2"/>
      </w:pPr>
      <w:r>
        <w:t xml:space="preserve">Room availability and same sex accommodation cannot be guaranteed.  </w:t>
      </w:r>
      <w:r w:rsidRPr="003B486C">
        <w:t>Allocations will be made on a first come first served basis where capacity allows, subject to application of the allocation criteria.</w:t>
      </w:r>
    </w:p>
    <w:p w14:paraId="11B0D178" w14:textId="77777777" w:rsidR="00833A67" w:rsidRPr="003B486C" w:rsidRDefault="00833A67" w:rsidP="003B486C">
      <w:pPr>
        <w:pStyle w:val="Policybulletlevel2"/>
      </w:pPr>
      <w:r w:rsidRPr="003B486C">
        <w:t>Tenants are expected to comply fully with the terms of the AST/LTO/Common Law Tenancy Agreement.  Failure to comply may result in the tenant being issued with notice to quit, meaning that they will be asked to vacate their accommodation.</w:t>
      </w:r>
    </w:p>
    <w:p w14:paraId="476093C1" w14:textId="77777777" w:rsidR="00833A67" w:rsidRPr="003B486C" w:rsidRDefault="00833A67" w:rsidP="003B486C">
      <w:pPr>
        <w:pStyle w:val="Policybulletlevel2"/>
      </w:pPr>
      <w:r w:rsidRPr="003B486C">
        <w:t>On-call rooms are typically available between 3pm and 10am the following morning, with the exception of designated ‘post-on call rest rooms’, which are available from 8am until 2pm.</w:t>
      </w:r>
    </w:p>
    <w:p w14:paraId="5F111E91" w14:textId="77777777" w:rsidR="00833A67" w:rsidRDefault="00833A67" w:rsidP="003B486C">
      <w:pPr>
        <w:pStyle w:val="Policybulletlevel2"/>
      </w:pPr>
      <w:r w:rsidRPr="003B486C">
        <w:t>The Trust reserves the right to refuse accommodation to any applicant regardless of</w:t>
      </w:r>
      <w:r>
        <w:t xml:space="preserve"> their position within the organisation, subject to the Trust policy in respect of equal opportunities.</w:t>
      </w:r>
    </w:p>
    <w:p w14:paraId="2ECE7725" w14:textId="77777777" w:rsidR="007845E8" w:rsidRDefault="00696035" w:rsidP="003B486C">
      <w:pPr>
        <w:pStyle w:val="Policyheader"/>
      </w:pPr>
      <w:bookmarkStart w:id="53" w:name="_Toc174092988"/>
      <w:r>
        <w:t>International</w:t>
      </w:r>
      <w:r w:rsidR="00833A67" w:rsidRPr="00F2720B">
        <w:t xml:space="preserve"> Nurses</w:t>
      </w:r>
      <w:bookmarkEnd w:id="53"/>
    </w:p>
    <w:p w14:paraId="41BD9172" w14:textId="77777777" w:rsidR="00833A67" w:rsidRDefault="00833A67" w:rsidP="003B486C">
      <w:pPr>
        <w:pStyle w:val="Policybulletlevel2"/>
      </w:pPr>
      <w:r>
        <w:t xml:space="preserve">Nurses who are appointed as </w:t>
      </w:r>
      <w:r w:rsidR="00696035">
        <w:t>International</w:t>
      </w:r>
      <w:r>
        <w:t xml:space="preserve"> nurses (</w:t>
      </w:r>
      <w:r w:rsidR="00486420">
        <w:t>I</w:t>
      </w:r>
      <w:r>
        <w:t xml:space="preserve">Ns) will be provided with accommodation free of charge for a period of three months only. After that period the Trust requires this cohort of staff to vacate the hospital accommodation and move into private accommodation off site. For clarity, the cost of off-site private accommodation will be the responsibility of the </w:t>
      </w:r>
      <w:r w:rsidR="00696035">
        <w:t>International</w:t>
      </w:r>
      <w:r>
        <w:t xml:space="preserve"> nurse and will be not paid for by the Trust.</w:t>
      </w:r>
    </w:p>
    <w:p w14:paraId="20819570" w14:textId="77777777" w:rsidR="007845E8" w:rsidRDefault="00833A67" w:rsidP="003B486C">
      <w:pPr>
        <w:pStyle w:val="Policybulletlevel2"/>
      </w:pPr>
      <w:r>
        <w:t xml:space="preserve">During the three-month term </w:t>
      </w:r>
      <w:proofErr w:type="gramStart"/>
      <w:r w:rsidR="00486420">
        <w:t>I</w:t>
      </w:r>
      <w:r>
        <w:t>Ns</w:t>
      </w:r>
      <w:proofErr w:type="gramEnd"/>
      <w:r>
        <w:t xml:space="preserve"> are expected to source independent off-site accommodation.</w:t>
      </w:r>
      <w:r w:rsidR="00C749A8">
        <w:t xml:space="preserve"> </w:t>
      </w:r>
      <w:r>
        <w:t xml:space="preserve"> If, at the point the tenancy ends, there are extenuating circumstances an extension can be applied for via the Accommodation Manager in 2gether.  The extension </w:t>
      </w:r>
      <w:r w:rsidRPr="00833A67">
        <w:t xml:space="preserve">request will be presented to the </w:t>
      </w:r>
      <w:r w:rsidR="00F035A0" w:rsidRPr="00833A67">
        <w:t>Trust</w:t>
      </w:r>
      <w:r w:rsidR="00DB60F6">
        <w:t>. A</w:t>
      </w:r>
      <w:r w:rsidRPr="00833A67">
        <w:t xml:space="preserve"> period of </w:t>
      </w:r>
      <w:r w:rsidR="00274FBD">
        <w:t>two</w:t>
      </w:r>
      <w:r w:rsidRPr="00833A67">
        <w:t xml:space="preserve"> </w:t>
      </w:r>
      <w:r w:rsidRPr="00833A67">
        <w:lastRenderedPageBreak/>
        <w:t>weeks only will be granted if the request is due to a withdraw</w:t>
      </w:r>
      <w:r w:rsidR="0066071B">
        <w:t>al</w:t>
      </w:r>
      <w:r w:rsidRPr="00833A67">
        <w:t xml:space="preserve"> of private accommodation</w:t>
      </w:r>
      <w:r w:rsidR="00E60ADB">
        <w:t xml:space="preserve">.  </w:t>
      </w:r>
    </w:p>
    <w:p w14:paraId="264EA70E" w14:textId="77777777" w:rsidR="007845E8" w:rsidRDefault="00833A67" w:rsidP="003B486C">
      <w:pPr>
        <w:pStyle w:val="Policybulletlevel2"/>
      </w:pPr>
      <w:r w:rsidRPr="00833A67">
        <w:t xml:space="preserve">Extenuating circumstances will be limited to long term illness/injury (confirmed by a </w:t>
      </w:r>
      <w:r w:rsidR="00274FBD">
        <w:t>fit note</w:t>
      </w:r>
      <w:r w:rsidRPr="00833A67">
        <w:t xml:space="preserve">) and/or if there is written evidence that the </w:t>
      </w:r>
      <w:proofErr w:type="gramStart"/>
      <w:r w:rsidR="00486420">
        <w:t>I</w:t>
      </w:r>
      <w:r w:rsidRPr="00833A67">
        <w:t>N’s</w:t>
      </w:r>
      <w:proofErr w:type="gramEnd"/>
      <w:r w:rsidRPr="00833A67">
        <w:t xml:space="preserve"> private accommodation has been withdrawn</w:t>
      </w:r>
      <w:r>
        <w:t xml:space="preserve"> (no longer than two weeks before the tenant’s vacation date) by the private landlord. (</w:t>
      </w:r>
      <w:r w:rsidR="00166CE0">
        <w:t>T</w:t>
      </w:r>
      <w:r>
        <w:t xml:space="preserve">he two-week limit may be extended where the long-term illness/injury prevents the </w:t>
      </w:r>
      <w:r w:rsidR="00486420">
        <w:t>I</w:t>
      </w:r>
      <w:r>
        <w:t xml:space="preserve">N from finding alternative accommodation during the period of their illness/injury.) Please refer to sections </w:t>
      </w:r>
      <w:r w:rsidR="006C0F9C" w:rsidRPr="006C0F9C">
        <w:t>7.1 and 7.2.</w:t>
      </w:r>
    </w:p>
    <w:p w14:paraId="326B94DC" w14:textId="77777777" w:rsidR="007845E8" w:rsidRDefault="00DB60F6" w:rsidP="003B486C">
      <w:pPr>
        <w:pStyle w:val="Policybulletlevel2"/>
      </w:pPr>
      <w:r>
        <w:t>For International nurses, vacation date reminder emails will be issued to each nurse by 2gether’s Accommodation Officer for that site.  This reminder aims to prompt a conversation relating to the vacation of their on-site accommodation.</w:t>
      </w:r>
    </w:p>
    <w:p w14:paraId="643A8E6B" w14:textId="77777777" w:rsidR="00DB60F6" w:rsidRPr="00932253" w:rsidRDefault="00DB60F6" w:rsidP="003B486C">
      <w:pPr>
        <w:pStyle w:val="Policybulletlevel2"/>
      </w:pPr>
      <w:r>
        <w:t xml:space="preserve">The email will be followed up by a letter two weeks prior to their expected vacated date and another one week prior to their expected vacate date to remind the resident that their three-month tenure is due to expire.  Any requests for extensions will be dealt with in the same way as </w:t>
      </w:r>
      <w:r w:rsidR="006C0F9C" w:rsidRPr="006C0F9C">
        <w:t>7.1 and 7.2</w:t>
      </w:r>
    </w:p>
    <w:p w14:paraId="35767830" w14:textId="77777777" w:rsidR="00833A67" w:rsidRDefault="00833A67" w:rsidP="003B486C">
      <w:pPr>
        <w:pStyle w:val="Policyheader"/>
      </w:pPr>
      <w:bookmarkStart w:id="54" w:name="_Toc174092989"/>
      <w:r w:rsidRPr="00833A67">
        <w:t>Room Allocation Criteria</w:t>
      </w:r>
      <w:bookmarkEnd w:id="54"/>
    </w:p>
    <w:p w14:paraId="1CED90B2" w14:textId="77777777" w:rsidR="006C0F9C" w:rsidRPr="00CA33DC" w:rsidRDefault="006C0F9C" w:rsidP="003B486C">
      <w:pPr>
        <w:pStyle w:val="Policybulletlevel2"/>
        <w:rPr>
          <w:i/>
        </w:rPr>
      </w:pPr>
      <w:r>
        <w:t>The accommodation is to be used by staff as a temporary base to settle into the local area and start their journey to find external accommodation.  Maximum stay in accommodation is six months; any extensions granted are by exception and must be agreed in advance by a relevant group of people that includes senior managers (i.e. Human Resources) from the Trust and members from 2gether Support Services’ (“2gether”) accommodation team.</w:t>
      </w:r>
    </w:p>
    <w:p w14:paraId="60D4CC89" w14:textId="77777777" w:rsidR="006C0F9C" w:rsidRDefault="006C0F9C" w:rsidP="003B486C">
      <w:pPr>
        <w:pStyle w:val="Policybulletlevel2"/>
      </w:pPr>
      <w:r>
        <w:t>The only exceptions to the six months are:</w:t>
      </w:r>
    </w:p>
    <w:p w14:paraId="5EB795BC" w14:textId="77777777" w:rsidR="006C0F9C" w:rsidRPr="00CA33DC" w:rsidRDefault="006C0F9C" w:rsidP="003B486C">
      <w:pPr>
        <w:pStyle w:val="PolicybulletLevel3"/>
        <w:ind w:left="1701"/>
        <w:rPr>
          <w:i/>
        </w:rPr>
      </w:pPr>
      <w:r>
        <w:t>International</w:t>
      </w:r>
      <w:r w:rsidRPr="00D05C0E">
        <w:t xml:space="preserve"> Nurses (</w:t>
      </w:r>
      <w:r>
        <w:t>I</w:t>
      </w:r>
      <w:r w:rsidRPr="00D05C0E">
        <w:t>Ns)</w:t>
      </w:r>
      <w:r>
        <w:t>, where</w:t>
      </w:r>
      <w:r w:rsidRPr="00D05C0E">
        <w:t xml:space="preserve"> the stay is </w:t>
      </w:r>
      <w:r>
        <w:t>three</w:t>
      </w:r>
      <w:r w:rsidRPr="00D05C0E">
        <w:t xml:space="preserve"> months with any extensions granted by exception</w:t>
      </w:r>
      <w:r>
        <w:t>;</w:t>
      </w:r>
    </w:p>
    <w:p w14:paraId="43F831B3" w14:textId="77777777" w:rsidR="006C0F9C" w:rsidRDefault="006C0F9C" w:rsidP="003B486C">
      <w:pPr>
        <w:pStyle w:val="PolicybulletLevel3"/>
        <w:ind w:left="1701"/>
      </w:pPr>
      <w:r w:rsidRPr="00D05C0E">
        <w:t xml:space="preserve">F1 Doctors in training who will be granted a </w:t>
      </w:r>
      <w:r>
        <w:t>one</w:t>
      </w:r>
      <w:r w:rsidRPr="00D05C0E">
        <w:t>-year residency with any extensions granted</w:t>
      </w:r>
      <w:r>
        <w:t xml:space="preserve"> by exception.  See sections </w:t>
      </w:r>
      <w:r w:rsidRPr="006C0F9C">
        <w:t>7.1 and 7.2</w:t>
      </w:r>
      <w:r>
        <w:t>.</w:t>
      </w:r>
    </w:p>
    <w:p w14:paraId="23978927" w14:textId="77777777" w:rsidR="006C0F9C" w:rsidRDefault="006C0F9C" w:rsidP="003B486C">
      <w:pPr>
        <w:pStyle w:val="Policybulletlevel2"/>
      </w:pPr>
      <w:r>
        <w:t>The type of accommodation available, with the maximum permitted number of occupants in accommodation, is detailed as follows:</w:t>
      </w:r>
    </w:p>
    <w:tbl>
      <w:tblPr>
        <w:tblStyle w:val="TableGrid1"/>
        <w:tblW w:w="0" w:type="auto"/>
        <w:tblInd w:w="704" w:type="dxa"/>
        <w:tblLook w:val="04A0" w:firstRow="1" w:lastRow="0" w:firstColumn="1" w:lastColumn="0" w:noHBand="0" w:noVBand="1"/>
      </w:tblPr>
      <w:tblGrid>
        <w:gridCol w:w="2977"/>
        <w:gridCol w:w="2551"/>
        <w:gridCol w:w="3254"/>
      </w:tblGrid>
      <w:tr w:rsidR="006C0F9C" w:rsidRPr="00932253" w14:paraId="72782070" w14:textId="77777777" w:rsidTr="00256C7C">
        <w:tc>
          <w:tcPr>
            <w:tcW w:w="2977" w:type="dxa"/>
            <w:shd w:val="clear" w:color="auto" w:fill="D9D9D9" w:themeFill="background1" w:themeFillShade="D9"/>
          </w:tcPr>
          <w:p w14:paraId="077570F1" w14:textId="77777777" w:rsidR="006C0F9C" w:rsidRPr="00932253" w:rsidRDefault="006C0F9C" w:rsidP="0037458D">
            <w:pPr>
              <w:tabs>
                <w:tab w:val="left" w:pos="1069"/>
                <w:tab w:val="left" w:pos="1070"/>
              </w:tabs>
              <w:ind w:right="470"/>
              <w:rPr>
                <w:rFonts w:ascii="Arial MT" w:eastAsia="Arial MT" w:hAnsi="Arial MT" w:cs="Arial MT"/>
                <w:b/>
                <w:sz w:val="22"/>
                <w:szCs w:val="22"/>
              </w:rPr>
            </w:pPr>
            <w:r w:rsidRPr="00932253">
              <w:rPr>
                <w:rFonts w:ascii="Arial MT" w:eastAsia="Arial MT" w:hAnsi="Arial MT" w:cs="Arial MT"/>
                <w:b/>
                <w:sz w:val="22"/>
                <w:szCs w:val="22"/>
              </w:rPr>
              <w:t>Room Type</w:t>
            </w:r>
          </w:p>
        </w:tc>
        <w:tc>
          <w:tcPr>
            <w:tcW w:w="2551" w:type="dxa"/>
            <w:shd w:val="clear" w:color="auto" w:fill="D9D9D9" w:themeFill="background1" w:themeFillShade="D9"/>
          </w:tcPr>
          <w:p w14:paraId="3F7A83E0" w14:textId="77777777" w:rsidR="006C0F9C" w:rsidRDefault="006C0F9C" w:rsidP="0037458D">
            <w:pPr>
              <w:ind w:right="178"/>
              <w:rPr>
                <w:rFonts w:ascii="Arial MT" w:eastAsia="Arial MT" w:hAnsi="Arial MT" w:cs="Arial MT"/>
                <w:b/>
                <w:sz w:val="22"/>
                <w:szCs w:val="22"/>
              </w:rPr>
            </w:pPr>
            <w:r w:rsidRPr="00932253">
              <w:rPr>
                <w:rFonts w:ascii="Arial MT" w:eastAsia="Arial MT" w:hAnsi="Arial MT" w:cs="Arial MT"/>
                <w:b/>
                <w:sz w:val="22"/>
                <w:szCs w:val="22"/>
              </w:rPr>
              <w:t xml:space="preserve">Number of </w:t>
            </w:r>
            <w:r>
              <w:rPr>
                <w:rFonts w:ascii="Arial MT" w:eastAsia="Arial MT" w:hAnsi="Arial MT" w:cs="Arial MT"/>
                <w:b/>
                <w:sz w:val="22"/>
                <w:szCs w:val="22"/>
              </w:rPr>
              <w:t>People</w:t>
            </w:r>
          </w:p>
          <w:p w14:paraId="5A21F64D" w14:textId="77777777" w:rsidR="006C0F9C" w:rsidRPr="00932253" w:rsidRDefault="006C0F9C" w:rsidP="0037458D">
            <w:pPr>
              <w:tabs>
                <w:tab w:val="left" w:pos="1069"/>
                <w:tab w:val="left" w:pos="1070"/>
              </w:tabs>
              <w:ind w:right="470"/>
              <w:rPr>
                <w:rFonts w:ascii="Arial MT" w:eastAsia="Arial MT" w:hAnsi="Arial MT" w:cs="Arial MT"/>
                <w:b/>
                <w:sz w:val="22"/>
                <w:szCs w:val="22"/>
              </w:rPr>
            </w:pPr>
          </w:p>
        </w:tc>
        <w:tc>
          <w:tcPr>
            <w:tcW w:w="3254" w:type="dxa"/>
            <w:shd w:val="clear" w:color="auto" w:fill="D9D9D9" w:themeFill="background1" w:themeFillShade="D9"/>
          </w:tcPr>
          <w:p w14:paraId="63F2BE37" w14:textId="77777777" w:rsidR="006C0F9C" w:rsidRPr="00932253" w:rsidRDefault="006C0F9C" w:rsidP="0037458D">
            <w:pPr>
              <w:tabs>
                <w:tab w:val="left" w:pos="1069"/>
                <w:tab w:val="left" w:pos="1070"/>
              </w:tabs>
              <w:ind w:right="470"/>
              <w:rPr>
                <w:rFonts w:ascii="Arial MT" w:eastAsia="Arial MT" w:hAnsi="Arial MT" w:cs="Arial MT"/>
                <w:b/>
                <w:sz w:val="22"/>
                <w:szCs w:val="22"/>
              </w:rPr>
            </w:pPr>
            <w:r w:rsidRPr="00932253">
              <w:rPr>
                <w:rFonts w:ascii="Arial MT" w:eastAsia="Arial MT" w:hAnsi="Arial MT" w:cs="Arial MT"/>
                <w:b/>
                <w:sz w:val="22"/>
                <w:szCs w:val="22"/>
              </w:rPr>
              <w:t>Comments</w:t>
            </w:r>
          </w:p>
        </w:tc>
      </w:tr>
      <w:tr w:rsidR="006C0F9C" w:rsidRPr="00932253" w14:paraId="11E800F4" w14:textId="77777777" w:rsidTr="00256C7C">
        <w:tc>
          <w:tcPr>
            <w:tcW w:w="2977" w:type="dxa"/>
          </w:tcPr>
          <w:p w14:paraId="05816E70"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Single Room</w:t>
            </w:r>
          </w:p>
        </w:tc>
        <w:tc>
          <w:tcPr>
            <w:tcW w:w="2551" w:type="dxa"/>
          </w:tcPr>
          <w:p w14:paraId="51767B01" w14:textId="77777777" w:rsidR="006C0F9C" w:rsidRPr="005B0966" w:rsidRDefault="006C0F9C" w:rsidP="0037458D">
            <w:pPr>
              <w:numPr>
                <w:ilvl w:val="1"/>
                <w:numId w:val="12"/>
              </w:numPr>
              <w:tabs>
                <w:tab w:val="left" w:pos="497"/>
              </w:tabs>
              <w:ind w:left="0" w:right="470" w:firstLine="0"/>
              <w:rPr>
                <w:rFonts w:eastAsia="Arial MT" w:cs="Arial"/>
              </w:rPr>
            </w:pPr>
            <w:r w:rsidRPr="005B0966">
              <w:rPr>
                <w:rFonts w:eastAsia="Arial MT" w:cs="Arial"/>
              </w:rPr>
              <w:t xml:space="preserve">1 </w:t>
            </w:r>
            <w:r>
              <w:rPr>
                <w:rFonts w:eastAsia="Arial MT" w:cs="Arial"/>
              </w:rPr>
              <w:t>a</w:t>
            </w:r>
            <w:r w:rsidRPr="005B0966">
              <w:rPr>
                <w:rFonts w:eastAsia="Arial MT" w:cs="Arial"/>
              </w:rPr>
              <w:t>dult</w:t>
            </w:r>
          </w:p>
        </w:tc>
        <w:tc>
          <w:tcPr>
            <w:tcW w:w="3254" w:type="dxa"/>
          </w:tcPr>
          <w:p w14:paraId="4959B7AB" w14:textId="77777777" w:rsidR="006C0F9C" w:rsidRPr="005B0966" w:rsidRDefault="006C0F9C" w:rsidP="0037458D">
            <w:pPr>
              <w:tabs>
                <w:tab w:val="left" w:pos="1069"/>
                <w:tab w:val="left" w:pos="1070"/>
              </w:tabs>
              <w:ind w:right="470"/>
              <w:rPr>
                <w:rFonts w:eastAsia="Arial MT" w:cs="Arial"/>
              </w:rPr>
            </w:pPr>
          </w:p>
        </w:tc>
      </w:tr>
      <w:tr w:rsidR="006C0F9C" w:rsidRPr="00932253" w14:paraId="6088E092" w14:textId="77777777" w:rsidTr="00256C7C">
        <w:tc>
          <w:tcPr>
            <w:tcW w:w="2977" w:type="dxa"/>
          </w:tcPr>
          <w:p w14:paraId="0C793E5A"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Double Room</w:t>
            </w:r>
          </w:p>
        </w:tc>
        <w:tc>
          <w:tcPr>
            <w:tcW w:w="2551" w:type="dxa"/>
          </w:tcPr>
          <w:p w14:paraId="2259AE88" w14:textId="77777777" w:rsidR="006C0F9C" w:rsidRPr="005B0966" w:rsidRDefault="006C0F9C" w:rsidP="0037458D">
            <w:pPr>
              <w:numPr>
                <w:ilvl w:val="1"/>
                <w:numId w:val="12"/>
              </w:numPr>
              <w:tabs>
                <w:tab w:val="left" w:pos="497"/>
              </w:tabs>
              <w:ind w:left="0" w:right="470" w:firstLine="0"/>
              <w:rPr>
                <w:rFonts w:eastAsia="Arial MT" w:cs="Arial"/>
              </w:rPr>
            </w:pPr>
            <w:r w:rsidRPr="005B0966">
              <w:rPr>
                <w:rFonts w:eastAsia="Arial MT" w:cs="Arial"/>
              </w:rPr>
              <w:t xml:space="preserve">2 </w:t>
            </w:r>
            <w:r>
              <w:rPr>
                <w:rFonts w:eastAsia="Arial MT" w:cs="Arial"/>
              </w:rPr>
              <w:t>a</w:t>
            </w:r>
            <w:r w:rsidRPr="005B0966">
              <w:rPr>
                <w:rFonts w:eastAsia="Arial MT" w:cs="Arial"/>
              </w:rPr>
              <w:t>dults</w:t>
            </w:r>
          </w:p>
        </w:tc>
        <w:tc>
          <w:tcPr>
            <w:tcW w:w="3254" w:type="dxa"/>
          </w:tcPr>
          <w:p w14:paraId="658954D8" w14:textId="77777777" w:rsidR="006C0F9C" w:rsidRPr="005B0966" w:rsidRDefault="006C0F9C" w:rsidP="0037458D">
            <w:pPr>
              <w:tabs>
                <w:tab w:val="left" w:pos="1069"/>
                <w:tab w:val="left" w:pos="1070"/>
              </w:tabs>
              <w:ind w:right="470"/>
              <w:rPr>
                <w:rFonts w:eastAsia="Arial MT" w:cs="Arial"/>
              </w:rPr>
            </w:pPr>
          </w:p>
        </w:tc>
      </w:tr>
      <w:tr w:rsidR="006C0F9C" w:rsidRPr="00932253" w14:paraId="1533E2A9" w14:textId="77777777" w:rsidTr="00256C7C">
        <w:tc>
          <w:tcPr>
            <w:tcW w:w="2977" w:type="dxa"/>
          </w:tcPr>
          <w:p w14:paraId="7E1C35C6"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1 bedded family flat</w:t>
            </w:r>
          </w:p>
        </w:tc>
        <w:tc>
          <w:tcPr>
            <w:tcW w:w="2551" w:type="dxa"/>
          </w:tcPr>
          <w:p w14:paraId="1B47ECFC" w14:textId="77777777" w:rsidR="006C0F9C" w:rsidRPr="005B0966" w:rsidRDefault="006C0F9C" w:rsidP="0037458D">
            <w:pPr>
              <w:numPr>
                <w:ilvl w:val="1"/>
                <w:numId w:val="12"/>
              </w:numPr>
              <w:tabs>
                <w:tab w:val="left" w:pos="497"/>
              </w:tabs>
              <w:ind w:left="0" w:right="470" w:firstLine="0"/>
              <w:rPr>
                <w:rFonts w:eastAsia="Arial MT" w:cs="Arial"/>
              </w:rPr>
            </w:pPr>
            <w:r w:rsidRPr="005B0966">
              <w:rPr>
                <w:rFonts w:eastAsia="Arial MT" w:cs="Arial"/>
              </w:rPr>
              <w:t xml:space="preserve">3 </w:t>
            </w:r>
            <w:r>
              <w:rPr>
                <w:rFonts w:eastAsia="Arial MT" w:cs="Arial"/>
              </w:rPr>
              <w:t>people</w:t>
            </w:r>
          </w:p>
        </w:tc>
        <w:tc>
          <w:tcPr>
            <w:tcW w:w="3254" w:type="dxa"/>
          </w:tcPr>
          <w:p w14:paraId="315B435C"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No more than 2 adults</w:t>
            </w:r>
          </w:p>
        </w:tc>
      </w:tr>
      <w:tr w:rsidR="006C0F9C" w:rsidRPr="00932253" w14:paraId="636BAA2A" w14:textId="77777777" w:rsidTr="00256C7C">
        <w:tc>
          <w:tcPr>
            <w:tcW w:w="2977" w:type="dxa"/>
          </w:tcPr>
          <w:p w14:paraId="028B36C1"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2-bedroom family flat</w:t>
            </w:r>
          </w:p>
        </w:tc>
        <w:tc>
          <w:tcPr>
            <w:tcW w:w="2551" w:type="dxa"/>
          </w:tcPr>
          <w:p w14:paraId="31C036EC" w14:textId="77777777" w:rsidR="006C0F9C" w:rsidRPr="005B0966" w:rsidRDefault="006C0F9C" w:rsidP="0037458D">
            <w:pPr>
              <w:numPr>
                <w:ilvl w:val="1"/>
                <w:numId w:val="12"/>
              </w:numPr>
              <w:tabs>
                <w:tab w:val="left" w:pos="497"/>
              </w:tabs>
              <w:ind w:left="0" w:right="470" w:firstLine="0"/>
              <w:rPr>
                <w:rFonts w:eastAsia="Arial MT" w:cs="Arial"/>
              </w:rPr>
            </w:pPr>
            <w:r w:rsidRPr="005B0966">
              <w:rPr>
                <w:rFonts w:eastAsia="Arial MT" w:cs="Arial"/>
              </w:rPr>
              <w:t xml:space="preserve">4 </w:t>
            </w:r>
            <w:r>
              <w:rPr>
                <w:rFonts w:eastAsia="Arial MT" w:cs="Arial"/>
              </w:rPr>
              <w:t>people</w:t>
            </w:r>
          </w:p>
        </w:tc>
        <w:tc>
          <w:tcPr>
            <w:tcW w:w="3254" w:type="dxa"/>
          </w:tcPr>
          <w:p w14:paraId="3607C70A"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No more than 2 adults</w:t>
            </w:r>
          </w:p>
        </w:tc>
      </w:tr>
      <w:tr w:rsidR="006C0F9C" w:rsidRPr="00932253" w14:paraId="35C23487" w14:textId="77777777" w:rsidTr="00256C7C">
        <w:tc>
          <w:tcPr>
            <w:tcW w:w="2977" w:type="dxa"/>
          </w:tcPr>
          <w:p w14:paraId="346BFDCD"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3-bedroom family flat</w:t>
            </w:r>
          </w:p>
        </w:tc>
        <w:tc>
          <w:tcPr>
            <w:tcW w:w="2551" w:type="dxa"/>
          </w:tcPr>
          <w:p w14:paraId="2DF47492" w14:textId="77777777" w:rsidR="006C0F9C" w:rsidRPr="005B0966" w:rsidRDefault="006C0F9C" w:rsidP="0037458D">
            <w:pPr>
              <w:numPr>
                <w:ilvl w:val="1"/>
                <w:numId w:val="12"/>
              </w:numPr>
              <w:tabs>
                <w:tab w:val="left" w:pos="497"/>
              </w:tabs>
              <w:ind w:left="0" w:right="470" w:firstLine="0"/>
              <w:rPr>
                <w:rFonts w:eastAsia="Arial MT" w:cs="Arial"/>
              </w:rPr>
            </w:pPr>
            <w:r w:rsidRPr="005B0966">
              <w:rPr>
                <w:rFonts w:eastAsia="Arial MT" w:cs="Arial"/>
              </w:rPr>
              <w:t xml:space="preserve">6 </w:t>
            </w:r>
            <w:r>
              <w:rPr>
                <w:rFonts w:eastAsia="Arial MT" w:cs="Arial"/>
              </w:rPr>
              <w:t>people</w:t>
            </w:r>
          </w:p>
        </w:tc>
        <w:tc>
          <w:tcPr>
            <w:tcW w:w="3254" w:type="dxa"/>
          </w:tcPr>
          <w:p w14:paraId="1628C960" w14:textId="77777777" w:rsidR="006C0F9C" w:rsidRPr="005B0966" w:rsidRDefault="006C0F9C" w:rsidP="0037458D">
            <w:pPr>
              <w:tabs>
                <w:tab w:val="left" w:pos="1069"/>
                <w:tab w:val="left" w:pos="1070"/>
              </w:tabs>
              <w:ind w:right="470"/>
              <w:rPr>
                <w:rFonts w:eastAsia="Arial MT" w:cs="Arial"/>
              </w:rPr>
            </w:pPr>
            <w:r w:rsidRPr="005B0966">
              <w:rPr>
                <w:rFonts w:eastAsia="Arial MT" w:cs="Arial"/>
              </w:rPr>
              <w:t>No more than 2 adults</w:t>
            </w:r>
          </w:p>
        </w:tc>
      </w:tr>
    </w:tbl>
    <w:p w14:paraId="7665F1E9" w14:textId="77777777" w:rsidR="00833A67" w:rsidRDefault="00833A67" w:rsidP="003B486C">
      <w:pPr>
        <w:pStyle w:val="Policybulletlevel2"/>
      </w:pPr>
      <w:r>
        <w:lastRenderedPageBreak/>
        <w:t>The following categories are recognised as mandatory residents as part of their terms &amp; conditions of employment/study course</w:t>
      </w:r>
      <w:r w:rsidR="00C749A8">
        <w:t>.</w:t>
      </w:r>
      <w:r>
        <w:t xml:space="preserve"> </w:t>
      </w:r>
      <w:r w:rsidR="00C749A8">
        <w:t xml:space="preserve"> The</w:t>
      </w:r>
      <w:r>
        <w:t xml:space="preserve"> types of accommodation each </w:t>
      </w:r>
      <w:r w:rsidR="00AA270E">
        <w:t>C</w:t>
      </w:r>
      <w:r>
        <w:t xml:space="preserve">are </w:t>
      </w:r>
      <w:r w:rsidR="00AA270E">
        <w:t>G</w:t>
      </w:r>
      <w:r>
        <w:t>roup entitled to/and the Trust</w:t>
      </w:r>
      <w:r w:rsidR="00166CE0">
        <w:t xml:space="preserve"> is</w:t>
      </w:r>
      <w:r>
        <w:t xml:space="preserve"> obliged to provide i.e. single occupancy, family accommodation is detailed as follows:</w:t>
      </w:r>
    </w:p>
    <w:p w14:paraId="3FFE73CD" w14:textId="77777777" w:rsidR="00833A67" w:rsidRDefault="00833A67" w:rsidP="003B486C">
      <w:pPr>
        <w:pStyle w:val="PolicybulletLevel3"/>
        <w:ind w:left="1701"/>
      </w:pPr>
      <w:r>
        <w:t xml:space="preserve">Undergraduate medical students (e.g. Kings College London, St Georges London, St Georges Grenada, University of Antigua) – </w:t>
      </w:r>
      <w:r w:rsidR="002F555A">
        <w:t>s</w:t>
      </w:r>
      <w:r>
        <w:t>ingle room accommodation only;</w:t>
      </w:r>
    </w:p>
    <w:p w14:paraId="1FAD5891" w14:textId="77777777" w:rsidR="00833A67" w:rsidRDefault="00833A67" w:rsidP="003B486C">
      <w:pPr>
        <w:pStyle w:val="PolicybulletLevel3"/>
        <w:ind w:left="1701"/>
      </w:pPr>
      <w:r>
        <w:t xml:space="preserve">Doctors on-call or post-on call rest - </w:t>
      </w:r>
      <w:r w:rsidR="002F555A">
        <w:t>s</w:t>
      </w:r>
      <w:r>
        <w:t>ingle room accommodation only;</w:t>
      </w:r>
    </w:p>
    <w:p w14:paraId="582B6507" w14:textId="77777777" w:rsidR="00833A67" w:rsidRDefault="00833A67" w:rsidP="003B486C">
      <w:pPr>
        <w:pStyle w:val="PolicybulletLevel3"/>
        <w:ind w:left="1701"/>
      </w:pPr>
      <w:r>
        <w:t xml:space="preserve">Post graduate doctor in training (e.g. F1/F2) - </w:t>
      </w:r>
      <w:r w:rsidR="002F555A">
        <w:t>s</w:t>
      </w:r>
      <w:r>
        <w:t>ingle room accommodation only;</w:t>
      </w:r>
    </w:p>
    <w:p w14:paraId="13CF99C8" w14:textId="77777777" w:rsidR="00833A67" w:rsidRDefault="00833A67" w:rsidP="003B486C">
      <w:pPr>
        <w:pStyle w:val="PolicybulletLevel3"/>
        <w:ind w:left="1701"/>
      </w:pPr>
      <w:r>
        <w:t>GP trainees</w:t>
      </w:r>
      <w:r w:rsidR="00486420">
        <w:t xml:space="preserve"> (all levels)</w:t>
      </w:r>
      <w:r>
        <w:t xml:space="preserve"> - </w:t>
      </w:r>
      <w:r w:rsidR="002F555A">
        <w:t>s</w:t>
      </w:r>
      <w:r>
        <w:t>ingle room accommodation only;</w:t>
      </w:r>
    </w:p>
    <w:p w14:paraId="1E4B5823" w14:textId="77777777" w:rsidR="00833A67" w:rsidRDefault="00696035" w:rsidP="003B486C">
      <w:pPr>
        <w:pStyle w:val="PolicybulletLevel3"/>
        <w:ind w:left="1701"/>
      </w:pPr>
      <w:r>
        <w:t>International</w:t>
      </w:r>
      <w:r w:rsidR="00833A67">
        <w:t xml:space="preserve"> Nurses &amp; </w:t>
      </w:r>
      <w:r>
        <w:t>International</w:t>
      </w:r>
      <w:r w:rsidR="00833A67">
        <w:t xml:space="preserve"> Radiographers - </w:t>
      </w:r>
      <w:r w:rsidR="002F555A">
        <w:t>s</w:t>
      </w:r>
      <w:r w:rsidR="00833A67">
        <w:t>ingle room accommodation only.</w:t>
      </w:r>
    </w:p>
    <w:p w14:paraId="4B80FF52" w14:textId="77777777" w:rsidR="00833A67" w:rsidRDefault="00833A67" w:rsidP="003B486C">
      <w:pPr>
        <w:pStyle w:val="Policybulletlevel2"/>
      </w:pPr>
      <w:r>
        <w:t xml:space="preserve">Recognising the need to allocate accommodation to other staff groups to aid recruitment into key roles, priority will then be given to new starters/locum/agency (additional priority will be given to </w:t>
      </w:r>
      <w:r w:rsidR="00696035">
        <w:t>International</w:t>
      </w:r>
      <w:r>
        <w:t xml:space="preserve"> recruits) as follows: Maximum length of stay for Locum &amp; Agency staff will also be </w:t>
      </w:r>
      <w:r w:rsidR="002F555A">
        <w:t>six</w:t>
      </w:r>
      <w:r>
        <w:t xml:space="preserve"> months.  Any extensions will be granted by exception in advance.  See section </w:t>
      </w:r>
      <w:r w:rsidR="006C0F9C" w:rsidRPr="006C0F9C">
        <w:t>7.1 and 7.2</w:t>
      </w:r>
      <w:r w:rsidR="006C0F9C">
        <w:t>.</w:t>
      </w:r>
    </w:p>
    <w:p w14:paraId="2ECFC701" w14:textId="77777777" w:rsidR="00833A67" w:rsidRDefault="00833A67" w:rsidP="003B486C">
      <w:pPr>
        <w:pStyle w:val="Policyheader"/>
      </w:pPr>
      <w:bookmarkStart w:id="55" w:name="_Toc174092990"/>
      <w:r>
        <w:t>Allocation of Accommodation by Staff Group</w:t>
      </w:r>
      <w:bookmarkEnd w:id="55"/>
    </w:p>
    <w:p w14:paraId="74123F83" w14:textId="77777777" w:rsidR="00833A67" w:rsidRDefault="00833A67" w:rsidP="003B486C">
      <w:pPr>
        <w:pStyle w:val="Policybulletlevel2"/>
      </w:pPr>
      <w:r>
        <w:t xml:space="preserve">Clinical staff relocating to the UK from </w:t>
      </w:r>
      <w:r w:rsidR="00696035">
        <w:t>International</w:t>
      </w:r>
      <w:r>
        <w:t xml:space="preserve"> will be allocated accommodation in line with maximum permitted number of occupants.</w:t>
      </w:r>
    </w:p>
    <w:p w14:paraId="7B1B6FBC" w14:textId="77777777" w:rsidR="00833A67" w:rsidRPr="00BB6BF5" w:rsidRDefault="00833A67" w:rsidP="003B486C">
      <w:pPr>
        <w:pStyle w:val="Policybulletlevel2"/>
      </w:pPr>
      <w:r>
        <w:t xml:space="preserve">Clinical staff relocating within the UK and currently living outside of Kent </w:t>
      </w:r>
      <w:r w:rsidR="003E78C9">
        <w:t xml:space="preserve">or more </w:t>
      </w:r>
      <w:r w:rsidR="00166CE0">
        <w:t xml:space="preserve">than </w:t>
      </w:r>
      <w:r>
        <w:t>30 miles from base site</w:t>
      </w:r>
      <w:r w:rsidR="002B3ED2">
        <w:t>,</w:t>
      </w:r>
      <w:r>
        <w:t xml:space="preserve"> will be allocated a single room</w:t>
      </w:r>
      <w:r w:rsidRPr="00BB6BF5">
        <w:t>.</w:t>
      </w:r>
      <w:r w:rsidR="00E60ADB" w:rsidRPr="00BB6BF5">
        <w:t xml:space="preserve"> If relocating with their family then family accommodation (in line with the maximum permitted number of occupants) may be allocated if this is available.</w:t>
      </w:r>
    </w:p>
    <w:p w14:paraId="669A75E8" w14:textId="77777777" w:rsidR="00833A67" w:rsidRDefault="00833A67" w:rsidP="003B486C">
      <w:pPr>
        <w:pStyle w:val="Policybulletlevel2"/>
      </w:pPr>
      <w:r>
        <w:t>Locum</w:t>
      </w:r>
      <w:r w:rsidR="002B3ED2">
        <w:t xml:space="preserve"> </w:t>
      </w:r>
      <w:r>
        <w:t>/</w:t>
      </w:r>
      <w:r w:rsidR="002B3ED2">
        <w:t xml:space="preserve"> a</w:t>
      </w:r>
      <w:r>
        <w:t xml:space="preserve">gency </w:t>
      </w:r>
      <w:r w:rsidR="002B3ED2">
        <w:t xml:space="preserve">staff, </w:t>
      </w:r>
      <w:r>
        <w:t xml:space="preserve">where home address is outside of Kent </w:t>
      </w:r>
      <w:r w:rsidR="003E78C9">
        <w:t xml:space="preserve">or more than </w:t>
      </w:r>
      <w:r>
        <w:t>30 miles from site</w:t>
      </w:r>
      <w:r w:rsidR="002B3ED2">
        <w:t xml:space="preserve"> and s</w:t>
      </w:r>
      <w:r>
        <w:t>hort</w:t>
      </w:r>
      <w:r w:rsidR="00AA270E">
        <w:t>-</w:t>
      </w:r>
      <w:r>
        <w:t>term locums</w:t>
      </w:r>
      <w:r w:rsidR="002B3ED2">
        <w:t>,</w:t>
      </w:r>
      <w:r>
        <w:t xml:space="preserve"> shall be provided with on-call rooms when on duty will be allocated a single room.</w:t>
      </w:r>
    </w:p>
    <w:p w14:paraId="4EAA33CD" w14:textId="77777777" w:rsidR="00833A67" w:rsidRPr="00BB6BF5" w:rsidRDefault="00833A67" w:rsidP="003B486C">
      <w:pPr>
        <w:pStyle w:val="Policybulletlevel2"/>
      </w:pPr>
      <w:r>
        <w:t>Any other staff in training e.g. Physiotherapist, Pharmacist, Radiographer, etc.</w:t>
      </w:r>
      <w:r w:rsidR="00AC3A15">
        <w:t xml:space="preserve">, </w:t>
      </w:r>
      <w:r>
        <w:t>will be allocated a single room.</w:t>
      </w:r>
      <w:r w:rsidR="002B3ED2">
        <w:t xml:space="preserve">  </w:t>
      </w:r>
      <w:r w:rsidR="002B3ED2" w:rsidRPr="00BB6BF5">
        <w:t>If relocating with their family then family accommodation (in line with the maximum permitted number of occupants) may be allocated if this is available.</w:t>
      </w:r>
    </w:p>
    <w:p w14:paraId="7292163D" w14:textId="77777777" w:rsidR="00833A67" w:rsidRPr="00BB6BF5" w:rsidRDefault="00833A67" w:rsidP="003B486C">
      <w:pPr>
        <w:pStyle w:val="Policybulletlevel2"/>
      </w:pPr>
      <w:r>
        <w:t>Any other Trust employee in a medical/nursing/midwifery/healthcare role will be allocated a single room.</w:t>
      </w:r>
      <w:r w:rsidR="002B3ED2" w:rsidRPr="00E60ADB">
        <w:rPr>
          <w:i/>
        </w:rPr>
        <w:t xml:space="preserve"> </w:t>
      </w:r>
      <w:r w:rsidR="002B3ED2" w:rsidRPr="00BB6BF5">
        <w:t xml:space="preserve">If relocating with their family then family accommodation </w:t>
      </w:r>
      <w:r w:rsidR="002B3ED2" w:rsidRPr="00BB6BF5">
        <w:lastRenderedPageBreak/>
        <w:t>(in line with the maximum permitted number of occupants) may be allocated if this is available.</w:t>
      </w:r>
    </w:p>
    <w:p w14:paraId="696C0909" w14:textId="77777777" w:rsidR="00833A67" w:rsidRPr="00BB6BF5" w:rsidRDefault="00833A67" w:rsidP="003B486C">
      <w:pPr>
        <w:pStyle w:val="Policybulletlevel2"/>
        <w:rPr>
          <w:i/>
        </w:rPr>
      </w:pPr>
      <w:r>
        <w:t>Any other Trust employee in a non-clinical role will be allocated as single room.</w:t>
      </w:r>
      <w:r w:rsidR="002B3ED2">
        <w:t xml:space="preserve">  </w:t>
      </w:r>
      <w:r w:rsidR="002B3ED2" w:rsidRPr="00E60ADB">
        <w:rPr>
          <w:i/>
        </w:rPr>
        <w:t xml:space="preserve"> </w:t>
      </w:r>
      <w:r w:rsidR="002B3ED2" w:rsidRPr="00BB6BF5">
        <w:t>If relocating with their family then family accommodation (in line with the maximum permitted number of occupants) may be allocated if this is available.</w:t>
      </w:r>
    </w:p>
    <w:p w14:paraId="70A3873E" w14:textId="77777777" w:rsidR="00833A67" w:rsidRPr="00BB6BF5" w:rsidRDefault="00833A67" w:rsidP="003B486C">
      <w:pPr>
        <w:pStyle w:val="Policybulletlevel2"/>
      </w:pPr>
      <w:r>
        <w:t xml:space="preserve">Non-Trust staff affiliated with the NHS e.g. </w:t>
      </w:r>
      <w:r w:rsidR="002F555A" w:rsidRPr="002F555A">
        <w:t>SECAmb</w:t>
      </w:r>
      <w:r>
        <w:t>, KMPT, 2gether Support Solutions, etc</w:t>
      </w:r>
      <w:r w:rsidR="002F555A">
        <w:t>.</w:t>
      </w:r>
      <w:r>
        <w:t xml:space="preserve"> will be allocated a single </w:t>
      </w:r>
      <w:r w:rsidR="00072F30">
        <w:t>room.</w:t>
      </w:r>
      <w:r w:rsidR="002B3ED2" w:rsidRPr="00BB6BF5">
        <w:t xml:space="preserve"> If relocating with their family then family accommodation (in line with the maximum permitted number of occupants) may be allocated if this is available.</w:t>
      </w:r>
    </w:p>
    <w:p w14:paraId="4C8841B8" w14:textId="77777777" w:rsidR="00833A67" w:rsidRPr="008105E8" w:rsidRDefault="00833A67" w:rsidP="003B486C">
      <w:pPr>
        <w:pStyle w:val="Policybulletlevel2"/>
        <w:rPr>
          <w:i/>
        </w:rPr>
      </w:pPr>
      <w:r>
        <w:t xml:space="preserve">The above criteria will be applied consistently across the Trust; however, it is recognised that occasionally exceptional circumstances will arise, in which case the final decision will be made </w:t>
      </w:r>
      <w:r w:rsidR="002B3ED2">
        <w:t xml:space="preserve">as detailed in </w:t>
      </w:r>
      <w:r w:rsidR="00A1776B" w:rsidRPr="00A1776B">
        <w:t>7</w:t>
      </w:r>
      <w:r w:rsidR="002B3ED2" w:rsidRPr="00A1776B">
        <w:t>.3</w:t>
      </w:r>
      <w:r w:rsidR="002B3ED2">
        <w:t xml:space="preserve"> above.</w:t>
      </w:r>
    </w:p>
    <w:p w14:paraId="224E14C6" w14:textId="77777777" w:rsidR="00833A67" w:rsidRDefault="00833A67" w:rsidP="003B486C">
      <w:pPr>
        <w:pStyle w:val="Policybulletlevel2"/>
      </w:pPr>
      <w:r>
        <w:t>The allocation criteria can be adjusted in line with emerging needs of the organisation, with any temporary changes signed off by the Trust.</w:t>
      </w:r>
    </w:p>
    <w:p w14:paraId="287FBD1C" w14:textId="77777777" w:rsidR="00833A67" w:rsidRPr="00BB6BF5" w:rsidRDefault="00833A67" w:rsidP="003B486C">
      <w:pPr>
        <w:pStyle w:val="Policybulletlevel2"/>
      </w:pPr>
      <w:r>
        <w:t>Newly appointed staff who require temporary accommodation whilst a move into the area is completed will be expected to accept accommodation off site</w:t>
      </w:r>
      <w:r w:rsidR="00962288">
        <w:t>,</w:t>
      </w:r>
      <w:r>
        <w:t xml:space="preserve"> if no </w:t>
      </w:r>
      <w:r w:rsidR="00CF078E">
        <w:t>on-site</w:t>
      </w:r>
      <w:r>
        <w:t xml:space="preserve"> accommodation is available. </w:t>
      </w:r>
      <w:r w:rsidR="00962288">
        <w:t xml:space="preserve"> </w:t>
      </w:r>
      <w:r>
        <w:t xml:space="preserve">Staff who have a </w:t>
      </w:r>
      <w:r w:rsidR="00AC3A15">
        <w:t>short-term</w:t>
      </w:r>
      <w:r>
        <w:t xml:space="preserve"> urgent need e.g. domestic problem may be allocated accommodation for up to one month but only if accommodation is available. </w:t>
      </w:r>
      <w:r w:rsidR="00962288" w:rsidRPr="00BB6BF5">
        <w:t>The exceptional circumstances detailed in this policy will also apply to this group of staff.</w:t>
      </w:r>
    </w:p>
    <w:p w14:paraId="47869218" w14:textId="77777777" w:rsidR="00833A67" w:rsidRDefault="00833A67" w:rsidP="003B486C">
      <w:pPr>
        <w:pStyle w:val="Policybulletlevel2"/>
      </w:pPr>
      <w:r>
        <w:t>A waiting list will be held when demand exceeds availability for any room type.  Rooms will be allocated using the new starter criteria as a baseline, with tenants currently in shared flats who require a family flat specifically in order for their partner and/or children to reside with them, receiving additional priority status.  Conversely, applicants already living locally off-site will receive no prioritisation since the fundamental purpose of on-site accommodation (for non-mandatory residents) is to facilitate the transition to private sector accommodation.</w:t>
      </w:r>
    </w:p>
    <w:p w14:paraId="109F8208" w14:textId="77777777" w:rsidR="00833A67" w:rsidRPr="00BB6BF5" w:rsidRDefault="00833A67" w:rsidP="003B486C">
      <w:pPr>
        <w:pStyle w:val="Policybulletlevel2"/>
      </w:pPr>
      <w:r>
        <w:t xml:space="preserve">In the event of a business continuity situation, vacant rooms may be allocated to staff by the site Senior Manager running the Operation Command and Control process.  Essential frontline medical staff will be prioritised to ensure key services continue to function.  </w:t>
      </w:r>
      <w:r w:rsidRPr="00BB6BF5">
        <w:t xml:space="preserve">Normal room charges will </w:t>
      </w:r>
      <w:r w:rsidR="008105E8" w:rsidRPr="00BB6BF5">
        <w:t xml:space="preserve">be waivered if staff are asked to remain on site during business continuity.  However, normal rates will </w:t>
      </w:r>
      <w:r w:rsidRPr="00BB6BF5">
        <w:t xml:space="preserve">still apply </w:t>
      </w:r>
      <w:r w:rsidR="008105E8" w:rsidRPr="00BB6BF5">
        <w:t xml:space="preserve">for those staff who are reside in the Hospital Accommodation </w:t>
      </w:r>
      <w:r w:rsidRPr="00BB6BF5">
        <w:t>with the individual paying unless their department elects to fund their accommodation.</w:t>
      </w:r>
    </w:p>
    <w:p w14:paraId="524C222E" w14:textId="77777777" w:rsidR="00833A67" w:rsidRDefault="00833A67" w:rsidP="003B486C">
      <w:pPr>
        <w:pStyle w:val="Policybulletlevel2"/>
      </w:pPr>
      <w:r>
        <w:t>Recruiting managers intending to offer accommodation as part of the recruitment process must first check availability with the 2gether Accommodation Officer and should never assume accommodation capacity is available.</w:t>
      </w:r>
    </w:p>
    <w:p w14:paraId="4DC81E2B" w14:textId="77777777" w:rsidR="00833A67" w:rsidRDefault="00833A67" w:rsidP="003B486C">
      <w:pPr>
        <w:pStyle w:val="Policybulletlevel2"/>
      </w:pPr>
      <w:r>
        <w:lastRenderedPageBreak/>
        <w:t>In allocating individual rooms, the 2gether Accommodation Officer will make every effort to keep groups of occupants together</w:t>
      </w:r>
      <w:r w:rsidR="000F7C27">
        <w:t xml:space="preserve"> </w:t>
      </w:r>
      <w:r>
        <w:t>/</w:t>
      </w:r>
      <w:r w:rsidR="000F7C27">
        <w:t xml:space="preserve"> </w:t>
      </w:r>
      <w:r>
        <w:t>apart as deemed appropriate (e.g. students and locum doctors), and will endeavo</w:t>
      </w:r>
      <w:r w:rsidR="008105E8">
        <w:t>u</w:t>
      </w:r>
      <w:r>
        <w:t xml:space="preserve">r to comply with other requests such as for same-gender shared flats, ground floor, etc. </w:t>
      </w:r>
      <w:r w:rsidR="00DA380F">
        <w:t>a</w:t>
      </w:r>
      <w:r>
        <w:t>lthough such requests cannot be guaranteed.</w:t>
      </w:r>
    </w:p>
    <w:p w14:paraId="113A4133" w14:textId="77777777" w:rsidR="007845E8" w:rsidRDefault="007845E8" w:rsidP="003B486C">
      <w:pPr>
        <w:pStyle w:val="Policybulletlevel2"/>
      </w:pPr>
      <w:r>
        <w:t xml:space="preserve">The Accommodation Management in 2gether will provide information to each tenant who is required to seek private accommodation to aid in their search, i.e. information on private landlords, letting agencies etc. </w:t>
      </w:r>
    </w:p>
    <w:p w14:paraId="02E3F262" w14:textId="77777777" w:rsidR="00833A67" w:rsidRDefault="00833A67" w:rsidP="003B486C">
      <w:pPr>
        <w:pStyle w:val="Policyheader"/>
      </w:pPr>
      <w:bookmarkStart w:id="56" w:name="_Toc174092991"/>
      <w:r>
        <w:t>Charges</w:t>
      </w:r>
      <w:bookmarkEnd w:id="56"/>
    </w:p>
    <w:p w14:paraId="7DD65D8F" w14:textId="77777777" w:rsidR="00DA380F" w:rsidRPr="00BB6BF5" w:rsidRDefault="00833A67" w:rsidP="003B486C">
      <w:pPr>
        <w:pStyle w:val="Policybulletlevel2"/>
        <w:rPr>
          <w:i/>
        </w:rPr>
      </w:pPr>
      <w:r>
        <w:t xml:space="preserve">Rents vary according to room type, location, and length of stay. </w:t>
      </w:r>
    </w:p>
    <w:p w14:paraId="23D02D7D" w14:textId="77777777" w:rsidR="00833A67" w:rsidRPr="00BB6BF5" w:rsidRDefault="00AA270E" w:rsidP="003B486C">
      <w:pPr>
        <w:pStyle w:val="Policybulletlevel2"/>
      </w:pPr>
      <w:r>
        <w:t>R</w:t>
      </w:r>
      <w:r w:rsidR="00833A67">
        <w:t>ents may be increased upon being granted an accommodation extension</w:t>
      </w:r>
      <w:r>
        <w:t>. I</w:t>
      </w:r>
      <w:r w:rsidR="00833A67">
        <w:t xml:space="preserve">ncreases </w:t>
      </w:r>
      <w:r w:rsidR="008105E8">
        <w:t>will be</w:t>
      </w:r>
      <w:r w:rsidR="00833A67">
        <w:t xml:space="preserve"> approved by the </w:t>
      </w:r>
      <w:r w:rsidR="00DA380F">
        <w:t>Trust</w:t>
      </w:r>
      <w:r w:rsidR="00D11023">
        <w:t xml:space="preserve">. </w:t>
      </w:r>
      <w:r w:rsidR="008105E8">
        <w:t xml:space="preserve"> </w:t>
      </w:r>
      <w:r w:rsidR="00D11023" w:rsidRPr="00BB6BF5">
        <w:t>A</w:t>
      </w:r>
      <w:r w:rsidR="008105E8" w:rsidRPr="00BB6BF5">
        <w:t xml:space="preserve">ny increase will be based on </w:t>
      </w:r>
      <w:r w:rsidR="00D11023" w:rsidRPr="00BB6BF5">
        <w:t>similar accommodation in the local private accommodation market.</w:t>
      </w:r>
    </w:p>
    <w:p w14:paraId="046DEC9B" w14:textId="77777777" w:rsidR="00833A67" w:rsidRDefault="00833A67" w:rsidP="003B486C">
      <w:pPr>
        <w:pStyle w:val="Policybulletlevel2"/>
      </w:pPr>
      <w:r>
        <w:t>Rents are reviewed and uplifted annually (between 01 April and 01 July).  Changes to rental values will be notified to tenants no less than 30 days prior to implementation.</w:t>
      </w:r>
    </w:p>
    <w:p w14:paraId="081AA1C5" w14:textId="77777777" w:rsidR="00833A67" w:rsidRDefault="00833A67" w:rsidP="003B486C">
      <w:pPr>
        <w:pStyle w:val="Policybulletlevel2"/>
      </w:pPr>
      <w:r>
        <w:t>Rent is inclusive of all utility charges including electric, gas, water, sewerage, council tax, as well as Wi-Fi provision.  Car parking is not included as part of the rent and must be organised and paid by the tenant separately.</w:t>
      </w:r>
    </w:p>
    <w:p w14:paraId="00BCC389" w14:textId="77777777" w:rsidR="00833A67" w:rsidRDefault="00833A67" w:rsidP="003B486C">
      <w:pPr>
        <w:pStyle w:val="Policybulletlevel2"/>
      </w:pPr>
      <w:r>
        <w:t>Rent is to be paid at the point of booking</w:t>
      </w:r>
      <w:r w:rsidR="00DA380F">
        <w:t>.  S</w:t>
      </w:r>
      <w:r>
        <w:t xml:space="preserve">alaried Trust employees are expected to pay via ongoing payroll deduction (organised by the 2gether accommodation officer during the booking process).  Non-salaried employees pay for the remainder of the current month and up to the end day of the next month by card as when booking, with a recurring card payment for subsequent months. </w:t>
      </w:r>
    </w:p>
    <w:p w14:paraId="64A5FE63" w14:textId="77777777" w:rsidR="00833A67" w:rsidRDefault="00833A67" w:rsidP="003B486C">
      <w:pPr>
        <w:pStyle w:val="Policybulletlevel2"/>
      </w:pPr>
      <w:r>
        <w:t>Certain under graduate student groups have rent paid direct to the Trust via the Medical Education department.</w:t>
      </w:r>
    </w:p>
    <w:p w14:paraId="4F1D0ED5" w14:textId="77777777" w:rsidR="00166CE0" w:rsidRDefault="00166CE0" w:rsidP="003B486C">
      <w:pPr>
        <w:pStyle w:val="Policybulletlevel2"/>
      </w:pPr>
      <w:r>
        <w:t xml:space="preserve">All rooms are chargeable for the entire duration of the booking, (with the exception of </w:t>
      </w:r>
      <w:r w:rsidR="00696035">
        <w:t>International</w:t>
      </w:r>
      <w:r>
        <w:t xml:space="preserve"> nurses who are provided with three months free accommodation).  Periods where the room is not occupied but the room has not been formally vacated (tenancy ended and keys returned) will be charged at the full standard rate.  If keys are returned later than 10am on day of departure, an additional night’s charge will be applied.  Bookings that are made and confirmed will still be charged if keys are not collected, unless adequate prior notice is provided of inability to honour the booking.</w:t>
      </w:r>
    </w:p>
    <w:p w14:paraId="28CED1C7" w14:textId="77777777" w:rsidR="00166CE0" w:rsidRDefault="00166CE0" w:rsidP="003B486C">
      <w:pPr>
        <w:pStyle w:val="Policybulletlevel2"/>
      </w:pPr>
      <w:r>
        <w:lastRenderedPageBreak/>
        <w:t xml:space="preserve">Payment of rent is the sole responsibility of the tenant.  Where a room is being provided without charge to the tenant e.g. </w:t>
      </w:r>
      <w:proofErr w:type="spellStart"/>
      <w:r>
        <w:t>DiTs</w:t>
      </w:r>
      <w:proofErr w:type="spellEnd"/>
      <w:r>
        <w:t xml:space="preserve"> who are resident on-call (Appendix One refers), the tenant will ensure funding is agreed with the respective Care Group lead/budget holder and is communicated appropriately to the Accommodation Office.</w:t>
      </w:r>
    </w:p>
    <w:p w14:paraId="21529550" w14:textId="77777777" w:rsidR="00166CE0" w:rsidRDefault="00166CE0" w:rsidP="003B486C">
      <w:pPr>
        <w:pStyle w:val="Policybulletlevel2"/>
      </w:pPr>
      <w:r>
        <w:t>Rooms provided ‘free-of-charge’ to the tenant on a discretional basis (non-contract) will be liable to tax (employee benefit) and reported to HMRC via P11D.</w:t>
      </w:r>
    </w:p>
    <w:p w14:paraId="7836E59E" w14:textId="77777777" w:rsidR="00D11023" w:rsidRPr="00BB6BF5" w:rsidRDefault="00833A67" w:rsidP="003B486C">
      <w:pPr>
        <w:pStyle w:val="Policybulletlevel2"/>
      </w:pPr>
      <w:r>
        <w:t xml:space="preserve">Nightly charges for on-call rooms are to be met by the occupant unless the room has been pre-funded by their Care Group.  In cases where the on-call arrangement requires the room to be provided free-of-charge to the doctor, i.e. in accordance with the T&amp;Cs for Doctors in Training (2016) (Appendix One), the nightly rental cost will be recharged to the Care Group by a monthly budget virement.  </w:t>
      </w:r>
      <w:r w:rsidR="00D11023" w:rsidRPr="00BB6BF5">
        <w:t>If it is considered safer for the occupant to remain on site i.e. for the occupant or for patient care</w:t>
      </w:r>
      <w:r w:rsidR="00616B7C" w:rsidRPr="00BB6BF5">
        <w:t>,</w:t>
      </w:r>
      <w:r w:rsidR="00D11023" w:rsidRPr="00BB6BF5">
        <w:t xml:space="preserve"> then the Care Group will fund the cost of the </w:t>
      </w:r>
      <w:r w:rsidR="00AC3A15" w:rsidRPr="00BB6BF5">
        <w:t>on-call</w:t>
      </w:r>
      <w:r w:rsidR="00D11023" w:rsidRPr="00BB6BF5">
        <w:t xml:space="preserve"> room. </w:t>
      </w:r>
      <w:r w:rsidR="00616B7C" w:rsidRPr="00BB6BF5">
        <w:t xml:space="preserve"> </w:t>
      </w:r>
      <w:r w:rsidR="00D11023" w:rsidRPr="00BB6BF5">
        <w:t xml:space="preserve">Doctors who complete a shift but consider themselves too tired to drive home will be provided with a </w:t>
      </w:r>
      <w:r w:rsidR="00616B7C" w:rsidRPr="00BB6BF5">
        <w:t>‘</w:t>
      </w:r>
      <w:r w:rsidR="00D11023" w:rsidRPr="00BB6BF5">
        <w:t>Too Tired to Drive</w:t>
      </w:r>
      <w:r w:rsidR="00616B7C" w:rsidRPr="00BB6BF5">
        <w:t>’</w:t>
      </w:r>
      <w:r w:rsidR="00D11023" w:rsidRPr="00BB6BF5">
        <w:t xml:space="preserve"> room</w:t>
      </w:r>
      <w:r w:rsidR="00616B7C" w:rsidRPr="00BB6BF5">
        <w:t>,</w:t>
      </w:r>
      <w:r w:rsidR="00D11023" w:rsidRPr="00BB6BF5">
        <w:t xml:space="preserve"> which can be booked via the Accommodation Office at no charge to the member of staff.</w:t>
      </w:r>
    </w:p>
    <w:p w14:paraId="6D13CA25" w14:textId="77777777" w:rsidR="00833A67" w:rsidRDefault="00833A67" w:rsidP="003B486C">
      <w:pPr>
        <w:pStyle w:val="Policybulletlevel2"/>
      </w:pPr>
      <w:r>
        <w:t xml:space="preserve">Any historic exceptions/local arrangements are superseded by this policy revision </w:t>
      </w:r>
      <w:r w:rsidR="00AD1BFF">
        <w:t>4</w:t>
      </w:r>
      <w:r w:rsidR="00D11023">
        <w:t>.</w:t>
      </w:r>
    </w:p>
    <w:p w14:paraId="2B3ECF13" w14:textId="77777777" w:rsidR="00833A67" w:rsidRDefault="00833A67" w:rsidP="003B486C">
      <w:pPr>
        <w:pStyle w:val="Policybulletlevel2"/>
      </w:pPr>
      <w:r>
        <w:t>In exceptional cases, Care Groups may choose to pay an individual’s rent outside of standard T&amp;Cs of employment, e.g. as a recruitment incentive.  In these cases, this will be agreed at the point of booking, and the 2gether Accommodation Officer will process a monthly budget virement. In order for a booking to be processed using virement as a payment option the Accommodation Officer will require an email from an authorising manager detailing:</w:t>
      </w:r>
    </w:p>
    <w:p w14:paraId="239AD975" w14:textId="77777777" w:rsidR="00833A67" w:rsidRDefault="00833A67" w:rsidP="003B486C">
      <w:pPr>
        <w:pStyle w:val="PolicybulletLevel3"/>
        <w:ind w:left="1843" w:hanging="992"/>
      </w:pPr>
      <w:r>
        <w:t xml:space="preserve">The name of the perspective Tenant or department who are eligible to use the virement code; </w:t>
      </w:r>
    </w:p>
    <w:p w14:paraId="069510E9" w14:textId="77777777" w:rsidR="00833A67" w:rsidRDefault="00833A67" w:rsidP="003B486C">
      <w:pPr>
        <w:pStyle w:val="PolicybulletLevel3"/>
        <w:ind w:left="1843" w:hanging="992"/>
      </w:pPr>
      <w:r>
        <w:t>Dates for the booking for which the virement code can be used;</w:t>
      </w:r>
    </w:p>
    <w:p w14:paraId="1FB65EFD" w14:textId="77777777" w:rsidR="00833A67" w:rsidRDefault="00833A67" w:rsidP="003B486C">
      <w:pPr>
        <w:pStyle w:val="PolicybulletLevel3"/>
        <w:ind w:left="1843" w:hanging="992"/>
      </w:pPr>
      <w:r>
        <w:t xml:space="preserve">The virement code to charge against. </w:t>
      </w:r>
    </w:p>
    <w:p w14:paraId="3266C70F" w14:textId="77777777" w:rsidR="00833A67" w:rsidRDefault="00833A67" w:rsidP="003B486C">
      <w:pPr>
        <w:pStyle w:val="Policybulletlevel2"/>
      </w:pPr>
      <w:r>
        <w:t>Locums</w:t>
      </w:r>
      <w:r w:rsidR="00616B7C">
        <w:t xml:space="preserve"> </w:t>
      </w:r>
      <w:r>
        <w:t>/</w:t>
      </w:r>
      <w:r w:rsidR="00616B7C">
        <w:t xml:space="preserve"> </w:t>
      </w:r>
      <w:r>
        <w:t>agency staff are expected to be responsible for their own rent unless an agreement is made at the point of booking for the costs to be covered by the agency.  If so, the agency is required to make payment by card using the Accommodation booking system to secure the booking.  In exceptional cases, a retrospective invoice may be issued if payment up front has not been secured.</w:t>
      </w:r>
    </w:p>
    <w:p w14:paraId="2BEF584D" w14:textId="77777777" w:rsidR="00833A67" w:rsidRDefault="00833A67" w:rsidP="003B486C">
      <w:pPr>
        <w:pStyle w:val="Policybulletlevel2"/>
      </w:pPr>
      <w:r>
        <w:t xml:space="preserve">Other charges may apply where the tenant’s actions have resulted in additional costs to the Trust.  For example, replacement lock/key charges if a key/access </w:t>
      </w:r>
      <w:r>
        <w:lastRenderedPageBreak/>
        <w:t>card is lost, and a charge for activating the fire detection alarms (in cases where the tenant is found to have been irresponsible e.g. causing excess smoke when cooking, use of aerosols or hot devices in the vicinity of heat detectors, etc.).</w:t>
      </w:r>
    </w:p>
    <w:p w14:paraId="181B5140" w14:textId="77777777" w:rsidR="00597FDB" w:rsidRDefault="00833A67" w:rsidP="003B486C">
      <w:pPr>
        <w:pStyle w:val="Policybulletlevel2"/>
      </w:pPr>
      <w:r>
        <w:t xml:space="preserve">If an underpayment of rent occurs, the Trust will recover any arrears in line with the prevailing Payroll Debtor policy.  Similarly, overpayments will be adjusted when brought to the attention of the 2gether accommodation officer.  Non-Trust staff with unpaid rent, or employees leaving the Trust, will be contacted by the credit controller to agree repayment terms.  The Trust reserves the right to pass any unpaid rent to its appointed debt recovery agents. </w:t>
      </w:r>
    </w:p>
    <w:p w14:paraId="6B08BE78" w14:textId="77777777" w:rsidR="00597FDB" w:rsidRPr="00597FDB" w:rsidRDefault="00597FDB" w:rsidP="003B486C">
      <w:pPr>
        <w:pStyle w:val="Policyheader"/>
      </w:pPr>
      <w:bookmarkStart w:id="57" w:name="_Toc174092992"/>
      <w:r w:rsidRPr="00597FDB">
        <w:t>Trust Obligations</w:t>
      </w:r>
      <w:bookmarkEnd w:id="57"/>
    </w:p>
    <w:p w14:paraId="497FE09A" w14:textId="77777777" w:rsidR="00597FDB" w:rsidRDefault="00597FDB" w:rsidP="003B486C">
      <w:pPr>
        <w:pStyle w:val="Policybulletlevel2"/>
      </w:pPr>
      <w:r>
        <w:t>To provide an acceptable standard of accommodation which is accessible 24/7 with a range of room options to meet varying requirements.</w:t>
      </w:r>
    </w:p>
    <w:p w14:paraId="49D85A13" w14:textId="77777777" w:rsidR="00597FDB" w:rsidRDefault="00597FDB" w:rsidP="003B486C">
      <w:pPr>
        <w:pStyle w:val="Policybulletlevel2"/>
      </w:pPr>
      <w:r>
        <w:t>To provide a managed service via the Trust’s subsidiary, 2gether covering core functions enquiries; bookings; payments; refunds; room access; service issues; and complaints (full details are held within the Accommodation contract specification document).</w:t>
      </w:r>
    </w:p>
    <w:p w14:paraId="0C04547C" w14:textId="77777777" w:rsidR="00597FDB" w:rsidRDefault="00597FDB" w:rsidP="003B486C">
      <w:pPr>
        <w:pStyle w:val="Policybulletlevel2"/>
      </w:pPr>
      <w:r>
        <w:t xml:space="preserve">To ensure that all accommodation is compliant to current (at the time when this document was produced) EPC Legislation (energy performance certificate) and MEES Standards (minimum energy efficiency standards). </w:t>
      </w:r>
    </w:p>
    <w:p w14:paraId="1D29DAC3" w14:textId="77777777" w:rsidR="00597FDB" w:rsidRDefault="00597FDB" w:rsidP="003B486C">
      <w:pPr>
        <w:pStyle w:val="Policybulletlevel2"/>
      </w:pPr>
      <w:r>
        <w:t>To provide to the Tenant all necessary legal documentation required at the commencement of a Tenancy in line with the Deregulation Act 2015 if an AST is being issued:</w:t>
      </w:r>
    </w:p>
    <w:p w14:paraId="69BA29C7" w14:textId="77777777" w:rsidR="00597FDB" w:rsidRDefault="00597FDB" w:rsidP="003B486C">
      <w:pPr>
        <w:pStyle w:val="PolicybulletLevel3"/>
        <w:ind w:left="1701"/>
      </w:pPr>
      <w:r>
        <w:t xml:space="preserve">Valid Landlords Gas Safety Certificate (GSC) (annually)  </w:t>
      </w:r>
    </w:p>
    <w:p w14:paraId="25E1A750" w14:textId="77777777" w:rsidR="00597FDB" w:rsidRDefault="00597FDB" w:rsidP="003B486C">
      <w:pPr>
        <w:pStyle w:val="PolicybulletLevel3"/>
        <w:ind w:left="1701"/>
      </w:pPr>
      <w:r>
        <w:t>Valid Electrical Instillation Condition Report (EICR) (five yearly)</w:t>
      </w:r>
    </w:p>
    <w:p w14:paraId="5CDC70BE" w14:textId="77777777" w:rsidR="00597FDB" w:rsidRDefault="00597FDB" w:rsidP="003B486C">
      <w:pPr>
        <w:pStyle w:val="PolicybulletLevel3"/>
        <w:ind w:left="1701"/>
      </w:pPr>
      <w:r>
        <w:t>How to Rent Guide</w:t>
      </w:r>
    </w:p>
    <w:p w14:paraId="0FDE0A35" w14:textId="77777777" w:rsidR="00597FDB" w:rsidRDefault="00597FDB" w:rsidP="003B486C">
      <w:pPr>
        <w:pStyle w:val="PolicybulletLevel3"/>
        <w:ind w:left="1701"/>
      </w:pPr>
      <w:r>
        <w:t>A copy of the AST signed by both Tenant and Landlord.</w:t>
      </w:r>
    </w:p>
    <w:p w14:paraId="543A5D48" w14:textId="77777777" w:rsidR="00597FDB" w:rsidRDefault="00597FDB" w:rsidP="003B486C">
      <w:pPr>
        <w:pStyle w:val="Policybulletlevel2"/>
      </w:pPr>
      <w:r>
        <w:t xml:space="preserve">To meet the criteria for Fitness for Human Habitation.  Courts will decide whether a property is fit for human habitation by considering the matters set out in section 10 of the Landlord and Tenant Act 1985.  These are whether: </w:t>
      </w:r>
    </w:p>
    <w:p w14:paraId="5E197EAD" w14:textId="77777777" w:rsidR="00597FDB" w:rsidRDefault="00597FDB" w:rsidP="003B486C">
      <w:pPr>
        <w:pStyle w:val="PolicybulletLevel3"/>
        <w:ind w:left="1701"/>
      </w:pPr>
      <w:r>
        <w:t>the building has been neglected and is in a bad condition</w:t>
      </w:r>
    </w:p>
    <w:p w14:paraId="131DA5CA" w14:textId="77777777" w:rsidR="00597FDB" w:rsidRDefault="00597FDB" w:rsidP="003B486C">
      <w:pPr>
        <w:pStyle w:val="PolicybulletLevel3"/>
        <w:ind w:left="1701"/>
      </w:pPr>
      <w:r>
        <w:t>the building is unstable</w:t>
      </w:r>
    </w:p>
    <w:p w14:paraId="736E0248" w14:textId="77777777" w:rsidR="00597FDB" w:rsidRDefault="00597FDB" w:rsidP="003B486C">
      <w:pPr>
        <w:pStyle w:val="PolicybulletLevel3"/>
        <w:ind w:left="1701"/>
      </w:pPr>
      <w:r>
        <w:t>there is a serious problem with damp</w:t>
      </w:r>
    </w:p>
    <w:p w14:paraId="5E5A846F" w14:textId="77777777" w:rsidR="00597FDB" w:rsidRDefault="00597FDB" w:rsidP="003B486C">
      <w:pPr>
        <w:pStyle w:val="PolicybulletLevel3"/>
        <w:ind w:left="1701"/>
      </w:pPr>
      <w:r>
        <w:t>it has an unsafe layout</w:t>
      </w:r>
    </w:p>
    <w:p w14:paraId="51976EF7" w14:textId="77777777" w:rsidR="00597FDB" w:rsidRDefault="00597FDB" w:rsidP="003B486C">
      <w:pPr>
        <w:pStyle w:val="PolicybulletLevel3"/>
        <w:ind w:left="1701"/>
      </w:pPr>
      <w:r>
        <w:t>there is not enough natural light</w:t>
      </w:r>
    </w:p>
    <w:p w14:paraId="3988CF00" w14:textId="77777777" w:rsidR="00597FDB" w:rsidRDefault="00597FDB" w:rsidP="003B486C">
      <w:pPr>
        <w:pStyle w:val="PolicybulletLevel3"/>
        <w:ind w:left="1701"/>
      </w:pPr>
      <w:r>
        <w:lastRenderedPageBreak/>
        <w:t>there is not enough ventilation</w:t>
      </w:r>
    </w:p>
    <w:p w14:paraId="507A0199" w14:textId="77777777" w:rsidR="00597FDB" w:rsidRDefault="00597FDB" w:rsidP="003B486C">
      <w:pPr>
        <w:pStyle w:val="PolicybulletLevel3"/>
        <w:ind w:left="1701"/>
      </w:pPr>
      <w:r>
        <w:t>there is a problem with the supply of hot and cold water</w:t>
      </w:r>
    </w:p>
    <w:p w14:paraId="739C392C" w14:textId="77777777" w:rsidR="00597FDB" w:rsidRDefault="00597FDB" w:rsidP="003B486C">
      <w:pPr>
        <w:pStyle w:val="PolicybulletLevel3"/>
        <w:ind w:left="1701"/>
      </w:pPr>
      <w:r>
        <w:t>there are problems with the drainage or the lavatories</w:t>
      </w:r>
    </w:p>
    <w:p w14:paraId="4B4A5115" w14:textId="77777777" w:rsidR="00597FDB" w:rsidRPr="00901EDC" w:rsidRDefault="00597FDB" w:rsidP="003B486C">
      <w:pPr>
        <w:pStyle w:val="PolicybulletLevel3"/>
        <w:ind w:left="1701"/>
      </w:pPr>
      <w:r>
        <w:t>it is difficult to prepare and cook food or wash up</w:t>
      </w:r>
    </w:p>
    <w:p w14:paraId="7D157575" w14:textId="77777777" w:rsidR="00597FDB" w:rsidRDefault="00833A67" w:rsidP="003B486C">
      <w:pPr>
        <w:pStyle w:val="Policyheader"/>
      </w:pPr>
      <w:bookmarkStart w:id="58" w:name="_Toc174092993"/>
      <w:r>
        <w:t>Tenant Obligations: booking, arriving, occupying and vacating</w:t>
      </w:r>
      <w:bookmarkEnd w:id="58"/>
    </w:p>
    <w:p w14:paraId="3B47F9BF" w14:textId="77777777" w:rsidR="00833A67" w:rsidRDefault="00833A67" w:rsidP="003B486C">
      <w:pPr>
        <w:pStyle w:val="Policybulletlevel2"/>
      </w:pPr>
      <w:r>
        <w:t>Room bookings must be made in advance via the online portal (</w:t>
      </w:r>
      <w:hyperlink r:id="rId12" w:history="1">
        <w:r w:rsidR="00922957" w:rsidRPr="00A639B6">
          <w:rPr>
            <w:rStyle w:val="Hyperlink"/>
          </w:rPr>
          <w:t>https://accommodation.ekhuft.nhs.uk/Accommodation_Portal/</w:t>
        </w:r>
      </w:hyperlink>
      <w:r>
        <w:t>).  In exceptional cases, including DiTs coming off-shift/late notice locum bookings, emergency rooms may be available out of hours should capacity allow, in which case booking and payment should be made via the alternative portal prior to keys being issued (</w:t>
      </w:r>
      <w:hyperlink r:id="rId13" w:history="1">
        <w:r w:rsidR="00922957" w:rsidRPr="00A639B6">
          <w:rPr>
            <w:rStyle w:val="Hyperlink"/>
          </w:rPr>
          <w:t>https://accommodation.ekhuft.nhs.uk/agency_emergencyrooms_portal/</w:t>
        </w:r>
      </w:hyperlink>
      <w:r>
        <w:t>).  Emergency room keys should be returned the next day by 10am, if Tenants need to remain in accommodation they should seek to make an alternative online booking. Emergency rooms keys should not be retained in place of an ongoing booking. A separate local process exists specifically for post-on call rooms funded by Medical Education.</w:t>
      </w:r>
    </w:p>
    <w:p w14:paraId="5344F21F" w14:textId="77777777" w:rsidR="00833A67" w:rsidRDefault="00833A67" w:rsidP="003B486C">
      <w:pPr>
        <w:pStyle w:val="Policybulletlevel2"/>
      </w:pPr>
      <w:r>
        <w:t>Landlords are legally required to check the immigration status of all tenants, lodgers and any other adults who will be living in the property. The right to rent check has to take place before the tenancy starts. Therefore, all perspective tenants (with the exception of Medical Students) will be required to provide documents to show they have the right to live in the UK, either permanently or temporarily. Anyone (whether an employee of the Trust or not) residing in Trust accommodation must immediately notify the Accommodation Officer and the Trust of their immigration status changes.</w:t>
      </w:r>
    </w:p>
    <w:p w14:paraId="17097205" w14:textId="77777777" w:rsidR="00833A67" w:rsidRDefault="00833A67" w:rsidP="003B486C">
      <w:pPr>
        <w:pStyle w:val="Policybulletlevel2"/>
      </w:pPr>
      <w:r>
        <w:t>Requests for rooms are not agreed until allocation has been confirmed by the 2gether Accommodation Officer (emergency rooms do not require pre-approval).</w:t>
      </w:r>
    </w:p>
    <w:p w14:paraId="6067ECBA" w14:textId="77777777" w:rsidR="00833A67" w:rsidRDefault="00833A67" w:rsidP="003B486C">
      <w:pPr>
        <w:pStyle w:val="Policybulletlevel2"/>
      </w:pPr>
      <w:r>
        <w:t>Keys will be allocated for collection once the booking has been confirmed and payment made/payroll deduction set up.  Tenants will be advised on where to collect keys depending on day/time of arrival. Keys will not be available for collection until after 3:30pm on the first day of the booking and must be returned no later than 10am on the last day of the booking. Keys returned after 10am will result in an additional night’s charge being applied at the room rate of the original booking.</w:t>
      </w:r>
    </w:p>
    <w:p w14:paraId="0DF17D48" w14:textId="77777777" w:rsidR="00833A67" w:rsidRDefault="00833A67" w:rsidP="003B486C">
      <w:pPr>
        <w:pStyle w:val="Policybulletlevel2"/>
      </w:pPr>
      <w:r>
        <w:t>Residents must reside at the Trust Accommodation during the whole of the agreed Term.</w:t>
      </w:r>
    </w:p>
    <w:p w14:paraId="045FE13E" w14:textId="77777777" w:rsidR="00833A67" w:rsidRDefault="00833A67" w:rsidP="003B486C">
      <w:pPr>
        <w:pStyle w:val="Policybulletlevel2"/>
      </w:pPr>
      <w:r>
        <w:lastRenderedPageBreak/>
        <w:t>Tenants must use the Trust Accommodation only as a private residence for their occupation and to at all times seek prior permission via 2gether before allowing anyone else to stay at their accommodation.</w:t>
      </w:r>
    </w:p>
    <w:p w14:paraId="6D50AFD5" w14:textId="77777777" w:rsidR="00833A67" w:rsidRDefault="00833A67" w:rsidP="003B486C">
      <w:pPr>
        <w:pStyle w:val="Policybulletlevel2"/>
      </w:pPr>
      <w:r>
        <w:t>Rooms will have been inspected by 2gether, cleaned, fresh bed linen and towels will be provided.  Any issues/defects should be reported as per in-room signage or instructions found in the welcome pack (viewable via the online portal).</w:t>
      </w:r>
    </w:p>
    <w:p w14:paraId="4B7673F1" w14:textId="77777777" w:rsidR="00833A67" w:rsidRDefault="00833A67" w:rsidP="003B486C">
      <w:pPr>
        <w:pStyle w:val="Policybulletlevel2"/>
      </w:pPr>
      <w:r>
        <w:t xml:space="preserve">Staff parking is available at all sites; however, a permit is required.  This can be organised in advance via </w:t>
      </w:r>
      <w:hyperlink r:id="rId14" w:history="1">
        <w:r w:rsidR="00922957" w:rsidRPr="00A639B6">
          <w:rPr>
            <w:rStyle w:val="Hyperlink"/>
          </w:rPr>
          <w:t>http://permits.paysmarti.co.uk/acct/eastkenthospitals</w:t>
        </w:r>
      </w:hyperlink>
      <w:r w:rsidR="00922957">
        <w:t xml:space="preserve"> </w:t>
      </w:r>
      <w:r>
        <w:t xml:space="preserve"> (option 5 for locums/agency or option one for Trust salaried staff).  Only when a permit has been set up is access to the permit holder car parks allowed.  In the interim alternative arrangements (off-site or visitor pay car park) should be used.</w:t>
      </w:r>
    </w:p>
    <w:p w14:paraId="1A4ABE3E" w14:textId="77777777" w:rsidR="00833A67" w:rsidRDefault="00833A67" w:rsidP="003B486C">
      <w:pPr>
        <w:pStyle w:val="Policybulletlevel2"/>
      </w:pPr>
      <w:r>
        <w:t>Once a room is occupied, the tenant is responsible for cleaning and restocking consumables.  2gether will undertake weekly cleans of communal areas (halls, stairs, lounges, kitchens, WCs, and bathrooms) and emptying of waste. The cleaning of the oven, grill and microwave is not included as part of the weekly contracted clean, residents are expected to clean these appliances themselves following each use as required. In between weekly cleans/waste emptying, tenants are expected to keep communal areas clean and tidy for the benefit of all residents. Maintenance and pest issues should be reported at the earliest opportunity and that failure to do so could result in your eviction from the property or being asked to recompense the Trust for the cost of the necessary remedial action;</w:t>
      </w:r>
    </w:p>
    <w:p w14:paraId="40711442" w14:textId="77777777" w:rsidR="00833A67" w:rsidRDefault="00833A67" w:rsidP="003B486C">
      <w:pPr>
        <w:pStyle w:val="Policybulletlevel2"/>
      </w:pPr>
      <w:r>
        <w:t>Clean bedding is available in each shared flat, and local arrangements are in place for dirty linen to be washed via the Trust’s laundry service.  Other than the bedding and towels provided by the Trust, tenants are responsible for all personal laundry.  Washer/dryers are provided at QEQM, but at K&amp;C and WHH tenants have use of the shared laundry facility (at their own cost).</w:t>
      </w:r>
    </w:p>
    <w:p w14:paraId="4D23099C" w14:textId="77777777" w:rsidR="00833A67" w:rsidRDefault="00833A67" w:rsidP="003B486C">
      <w:pPr>
        <w:pStyle w:val="Policybulletlevel2"/>
      </w:pPr>
      <w:r>
        <w:t>Family accommodation is entirely self-contained – the tenant is responsible for all cleaning and waste disposal during the period of occupancy. Maintenance and pest issues should be reported at the earliest opportunity, and that failure to do so could result in your eviction from the property or being asked to recompense the Trust for the cost of the necessary remedial action.</w:t>
      </w:r>
    </w:p>
    <w:p w14:paraId="54347326" w14:textId="77777777" w:rsidR="00833A67" w:rsidRDefault="00833A67" w:rsidP="003B486C">
      <w:pPr>
        <w:pStyle w:val="Policybulletlevel2"/>
      </w:pPr>
      <w:r>
        <w:t>Residents work varying shift patterns across the day/night and all tenants are required to be mindful/respectful of this at all times. Residents rent charges are nightly from 3:30pm to 10am and that an additional charge will be applied for residents occupying accommodation outside of this timeframe i.e. in order to book a day sleep would involve booking two nights</w:t>
      </w:r>
      <w:r w:rsidR="00181BFC">
        <w:t>’</w:t>
      </w:r>
      <w:r>
        <w:t xml:space="preserve"> stay in accommodation;</w:t>
      </w:r>
    </w:p>
    <w:p w14:paraId="7B324B99" w14:textId="77777777" w:rsidR="00833A67" w:rsidRDefault="00833A67" w:rsidP="003B486C">
      <w:pPr>
        <w:pStyle w:val="Policybulletlevel2"/>
      </w:pPr>
      <w:r>
        <w:lastRenderedPageBreak/>
        <w:t>Programmed redecoration and minor work within the premises may require access by Estates staff, however, this will be scheduled when rooms are vacant wherever possible, and at other times 48 hours’ notice will be provided.  Emergency works may require unplanned attendance when such advance notice will not be possible.</w:t>
      </w:r>
    </w:p>
    <w:p w14:paraId="538B21C5" w14:textId="77777777" w:rsidR="00833A67" w:rsidRDefault="00833A67" w:rsidP="003B486C">
      <w:pPr>
        <w:pStyle w:val="Policybulletlevel2"/>
      </w:pPr>
      <w:r>
        <w:t>Tenants are required to familiarise themselves with the fire safety code and evacuation procedure for each room/block.  You must never interfere with any fire safety equipment, including fire extinguishers, fire blankets and fire alarm devices. You must not prop, wedge or otherwise hold open any fire door.</w:t>
      </w:r>
    </w:p>
    <w:p w14:paraId="1B9B5FB4" w14:textId="77777777" w:rsidR="00833A67" w:rsidRDefault="00833A67" w:rsidP="003B486C">
      <w:pPr>
        <w:pStyle w:val="Policybulletlevel2"/>
      </w:pPr>
      <w:r>
        <w:t xml:space="preserve">All escape routes and fire exits must be maintained clear of all obstructions and combustible materials at all times. </w:t>
      </w:r>
    </w:p>
    <w:p w14:paraId="32B34DC4" w14:textId="77777777" w:rsidR="00833A67" w:rsidRDefault="00833A67" w:rsidP="003B486C">
      <w:pPr>
        <w:pStyle w:val="Policybulletlevel2"/>
      </w:pPr>
      <w:r>
        <w:t>Use of toasters, smoking and lighting of candles or joss sticks is not permitted.  Additional controls are in place and signposted regarding the use of aerosols below heat/smoke detector devices, and ensuring kitchen/bathroom doors are kept closed.  Failure to comply with fire safety procedures may result in the immediate termination of the tenancy.</w:t>
      </w:r>
    </w:p>
    <w:p w14:paraId="23BB15B9" w14:textId="77777777" w:rsidR="00833A67" w:rsidRDefault="00833A67" w:rsidP="003B486C">
      <w:pPr>
        <w:pStyle w:val="Policybulletlevel2"/>
      </w:pPr>
      <w:r>
        <w:t>Tenants have a responsibility for the security of the building and safety of all users.  The main door must always be locked, windows closed when rooms are unoccupied and keys kept in a safe place.  Keys must not be duplicated under any circumstances. Tenants that lose keys or access fobs will be charged for replacements;</w:t>
      </w:r>
    </w:p>
    <w:p w14:paraId="5B3D128D" w14:textId="77777777" w:rsidR="00833A67" w:rsidRDefault="00833A67" w:rsidP="003B486C">
      <w:pPr>
        <w:pStyle w:val="Policybulletlevel2"/>
      </w:pPr>
      <w:r>
        <w:t xml:space="preserve">Single rooms are for single occupancy only. Guests are permitted but must be escorted off the premises before </w:t>
      </w:r>
      <w:r w:rsidR="004240AD">
        <w:t>11pm</w:t>
      </w:r>
      <w:r>
        <w:t>. Guests should not be left in rooms whilst the tenant is not present or is on duty;</w:t>
      </w:r>
    </w:p>
    <w:p w14:paraId="50FD9BD7" w14:textId="77777777" w:rsidR="00833A67" w:rsidRDefault="00833A67" w:rsidP="003B486C">
      <w:pPr>
        <w:pStyle w:val="Policybulletlevel2"/>
      </w:pPr>
      <w:r>
        <w:t>No pets of any kind are permitted.</w:t>
      </w:r>
    </w:p>
    <w:p w14:paraId="2C50612C" w14:textId="77777777" w:rsidR="00833A67" w:rsidRDefault="00833A67" w:rsidP="003B486C">
      <w:pPr>
        <w:pStyle w:val="Policybulletlevel2"/>
      </w:pPr>
      <w:r>
        <w:t xml:space="preserve">Any complaints should be directed to the 2gether Accommodation Officer in the first instance.  If unresolved, the matter can be escalated to the Accommodation Manager and then to the Head of Facilities responsible for Accommodation. </w:t>
      </w:r>
    </w:p>
    <w:p w14:paraId="22AC9533" w14:textId="77777777" w:rsidR="00833A67" w:rsidRDefault="00833A67" w:rsidP="003B486C">
      <w:pPr>
        <w:pStyle w:val="Policybulletlevel2"/>
      </w:pPr>
      <w:r>
        <w:t>If a room is not occupied during the rental period, the rent remains due unless the room is formally vacated and the keys returned. A room rate charge will still be applied to staff who book rooms but fail to arrive, without prior notice being of their non-arrival being provided.</w:t>
      </w:r>
    </w:p>
    <w:p w14:paraId="51E4928E" w14:textId="77777777" w:rsidR="00833A67" w:rsidRDefault="00833A67" w:rsidP="003B486C">
      <w:pPr>
        <w:pStyle w:val="Policybulletlevel2"/>
      </w:pPr>
      <w:r>
        <w:t>Any occupancy of the Trust Accommodation shall terminate on the earlier if:</w:t>
      </w:r>
    </w:p>
    <w:p w14:paraId="48D720EF" w14:textId="77777777" w:rsidR="00833A67" w:rsidRDefault="00833A67" w:rsidP="003B486C">
      <w:pPr>
        <w:pStyle w:val="PolicybulletLevel3"/>
        <w:ind w:left="1843" w:hanging="992"/>
      </w:pPr>
      <w:r>
        <w:t xml:space="preserve">in the case of initial rent-free Relocation Accommodation provided to new recruits, automatically after the initial fixed free term of occupancy. 2gether will send a reminder at least </w:t>
      </w:r>
      <w:r w:rsidR="00064E42">
        <w:t>three</w:t>
      </w:r>
      <w:r>
        <w:t xml:space="preserve"> weeks into the agreed stay; </w:t>
      </w:r>
    </w:p>
    <w:p w14:paraId="00175861" w14:textId="77777777" w:rsidR="00833A67" w:rsidRDefault="00833A67" w:rsidP="003B486C">
      <w:pPr>
        <w:pStyle w:val="PolicybulletLevel3"/>
        <w:ind w:left="1843" w:hanging="992"/>
      </w:pPr>
      <w:r>
        <w:lastRenderedPageBreak/>
        <w:t xml:space="preserve">with immediate effect and without notice if the tenant ceases to reside in the Trust Accommodation; </w:t>
      </w:r>
    </w:p>
    <w:p w14:paraId="1AA635C4" w14:textId="77777777" w:rsidR="00833A67" w:rsidRDefault="00833A67" w:rsidP="003B486C">
      <w:pPr>
        <w:pStyle w:val="PolicybulletLevel3"/>
        <w:ind w:left="1843" w:hanging="992"/>
      </w:pPr>
      <w:r>
        <w:t>if the Tenancy Agreement, Common Law Agreement, License to Occupy is terminated in accordance with the termination provisions of your Tenancy Common Law Agreement, License to Occupy; and/or</w:t>
      </w:r>
    </w:p>
    <w:p w14:paraId="75696057" w14:textId="77777777" w:rsidR="00833A67" w:rsidRDefault="00833A67" w:rsidP="003B486C">
      <w:pPr>
        <w:pStyle w:val="PolicybulletLevel3"/>
        <w:ind w:left="1843" w:hanging="992"/>
      </w:pPr>
      <w:r>
        <w:t>in the event that employment at the Trust ceases (for whatever reason). In these circumstances, the tenant’s occupancy will end on the date that employment with the Trust terminates.</w:t>
      </w:r>
    </w:p>
    <w:p w14:paraId="66A1E3AE" w14:textId="77777777" w:rsidR="00833A67" w:rsidRDefault="00833A67" w:rsidP="003B486C">
      <w:pPr>
        <w:pStyle w:val="Policybulletlevel2"/>
      </w:pPr>
      <w:r>
        <w:t>At the tenancy end date, rooms must be vacated and the keys returned by 10am. If keys are not returned by 10am an additional nights rent will be charged every night until keys are returned. Consistent offenders may be denied access to accommodation for future bookings.</w:t>
      </w:r>
    </w:p>
    <w:p w14:paraId="6BA87E92" w14:textId="77777777" w:rsidR="00833A67" w:rsidRDefault="00833A67" w:rsidP="003B486C">
      <w:pPr>
        <w:pStyle w:val="Policybulletlevel2"/>
      </w:pPr>
      <w:r>
        <w:t>Tenants are expected to leave the rooms in the condition in which they were first occupied.  Remedial costs for any damage/defects identified when the room is inspected/cleaned may be charged to the tenant.</w:t>
      </w:r>
    </w:p>
    <w:p w14:paraId="3A0CAA9D" w14:textId="77777777" w:rsidR="00833A67" w:rsidRDefault="00833A67" w:rsidP="003B486C">
      <w:pPr>
        <w:pStyle w:val="Policybulletlevel2"/>
      </w:pPr>
      <w:r>
        <w:t xml:space="preserve">Tenants must remove/dispose of all personal property, including food and drink stored in kitchens, fridges and freezers.  Any mail should be collected from the relevant </w:t>
      </w:r>
      <w:r w:rsidR="00AC3A15">
        <w:t>post-box</w:t>
      </w:r>
      <w:r>
        <w:t xml:space="preserve"> / pigeon hole, and contact addresses updated as necessary.</w:t>
      </w:r>
    </w:p>
    <w:p w14:paraId="12FA2161" w14:textId="77777777" w:rsidR="006A1E48" w:rsidRPr="009B13EE" w:rsidRDefault="006A1E48" w:rsidP="003B486C">
      <w:pPr>
        <w:pStyle w:val="Policyheader"/>
        <w:rPr>
          <w:sz w:val="24"/>
        </w:rPr>
      </w:pPr>
      <w:bookmarkStart w:id="59" w:name="_Toc174092994"/>
      <w:r w:rsidRPr="009B13EE">
        <w:t xml:space="preserve">Policy Development, Approval and </w:t>
      </w:r>
      <w:bookmarkEnd w:id="48"/>
      <w:r w:rsidR="00871C1C">
        <w:t>Authorisation</w:t>
      </w:r>
      <w:bookmarkEnd w:id="59"/>
      <w:r w:rsidRPr="009B13EE">
        <w:t xml:space="preserve"> </w:t>
      </w:r>
    </w:p>
    <w:p w14:paraId="20DF3FA3" w14:textId="77777777" w:rsidR="00922957" w:rsidRPr="00922957" w:rsidRDefault="00922957" w:rsidP="003B486C">
      <w:pPr>
        <w:pStyle w:val="Policybulletlevel2"/>
      </w:pPr>
      <w:bookmarkStart w:id="60" w:name="_Toc523986728"/>
      <w:bookmarkStart w:id="61" w:name="_Toc523989246"/>
      <w:bookmarkEnd w:id="49"/>
      <w:bookmarkEnd w:id="50"/>
      <w:r w:rsidRPr="00922957">
        <w:t>Consultation – this policy has been prepared by the Accommodation Manager and Head of Facilities for Accommodation. There has been direct input from the site-based Accommodation officers and the Trust’s Intelligent Client and Associate Director of People and Culture.</w:t>
      </w:r>
    </w:p>
    <w:p w14:paraId="2F9908F0" w14:textId="77777777" w:rsidR="00922957" w:rsidRPr="00922957" w:rsidRDefault="00922957" w:rsidP="003B486C">
      <w:pPr>
        <w:pStyle w:val="Policybulletlevel2"/>
      </w:pPr>
      <w:r w:rsidRPr="00922957">
        <w:t>Care Group leads with staff who may be service users, Hospital Triumvirates as well as the Director of People and Culture, the Trust’s Legal Advisor, and Medical Staffing leads have been consulted on the content, in particular the allocation criteria.</w:t>
      </w:r>
    </w:p>
    <w:p w14:paraId="1CF8A5EC" w14:textId="77777777" w:rsidR="00922957" w:rsidRDefault="00922957" w:rsidP="003B486C">
      <w:pPr>
        <w:pStyle w:val="Policybulletlevel2"/>
      </w:pPr>
      <w:r>
        <w:t>T</w:t>
      </w:r>
      <w:r w:rsidRPr="00922957">
        <w:t xml:space="preserve">he Policy </w:t>
      </w:r>
      <w:r>
        <w:t>Authorisation</w:t>
      </w:r>
      <w:r w:rsidRPr="00922957">
        <w:t xml:space="preserve"> Group </w:t>
      </w:r>
      <w:r>
        <w:t>has</w:t>
      </w:r>
      <w:r w:rsidRPr="00922957">
        <w:t xml:space="preserve"> ratified this policy.</w:t>
      </w:r>
    </w:p>
    <w:p w14:paraId="0A021432" w14:textId="77777777" w:rsidR="00901EDC" w:rsidRDefault="00901EDC" w:rsidP="003B486C">
      <w:pPr>
        <w:pStyle w:val="Policyheader"/>
      </w:pPr>
      <w:bookmarkStart w:id="62" w:name="_Toc174092995"/>
      <w:r w:rsidRPr="00D5698E">
        <w:t>Review</w:t>
      </w:r>
      <w:r w:rsidRPr="00AE6AAE">
        <w:t xml:space="preserve"> and Revision Arrangements</w:t>
      </w:r>
      <w:bookmarkEnd w:id="60"/>
      <w:bookmarkEnd w:id="61"/>
      <w:bookmarkEnd w:id="62"/>
    </w:p>
    <w:p w14:paraId="0CCD8441" w14:textId="77777777" w:rsidR="00A4563E" w:rsidRDefault="00A4563E" w:rsidP="003B486C">
      <w:pPr>
        <w:pStyle w:val="Policybulletlevel2"/>
      </w:pPr>
      <w:r w:rsidRPr="007E6C40">
        <w:t>This policy will be reviewed as scheduled in three years’ time unless legislative or other changes necessitate an earlier review.</w:t>
      </w:r>
    </w:p>
    <w:p w14:paraId="43576D08" w14:textId="77777777" w:rsidR="006A1E48" w:rsidRDefault="006A1E48" w:rsidP="003B486C">
      <w:pPr>
        <w:pStyle w:val="Policybulletlevel2"/>
      </w:pPr>
      <w:r>
        <w:t xml:space="preserve">It will be ratified by the Policy </w:t>
      </w:r>
      <w:r w:rsidR="00871C1C">
        <w:t>Authorisation</w:t>
      </w:r>
      <w:r>
        <w:t xml:space="preserve"> Group every three years, or when there are significant changes and/or changes to underpinning legislation in </w:t>
      </w:r>
      <w:r>
        <w:lastRenderedPageBreak/>
        <w:t>accordance with the policy for the Development and Management of Trust Policies</w:t>
      </w:r>
      <w:r w:rsidR="00FC7B3C">
        <w:t>.</w:t>
      </w:r>
    </w:p>
    <w:p w14:paraId="0BFEA753" w14:textId="77777777" w:rsidR="00901EDC" w:rsidRDefault="006A1E48" w:rsidP="003B486C">
      <w:pPr>
        <w:pStyle w:val="Policyheader"/>
      </w:pPr>
      <w:bookmarkStart w:id="63" w:name="_Toc523986729"/>
      <w:bookmarkStart w:id="64" w:name="_Toc523989247"/>
      <w:bookmarkStart w:id="65" w:name="_Toc174092996"/>
      <w:r>
        <w:t xml:space="preserve">Policy </w:t>
      </w:r>
      <w:r w:rsidR="00901EDC" w:rsidRPr="00A37AEE">
        <w:t>Implementation</w:t>
      </w:r>
      <w:bookmarkEnd w:id="63"/>
      <w:bookmarkEnd w:id="64"/>
      <w:bookmarkEnd w:id="65"/>
    </w:p>
    <w:p w14:paraId="4365BF58" w14:textId="77777777" w:rsidR="00922957" w:rsidRDefault="00922957" w:rsidP="003B486C">
      <w:pPr>
        <w:pStyle w:val="Policybulletlevel2"/>
      </w:pPr>
      <w:r w:rsidRPr="00922957">
        <w:t xml:space="preserve">The plan for </w:t>
      </w:r>
      <w:r w:rsidR="00BE398A">
        <w:t>implementation</w:t>
      </w:r>
      <w:r w:rsidRPr="00922957">
        <w:t xml:space="preserve"> of policy is contained within appendix three.</w:t>
      </w:r>
    </w:p>
    <w:p w14:paraId="316A628B" w14:textId="77777777" w:rsidR="00901EDC" w:rsidRDefault="00901EDC" w:rsidP="003B486C">
      <w:pPr>
        <w:pStyle w:val="Policyheader"/>
      </w:pPr>
      <w:bookmarkStart w:id="66" w:name="_Toc523986730"/>
      <w:bookmarkStart w:id="67" w:name="_Toc523989248"/>
      <w:bookmarkStart w:id="68" w:name="_Toc174092997"/>
      <w:r w:rsidRPr="00A37AEE">
        <w:t>Document Control including Archiving Arrangements</w:t>
      </w:r>
      <w:bookmarkEnd w:id="66"/>
      <w:bookmarkEnd w:id="67"/>
      <w:bookmarkEnd w:id="68"/>
    </w:p>
    <w:p w14:paraId="59534496" w14:textId="77777777" w:rsidR="006A1E48" w:rsidRDefault="006A1E48" w:rsidP="003B486C">
      <w:pPr>
        <w:pStyle w:val="Policybulletlevel2"/>
      </w:pPr>
      <w:r>
        <w:t>Archiving of this policy will conform to the Trust’s Information Lifecycle and Records Management Policy, which sets out the Trust’s policy on the management of its information.</w:t>
      </w:r>
    </w:p>
    <w:p w14:paraId="6A7B2361" w14:textId="77777777" w:rsidR="00A51641" w:rsidRDefault="00A51641" w:rsidP="003B486C">
      <w:pPr>
        <w:pStyle w:val="Policybulletlevel2"/>
      </w:pPr>
      <w:r>
        <w:t>This policy will be uploaded to the Trust’s policy management system.</w:t>
      </w:r>
      <w:r w:rsidR="006A1E48">
        <w:t xml:space="preserve"> </w:t>
      </w:r>
    </w:p>
    <w:p w14:paraId="110927DE" w14:textId="77777777" w:rsidR="00FC7B3C" w:rsidRDefault="00901EDC" w:rsidP="003B486C">
      <w:pPr>
        <w:pStyle w:val="Policyheader"/>
      </w:pPr>
      <w:bookmarkStart w:id="69" w:name="_Toc523986731"/>
      <w:bookmarkStart w:id="70" w:name="_Toc523989249"/>
      <w:bookmarkStart w:id="71" w:name="_Toc174092998"/>
      <w:r w:rsidRPr="00901EDC">
        <w:t>Monitoring Compliance</w:t>
      </w:r>
      <w:bookmarkEnd w:id="69"/>
      <w:bookmarkEnd w:id="70"/>
      <w:bookmarkEnd w:id="71"/>
      <w:r w:rsidRPr="00901EDC">
        <w:t xml:space="preserve"> </w:t>
      </w:r>
    </w:p>
    <w:p w14:paraId="274B2B25" w14:textId="77777777" w:rsidR="00A31AD7" w:rsidRPr="000C00B9" w:rsidRDefault="00A31AD7" w:rsidP="003B486C">
      <w:pPr>
        <w:pStyle w:val="Policybulletlevel2"/>
      </w:pPr>
      <w:r w:rsidRPr="000C00B9">
        <w:t>Compliance with policy is monitored continuously via 2</w:t>
      </w:r>
      <w:r>
        <w:t>g</w:t>
      </w:r>
      <w:r w:rsidRPr="000C00B9">
        <w:t>ether Support Solutions, who in turn are subject to ongoing contractual performance measures by the Trust.</w:t>
      </w:r>
    </w:p>
    <w:p w14:paraId="09C2E676" w14:textId="77777777" w:rsidR="00A31AD7" w:rsidRDefault="00A31AD7" w:rsidP="003B486C">
      <w:pPr>
        <w:pStyle w:val="Policybulletlevel2"/>
      </w:pPr>
      <w:r w:rsidRPr="000C00B9">
        <w:t>The Service Level Agreement for Accommodation between the Trust and 2gether will apply to this policy.  All key performance indicators will be reviewed on a regular basis at the Trust’s Contract Performance Meeting with 2gether.</w:t>
      </w:r>
    </w:p>
    <w:p w14:paraId="1510034D" w14:textId="77777777" w:rsidR="00A31AD7" w:rsidRPr="00901EDC" w:rsidRDefault="00A31AD7" w:rsidP="003B486C">
      <w:pPr>
        <w:pStyle w:val="Policybulletlevel2"/>
      </w:pPr>
      <w:r w:rsidRPr="00BB62A0">
        <w:t>In addition, the Contract Management meeting meets to ensure compliance with all 2</w:t>
      </w:r>
      <w:r>
        <w:t>g</w:t>
      </w:r>
      <w:r w:rsidRPr="00BB62A0">
        <w:t>ether Policies and to discuss and agree exceptions</w:t>
      </w:r>
      <w:r>
        <w:t>.</w:t>
      </w:r>
    </w:p>
    <w:p w14:paraId="225B70EC" w14:textId="77777777" w:rsidR="00901EDC" w:rsidRDefault="00901EDC" w:rsidP="003B486C">
      <w:pPr>
        <w:pStyle w:val="Policyheader"/>
      </w:pPr>
      <w:bookmarkStart w:id="72" w:name="_Toc523986732"/>
      <w:bookmarkStart w:id="73" w:name="_Toc523989250"/>
      <w:bookmarkStart w:id="74" w:name="_Toc174092999"/>
      <w:r>
        <w:t>References</w:t>
      </w:r>
      <w:bookmarkEnd w:id="72"/>
      <w:bookmarkEnd w:id="73"/>
      <w:bookmarkEnd w:id="74"/>
    </w:p>
    <w:p w14:paraId="2907E04F" w14:textId="77777777" w:rsidR="00A31AD7" w:rsidRDefault="00A31AD7" w:rsidP="003B486C">
      <w:pPr>
        <w:pStyle w:val="Policybulletlevel2"/>
        <w:numPr>
          <w:ilvl w:val="0"/>
          <w:numId w:val="0"/>
        </w:numPr>
      </w:pPr>
      <w:r>
        <w:t xml:space="preserve">The Accommodation contract specification  </w:t>
      </w:r>
    </w:p>
    <w:p w14:paraId="2E34F09F" w14:textId="77777777" w:rsidR="00A31AD7" w:rsidRDefault="00A31AD7" w:rsidP="003B486C">
      <w:pPr>
        <w:pStyle w:val="Policybulletlevel2"/>
        <w:numPr>
          <w:ilvl w:val="0"/>
          <w:numId w:val="0"/>
        </w:numPr>
      </w:pPr>
      <w:r>
        <w:t xml:space="preserve">OCCAM Room Service portal: </w:t>
      </w:r>
      <w:hyperlink r:id="rId15" w:history="1">
        <w:r w:rsidRPr="0081676F">
          <w:rPr>
            <w:rStyle w:val="Hyperlink"/>
          </w:rPr>
          <w:t>https://accommodation.ekhuft.nhs.uk/Accommodation_Portal/</w:t>
        </w:r>
      </w:hyperlink>
      <w:r>
        <w:t xml:space="preserve">  </w:t>
      </w:r>
    </w:p>
    <w:p w14:paraId="3FFFC6E6" w14:textId="77777777" w:rsidR="00A31AD7" w:rsidRDefault="00A31AD7" w:rsidP="003B486C">
      <w:pPr>
        <w:pStyle w:val="Policybulletlevel2"/>
        <w:numPr>
          <w:ilvl w:val="0"/>
          <w:numId w:val="0"/>
        </w:numPr>
      </w:pPr>
      <w:r>
        <w:t xml:space="preserve">OCCAM Room Service portal for agency and emergency room use: </w:t>
      </w:r>
      <w:hyperlink r:id="rId16" w:history="1">
        <w:r w:rsidRPr="0081676F">
          <w:rPr>
            <w:rStyle w:val="Hyperlink"/>
          </w:rPr>
          <w:t>https://accommodation.ekhuft.nhs.uk/agency_emergencyrooms_portal/</w:t>
        </w:r>
      </w:hyperlink>
      <w:r>
        <w:t xml:space="preserve"> </w:t>
      </w:r>
    </w:p>
    <w:p w14:paraId="527E35CD" w14:textId="77777777" w:rsidR="00A31AD7" w:rsidRDefault="00A31AD7" w:rsidP="003B486C">
      <w:pPr>
        <w:pStyle w:val="Policybulletlevel2"/>
        <w:numPr>
          <w:ilvl w:val="0"/>
          <w:numId w:val="0"/>
        </w:numPr>
      </w:pPr>
      <w:r>
        <w:t xml:space="preserve">Trust parking permit portal: </w:t>
      </w:r>
      <w:hyperlink r:id="rId17" w:history="1">
        <w:r w:rsidRPr="00BA300B">
          <w:rPr>
            <w:rStyle w:val="Hyperlink"/>
          </w:rPr>
          <w:t>http://permits.paysmarti.co.uk/acct/eastkenthospitals</w:t>
        </w:r>
      </w:hyperlink>
      <w:r>
        <w:t xml:space="preserve">  </w:t>
      </w:r>
    </w:p>
    <w:p w14:paraId="4EE2E7EB" w14:textId="77777777" w:rsidR="00A31AD7" w:rsidRPr="002B5996" w:rsidRDefault="00A31AD7" w:rsidP="003B486C">
      <w:pPr>
        <w:pStyle w:val="Policybulletlevel2"/>
        <w:numPr>
          <w:ilvl w:val="0"/>
          <w:numId w:val="0"/>
        </w:numPr>
        <w:rPr>
          <w:sz w:val="21"/>
        </w:rPr>
      </w:pPr>
      <w:r>
        <w:t>Terms and Conditions of service for NHS Doctors and Dentists in Training (England) (2016) [version 3 21 April 2017].</w:t>
      </w:r>
      <w:bookmarkStart w:id="75" w:name="_bookmark18"/>
      <w:bookmarkEnd w:id="75"/>
    </w:p>
    <w:p w14:paraId="71E7F22B" w14:textId="77777777" w:rsidR="00901EDC" w:rsidRPr="00F54910" w:rsidRDefault="00901EDC" w:rsidP="003B486C">
      <w:pPr>
        <w:pStyle w:val="Policyheader"/>
      </w:pPr>
      <w:bookmarkStart w:id="76" w:name="_Toc523986733"/>
      <w:bookmarkStart w:id="77" w:name="_Toc523989251"/>
      <w:bookmarkStart w:id="78" w:name="_Toc174093000"/>
      <w:r>
        <w:t>Appendices</w:t>
      </w:r>
      <w:bookmarkEnd w:id="76"/>
      <w:bookmarkEnd w:id="77"/>
      <w:bookmarkEnd w:id="78"/>
    </w:p>
    <w:p w14:paraId="6A42469E" w14:textId="77777777" w:rsidR="00D5698E" w:rsidRPr="00D5698E" w:rsidRDefault="00FB769F" w:rsidP="003B486C">
      <w:pPr>
        <w:pStyle w:val="Policyheader"/>
        <w:numPr>
          <w:ilvl w:val="0"/>
          <w:numId w:val="0"/>
        </w:numPr>
      </w:pPr>
      <w:r>
        <w:br w:type="page"/>
      </w:r>
      <w:bookmarkStart w:id="79" w:name="_Toc523986734"/>
      <w:bookmarkStart w:id="80" w:name="_Toc523989252"/>
      <w:bookmarkStart w:id="81" w:name="_Toc174093001"/>
      <w:r w:rsidR="00901EDC" w:rsidRPr="00FB769F">
        <w:lastRenderedPageBreak/>
        <w:t>A</w:t>
      </w:r>
      <w:r w:rsidR="0022378C" w:rsidRPr="00FB769F">
        <w:t>ppendix</w:t>
      </w:r>
      <w:r w:rsidR="0022378C" w:rsidRPr="00901EDC">
        <w:t xml:space="preserve"> </w:t>
      </w:r>
      <w:r w:rsidR="00A31AD7">
        <w:t>1</w:t>
      </w:r>
      <w:r w:rsidR="00A31AD7" w:rsidRPr="00901EDC">
        <w:t xml:space="preserve"> </w:t>
      </w:r>
      <w:r w:rsidR="0022378C" w:rsidRPr="00A31AD7">
        <w:t xml:space="preserve">– </w:t>
      </w:r>
      <w:bookmarkEnd w:id="79"/>
      <w:bookmarkEnd w:id="80"/>
      <w:r w:rsidR="00A31AD7" w:rsidRPr="00A31AD7">
        <w:t>Terms and Conditions of service for Doctors &amp; Dentists in Training (England) (2016)</w:t>
      </w:r>
      <w:bookmarkEnd w:id="81"/>
      <w:r w:rsidR="00A31AD7" w:rsidRPr="002912F0">
        <w:rPr>
          <w:sz w:val="22"/>
          <w:szCs w:val="22"/>
          <w:u w:val="single"/>
        </w:rPr>
        <w:t xml:space="preserve"> </w:t>
      </w:r>
    </w:p>
    <w:p w14:paraId="0B9C03ED" w14:textId="77777777" w:rsidR="00A31AD7" w:rsidRDefault="00A31AD7" w:rsidP="00A31AD7">
      <w:pPr>
        <w:jc w:val="both"/>
      </w:pPr>
      <w:r>
        <w:t>Schedule 12 states the following principles:</w:t>
      </w:r>
    </w:p>
    <w:p w14:paraId="7B4F5D7B" w14:textId="77777777" w:rsidR="00A31AD7" w:rsidRDefault="00A31AD7">
      <w:pPr>
        <w:rPr>
          <w:color w:val="000000"/>
          <w:lang w:val="en"/>
        </w:rPr>
      </w:pPr>
    </w:p>
    <w:p w14:paraId="2EC23557" w14:textId="77777777" w:rsidR="00A31AD7" w:rsidRPr="00A31AD7" w:rsidRDefault="00A31AD7" w:rsidP="00A31AD7">
      <w:pPr>
        <w:rPr>
          <w:b/>
          <w:color w:val="000000"/>
          <w:lang w:val="en"/>
        </w:rPr>
      </w:pPr>
      <w:bookmarkStart w:id="82" w:name="_Toc523986735"/>
      <w:bookmarkStart w:id="83" w:name="_Toc523989253"/>
      <w:r w:rsidRPr="00A31AD7">
        <w:rPr>
          <w:b/>
          <w:color w:val="000000"/>
          <w:lang w:val="en"/>
        </w:rPr>
        <w:t>Access to rest facilities</w:t>
      </w:r>
    </w:p>
    <w:p w14:paraId="6B85159B" w14:textId="77777777" w:rsidR="00A31AD7" w:rsidRPr="00A31AD7" w:rsidRDefault="00A31AD7" w:rsidP="00A31AD7">
      <w:pPr>
        <w:rPr>
          <w:color w:val="000000"/>
          <w:lang w:val="en"/>
        </w:rPr>
      </w:pPr>
    </w:p>
    <w:p w14:paraId="2DDE6E08" w14:textId="5B303F6F" w:rsidR="00A31AD7" w:rsidRDefault="00A31AD7" w:rsidP="00A31AD7">
      <w:pPr>
        <w:rPr>
          <w:color w:val="000000"/>
          <w:lang w:val="en"/>
        </w:rPr>
      </w:pPr>
      <w:r w:rsidRPr="00A31AD7">
        <w:rPr>
          <w:color w:val="000000"/>
          <w:lang w:val="en"/>
        </w:rPr>
        <w:t>Doctors who are rostered to work a night shift must have access to a space in which to take a meal and other rest breaks. This should ideally be provided in an area away from patients, where possible</w:t>
      </w:r>
      <w:r w:rsidR="003509EB">
        <w:rPr>
          <w:color w:val="000000"/>
          <w:lang w:val="en"/>
        </w:rPr>
        <w:t>.</w:t>
      </w:r>
    </w:p>
    <w:p w14:paraId="64FE7737" w14:textId="77777777" w:rsidR="003509EB" w:rsidRPr="00A31AD7" w:rsidRDefault="003509EB" w:rsidP="00A31AD7">
      <w:pPr>
        <w:rPr>
          <w:color w:val="000000"/>
          <w:lang w:val="en"/>
        </w:rPr>
      </w:pPr>
    </w:p>
    <w:p w14:paraId="508D3A94" w14:textId="4B82CBDB" w:rsidR="00A31AD7" w:rsidRDefault="00A31AD7" w:rsidP="00A31AD7">
      <w:pPr>
        <w:rPr>
          <w:color w:val="000000"/>
          <w:lang w:val="en"/>
        </w:rPr>
      </w:pPr>
      <w:r w:rsidRPr="00A31AD7">
        <w:rPr>
          <w:color w:val="000000"/>
          <w:lang w:val="en"/>
        </w:rPr>
        <w:t>Employers are not required to provide a bedroom for doctors who are rostered to work a night shift.</w:t>
      </w:r>
    </w:p>
    <w:p w14:paraId="73D364ED" w14:textId="77777777" w:rsidR="003509EB" w:rsidRPr="00A31AD7" w:rsidRDefault="003509EB" w:rsidP="00A31AD7">
      <w:pPr>
        <w:rPr>
          <w:color w:val="000000"/>
          <w:lang w:val="en"/>
        </w:rPr>
      </w:pPr>
    </w:p>
    <w:p w14:paraId="550D14F5" w14:textId="3E9F584D" w:rsidR="00A31AD7" w:rsidRPr="00A31AD7" w:rsidRDefault="00A31AD7" w:rsidP="00A31AD7">
      <w:pPr>
        <w:rPr>
          <w:color w:val="000000"/>
          <w:lang w:val="en"/>
        </w:rPr>
      </w:pPr>
      <w:r w:rsidRPr="00A31AD7">
        <w:rPr>
          <w:color w:val="000000"/>
          <w:lang w:val="en"/>
        </w:rPr>
        <w:t>Where a doctor advises the employer that the doctor feels unable to travel home following a night shift or a long, late shift due to tiredness, the employer shall where possible provide an appropriate rest facility where the doctor can sleep. The hours when the doctor is resting in the hospital under these circumstances will not count as work or working time. Where the provision of an appropriate rest facility is not possible, the employer must make sure that alternative arrangements are in place for the doctor's safe travel home</w:t>
      </w:r>
      <w:r w:rsidR="003509EB">
        <w:rPr>
          <w:color w:val="000000"/>
          <w:lang w:val="en"/>
        </w:rPr>
        <w:t>.</w:t>
      </w:r>
    </w:p>
    <w:p w14:paraId="71E9E8FF" w14:textId="59E635ED" w:rsidR="00A31AD7" w:rsidRPr="00A31AD7" w:rsidRDefault="00A31AD7" w:rsidP="00A31AD7">
      <w:pPr>
        <w:rPr>
          <w:color w:val="000000"/>
          <w:lang w:val="en"/>
        </w:rPr>
      </w:pPr>
    </w:p>
    <w:p w14:paraId="4DB56721" w14:textId="10EDAC39" w:rsidR="00A31AD7" w:rsidRDefault="00A31AD7" w:rsidP="00A31AD7">
      <w:pPr>
        <w:rPr>
          <w:color w:val="000000"/>
          <w:lang w:val="en"/>
        </w:rPr>
      </w:pPr>
      <w:r w:rsidRPr="00A31AD7">
        <w:rPr>
          <w:color w:val="000000"/>
          <w:lang w:val="en"/>
        </w:rPr>
        <w:t>Where a doctor is rostered to work on a non-resident on-call working pattern and is required to return to work during the night period, and the doctor considers it unsafe to undertake the return journey home due to concerns over tiredness, the employer shall where possible provide an appropriate rest facility if requested where the doctor can rest. The hours when the doctor is resting in the hospital under these circumstances will not count as work or working time. Where the provision of an appropriate rest facility is not possible, the employer must make sure that alternative arrangements are in place for the doctor's safe travel home.</w:t>
      </w:r>
    </w:p>
    <w:p w14:paraId="08F4B611" w14:textId="77777777" w:rsidR="003509EB" w:rsidRPr="00A31AD7" w:rsidRDefault="003509EB" w:rsidP="00A31AD7">
      <w:pPr>
        <w:rPr>
          <w:color w:val="000000"/>
          <w:lang w:val="en"/>
        </w:rPr>
      </w:pPr>
    </w:p>
    <w:p w14:paraId="6126B331" w14:textId="3FDAF2C6" w:rsidR="00A31AD7" w:rsidRDefault="00A31AD7" w:rsidP="00A31AD7">
      <w:pPr>
        <w:rPr>
          <w:color w:val="000000"/>
          <w:lang w:val="en"/>
        </w:rPr>
      </w:pPr>
      <w:r w:rsidRPr="00A31AD7">
        <w:rPr>
          <w:color w:val="000000"/>
          <w:lang w:val="en"/>
        </w:rPr>
        <w:t>Where a doctor is rostered to work on a non-resident on-call working pattern and the doctor elects voluntarily, subject to the availability of accommodation, to be resident during the on-call duty period, a charge for any such accommodation shall be made and, provided that prior consent has been given, deducted from the doctor’s salary.</w:t>
      </w:r>
    </w:p>
    <w:p w14:paraId="4DA076A9" w14:textId="77777777" w:rsidR="003509EB" w:rsidRPr="00A31AD7" w:rsidRDefault="003509EB" w:rsidP="00A31AD7">
      <w:pPr>
        <w:rPr>
          <w:color w:val="000000"/>
          <w:lang w:val="en"/>
        </w:rPr>
      </w:pPr>
    </w:p>
    <w:p w14:paraId="24B53F03" w14:textId="77777777" w:rsidR="00EB2AC2" w:rsidRDefault="00A31AD7" w:rsidP="00A31AD7">
      <w:pPr>
        <w:rPr>
          <w:color w:val="000000"/>
          <w:lang w:val="en"/>
        </w:rPr>
        <w:sectPr w:rsidR="00EB2AC2" w:rsidSect="00CD793E">
          <w:headerReference w:type="even" r:id="rId18"/>
          <w:headerReference w:type="default" r:id="rId19"/>
          <w:footerReference w:type="even" r:id="rId20"/>
          <w:footerReference w:type="default" r:id="rId21"/>
          <w:headerReference w:type="first" r:id="rId22"/>
          <w:footerReference w:type="first" r:id="rId23"/>
          <w:pgSz w:w="11906" w:h="16838" w:code="9"/>
          <w:pgMar w:top="1383" w:right="1134" w:bottom="1440" w:left="1276" w:header="697" w:footer="142" w:gutter="0"/>
          <w:cols w:space="708"/>
          <w:titlePg/>
          <w:docGrid w:linePitch="360"/>
        </w:sectPr>
      </w:pPr>
      <w:r w:rsidRPr="00A31AD7">
        <w:rPr>
          <w:color w:val="000000"/>
          <w:lang w:val="en"/>
        </w:rPr>
        <w:t>Where a doctor is required to work overnight on a resident on-call working pattern, the doctor shall be provided with overnight accommodation for the resident on-call duty period without charge.</w:t>
      </w:r>
    </w:p>
    <w:p w14:paraId="583F1242" w14:textId="77777777" w:rsidR="00A31AD7" w:rsidRDefault="00A31AD7">
      <w:pPr>
        <w:rPr>
          <w:b/>
          <w:bCs/>
          <w:noProof/>
          <w:sz w:val="28"/>
        </w:rPr>
      </w:pPr>
      <w:r>
        <w:br w:type="page"/>
      </w:r>
    </w:p>
    <w:p w14:paraId="06AC425A" w14:textId="77777777" w:rsidR="003A26FA" w:rsidRDefault="0022378C" w:rsidP="003B486C">
      <w:pPr>
        <w:pStyle w:val="Policyheader"/>
        <w:numPr>
          <w:ilvl w:val="0"/>
          <w:numId w:val="0"/>
        </w:numPr>
      </w:pPr>
      <w:bookmarkStart w:id="84" w:name="_Toc174093002"/>
      <w:r w:rsidRPr="00C54512">
        <w:lastRenderedPageBreak/>
        <w:t xml:space="preserve">Appendix </w:t>
      </w:r>
      <w:r w:rsidR="00BC329D">
        <w:t>2</w:t>
      </w:r>
      <w:r w:rsidR="00D52C9E" w:rsidRPr="00C54512">
        <w:t xml:space="preserve"> </w:t>
      </w:r>
      <w:r w:rsidR="002B0638" w:rsidRPr="00901EDC">
        <w:t xml:space="preserve">– </w:t>
      </w:r>
      <w:r w:rsidR="003A26FA" w:rsidRPr="00C54512">
        <w:t xml:space="preserve">Equality </w:t>
      </w:r>
      <w:r w:rsidR="004805F3">
        <w:t>Analysis</w:t>
      </w:r>
      <w:bookmarkEnd w:id="82"/>
      <w:bookmarkEnd w:id="83"/>
      <w:bookmarkEnd w:id="84"/>
    </w:p>
    <w:tbl>
      <w:tblPr>
        <w:tblStyle w:val="TableGrid1"/>
        <w:tblW w:w="0" w:type="auto"/>
        <w:tblLook w:val="04A0" w:firstRow="1" w:lastRow="0" w:firstColumn="1" w:lastColumn="0" w:noHBand="0" w:noVBand="1"/>
      </w:tblPr>
      <w:tblGrid>
        <w:gridCol w:w="9486"/>
      </w:tblGrid>
      <w:tr w:rsidR="00546985" w:rsidRPr="00546985" w14:paraId="7BF90AF3" w14:textId="77777777" w:rsidTr="003509EB">
        <w:trPr>
          <w:trHeight w:val="567"/>
        </w:trPr>
        <w:tc>
          <w:tcPr>
            <w:tcW w:w="9486" w:type="dxa"/>
          </w:tcPr>
          <w:p w14:paraId="197A180B" w14:textId="77777777" w:rsidR="00546985" w:rsidRPr="00546985" w:rsidRDefault="00546985" w:rsidP="00546985">
            <w:pPr>
              <w:rPr>
                <w:rFonts w:eastAsia="Times New Roman" w:cs="Arial"/>
              </w:rPr>
            </w:pPr>
            <w:r w:rsidRPr="00546985">
              <w:rPr>
                <w:rFonts w:eastAsia="Times New Roman" w:cs="Arial"/>
              </w:rPr>
              <w:t>An Equality Analysis not just about addressing discrimination or adverse impact; the policy should also positively promote equal opportunities, improved access, participation in public life and good relations.</w:t>
            </w:r>
          </w:p>
        </w:tc>
      </w:tr>
    </w:tbl>
    <w:p w14:paraId="1C260BE2" w14:textId="77777777" w:rsidR="00546985" w:rsidRPr="00546985" w:rsidRDefault="00546985" w:rsidP="00546985">
      <w:pPr>
        <w:rPr>
          <w:rFonts w:cs="Arial"/>
          <w:lang w:eastAsia="en-US"/>
        </w:rPr>
      </w:pPr>
    </w:p>
    <w:tbl>
      <w:tblPr>
        <w:tblStyle w:val="TableGrid1"/>
        <w:tblW w:w="0" w:type="auto"/>
        <w:tblLook w:val="04A0" w:firstRow="1" w:lastRow="0" w:firstColumn="1" w:lastColumn="0" w:noHBand="0" w:noVBand="1"/>
      </w:tblPr>
      <w:tblGrid>
        <w:gridCol w:w="3256"/>
        <w:gridCol w:w="6230"/>
      </w:tblGrid>
      <w:tr w:rsidR="003509EB" w:rsidRPr="00546985" w14:paraId="4B7FB931" w14:textId="77777777" w:rsidTr="003509EB">
        <w:trPr>
          <w:trHeight w:val="567"/>
        </w:trPr>
        <w:tc>
          <w:tcPr>
            <w:tcW w:w="3256" w:type="dxa"/>
          </w:tcPr>
          <w:p w14:paraId="09909CC5" w14:textId="77777777" w:rsidR="003509EB" w:rsidRPr="00546985" w:rsidRDefault="003509EB" w:rsidP="00546985">
            <w:pPr>
              <w:rPr>
                <w:rFonts w:cs="Arial"/>
              </w:rPr>
            </w:pPr>
            <w:r w:rsidRPr="00546985">
              <w:rPr>
                <w:rFonts w:eastAsia="Times New Roman" w:cs="Arial"/>
                <w:b/>
              </w:rPr>
              <w:t>Person completing the Analysis</w:t>
            </w:r>
          </w:p>
        </w:tc>
        <w:tc>
          <w:tcPr>
            <w:tcW w:w="6230" w:type="dxa"/>
          </w:tcPr>
          <w:p w14:paraId="7AA29D76" w14:textId="1BAE521B" w:rsidR="003509EB" w:rsidRPr="00546985" w:rsidRDefault="003509EB" w:rsidP="00546985">
            <w:pPr>
              <w:rPr>
                <w:rFonts w:cs="Arial"/>
              </w:rPr>
            </w:pPr>
          </w:p>
        </w:tc>
      </w:tr>
      <w:tr w:rsidR="00A31AD7" w:rsidRPr="00546985" w14:paraId="34556AED" w14:textId="77777777" w:rsidTr="003509EB">
        <w:trPr>
          <w:trHeight w:val="510"/>
        </w:trPr>
        <w:tc>
          <w:tcPr>
            <w:tcW w:w="3256" w:type="dxa"/>
          </w:tcPr>
          <w:p w14:paraId="7DF07A6B" w14:textId="77777777" w:rsidR="00A31AD7" w:rsidRPr="00546985" w:rsidRDefault="00A31AD7" w:rsidP="00A31AD7">
            <w:pPr>
              <w:rPr>
                <w:rFonts w:cs="Arial"/>
              </w:rPr>
            </w:pPr>
            <w:r w:rsidRPr="00546985">
              <w:rPr>
                <w:rFonts w:eastAsia="Times New Roman" w:cs="Arial"/>
              </w:rPr>
              <w:t>Name</w:t>
            </w:r>
          </w:p>
        </w:tc>
        <w:tc>
          <w:tcPr>
            <w:tcW w:w="6230" w:type="dxa"/>
          </w:tcPr>
          <w:p w14:paraId="0D95511D" w14:textId="77777777" w:rsidR="00A31AD7" w:rsidRDefault="00A31AD7" w:rsidP="00A31AD7">
            <w:pPr>
              <w:pStyle w:val="TableParagraph"/>
              <w:spacing w:before="67"/>
              <w:ind w:left="107"/>
              <w:rPr>
                <w:rFonts w:ascii="Arial"/>
                <w:b/>
              </w:rPr>
            </w:pPr>
            <w:r>
              <w:rPr>
                <w:rFonts w:ascii="Arial"/>
                <w:b/>
              </w:rPr>
              <w:t xml:space="preserve">Marion Clayton </w:t>
            </w:r>
          </w:p>
        </w:tc>
      </w:tr>
      <w:tr w:rsidR="00A31AD7" w:rsidRPr="00546985" w14:paraId="17D10A8B" w14:textId="77777777" w:rsidTr="003509EB">
        <w:trPr>
          <w:trHeight w:val="510"/>
        </w:trPr>
        <w:tc>
          <w:tcPr>
            <w:tcW w:w="3256" w:type="dxa"/>
          </w:tcPr>
          <w:p w14:paraId="4BF3D213" w14:textId="77777777" w:rsidR="00A31AD7" w:rsidRPr="00546985" w:rsidRDefault="00A31AD7" w:rsidP="00A31AD7">
            <w:pPr>
              <w:rPr>
                <w:rFonts w:cs="Arial"/>
              </w:rPr>
            </w:pPr>
            <w:r w:rsidRPr="00546985">
              <w:rPr>
                <w:rFonts w:eastAsia="Times New Roman" w:cs="Arial"/>
              </w:rPr>
              <w:t>Job title</w:t>
            </w:r>
          </w:p>
        </w:tc>
        <w:tc>
          <w:tcPr>
            <w:tcW w:w="6230" w:type="dxa"/>
          </w:tcPr>
          <w:p w14:paraId="63CF03C8" w14:textId="77777777" w:rsidR="00A31AD7" w:rsidRDefault="00A31AD7" w:rsidP="00A31AD7">
            <w:pPr>
              <w:pStyle w:val="TableParagraph"/>
              <w:spacing w:before="67"/>
              <w:ind w:left="107"/>
            </w:pPr>
            <w:r>
              <w:t xml:space="preserve">Intelligent Client </w:t>
            </w:r>
          </w:p>
        </w:tc>
      </w:tr>
      <w:tr w:rsidR="00A31AD7" w:rsidRPr="00546985" w14:paraId="19D02C81" w14:textId="77777777" w:rsidTr="003509EB">
        <w:trPr>
          <w:trHeight w:val="510"/>
        </w:trPr>
        <w:tc>
          <w:tcPr>
            <w:tcW w:w="3256" w:type="dxa"/>
          </w:tcPr>
          <w:p w14:paraId="498E25C7" w14:textId="77777777" w:rsidR="00A31AD7" w:rsidRPr="00546985" w:rsidRDefault="00A31AD7" w:rsidP="00A31AD7">
            <w:pPr>
              <w:rPr>
                <w:rFonts w:eastAsia="Times New Roman" w:cs="Arial"/>
              </w:rPr>
            </w:pPr>
            <w:r>
              <w:rPr>
                <w:rFonts w:eastAsia="Times New Roman" w:cs="Arial"/>
              </w:rPr>
              <w:t>Care Group / Department</w:t>
            </w:r>
          </w:p>
        </w:tc>
        <w:tc>
          <w:tcPr>
            <w:tcW w:w="6230" w:type="dxa"/>
          </w:tcPr>
          <w:p w14:paraId="6D4C0E5E" w14:textId="77777777" w:rsidR="00A31AD7" w:rsidRDefault="00A31AD7" w:rsidP="00A31AD7">
            <w:pPr>
              <w:pStyle w:val="TableParagraph"/>
              <w:spacing w:before="67"/>
              <w:ind w:left="107"/>
            </w:pPr>
            <w:r>
              <w:t>2gether</w:t>
            </w:r>
            <w:r>
              <w:rPr>
                <w:spacing w:val="-4"/>
              </w:rPr>
              <w:t xml:space="preserve"> </w:t>
            </w:r>
            <w:r>
              <w:t>Support Solutions</w:t>
            </w:r>
          </w:p>
        </w:tc>
      </w:tr>
      <w:tr w:rsidR="00A31AD7" w:rsidRPr="00546985" w14:paraId="34F173A8" w14:textId="77777777" w:rsidTr="003509EB">
        <w:trPr>
          <w:trHeight w:val="510"/>
        </w:trPr>
        <w:tc>
          <w:tcPr>
            <w:tcW w:w="3256" w:type="dxa"/>
          </w:tcPr>
          <w:p w14:paraId="62480A2F" w14:textId="77777777" w:rsidR="00A31AD7" w:rsidRPr="00546985" w:rsidRDefault="00A31AD7" w:rsidP="00A31AD7">
            <w:pPr>
              <w:rPr>
                <w:rFonts w:eastAsia="Times New Roman" w:cs="Arial"/>
              </w:rPr>
            </w:pPr>
            <w:r w:rsidRPr="00546985">
              <w:rPr>
                <w:rFonts w:eastAsia="Times New Roman" w:cs="Arial"/>
              </w:rPr>
              <w:t>Date completed</w:t>
            </w:r>
          </w:p>
        </w:tc>
        <w:tc>
          <w:tcPr>
            <w:tcW w:w="6230" w:type="dxa"/>
          </w:tcPr>
          <w:p w14:paraId="00BB8532" w14:textId="77777777" w:rsidR="00A31AD7" w:rsidRDefault="00A31AD7" w:rsidP="00A31AD7">
            <w:pPr>
              <w:pStyle w:val="TableParagraph"/>
              <w:spacing w:before="67"/>
              <w:ind w:left="107"/>
            </w:pPr>
            <w:r>
              <w:t>23 June 2022</w:t>
            </w:r>
          </w:p>
        </w:tc>
      </w:tr>
      <w:tr w:rsidR="003509EB" w:rsidRPr="00546985" w14:paraId="767FFBE9" w14:textId="77777777" w:rsidTr="00732B2F">
        <w:trPr>
          <w:trHeight w:val="821"/>
        </w:trPr>
        <w:tc>
          <w:tcPr>
            <w:tcW w:w="3256" w:type="dxa"/>
          </w:tcPr>
          <w:p w14:paraId="2DEEB91E" w14:textId="77777777" w:rsidR="003509EB" w:rsidRPr="00546985" w:rsidRDefault="003509EB" w:rsidP="00A31AD7">
            <w:pPr>
              <w:rPr>
                <w:rFonts w:cs="Arial"/>
              </w:rPr>
            </w:pPr>
            <w:r w:rsidRPr="00546985">
              <w:rPr>
                <w:rFonts w:eastAsia="Times New Roman" w:cs="Arial"/>
              </w:rPr>
              <w:t>Who will be impacted by this policy</w:t>
            </w:r>
            <w:r>
              <w:rPr>
                <w:rFonts w:eastAsia="Times New Roman" w:cs="Arial"/>
              </w:rPr>
              <w:t>?</w:t>
            </w:r>
          </w:p>
        </w:tc>
        <w:tc>
          <w:tcPr>
            <w:tcW w:w="6230" w:type="dxa"/>
          </w:tcPr>
          <w:p w14:paraId="6DD3E6D4" w14:textId="77777777" w:rsidR="003509EB" w:rsidRPr="00546985" w:rsidRDefault="00785219" w:rsidP="00A31AD7">
            <w:pPr>
              <w:ind w:left="357"/>
              <w:rPr>
                <w:rFonts w:cs="Arial"/>
              </w:rPr>
            </w:pPr>
            <w:sdt>
              <w:sdtPr>
                <w:rPr>
                  <w:rFonts w:cs="Arial"/>
                </w:rPr>
                <w:id w:val="402653919"/>
                <w14:checkbox>
                  <w14:checked w14:val="1"/>
                  <w14:checkedState w14:val="2612" w14:font="MS Gothic"/>
                  <w14:uncheckedState w14:val="2610" w14:font="MS Gothic"/>
                </w14:checkbox>
              </w:sdtPr>
              <w:sdtEndPr/>
              <w:sdtContent>
                <w:r w:rsidR="003509EB">
                  <w:rPr>
                    <w:rFonts w:ascii="MS Gothic" w:eastAsia="MS Gothic" w:hAnsi="MS Gothic" w:cs="Arial" w:hint="eastAsia"/>
                  </w:rPr>
                  <w:t>☒</w:t>
                </w:r>
              </w:sdtContent>
            </w:sdt>
            <w:r w:rsidR="003509EB">
              <w:rPr>
                <w:rFonts w:cs="Arial"/>
              </w:rPr>
              <w:t xml:space="preserve">  </w:t>
            </w:r>
            <w:r w:rsidR="003509EB" w:rsidRPr="00546985">
              <w:rPr>
                <w:rFonts w:cs="Arial"/>
              </w:rPr>
              <w:t>Staff (EKHUFT)</w:t>
            </w:r>
          </w:p>
          <w:p w14:paraId="754B4953" w14:textId="77777777" w:rsidR="003509EB" w:rsidRPr="00546985" w:rsidRDefault="00785219" w:rsidP="00A31AD7">
            <w:pPr>
              <w:ind w:left="357"/>
              <w:rPr>
                <w:rFonts w:cs="Arial"/>
              </w:rPr>
            </w:pPr>
            <w:sdt>
              <w:sdtPr>
                <w:rPr>
                  <w:rFonts w:cs="Arial"/>
                </w:rPr>
                <w:id w:val="1061600847"/>
                <w14:checkbox>
                  <w14:checked w14:val="1"/>
                  <w14:checkedState w14:val="2612" w14:font="MS Gothic"/>
                  <w14:uncheckedState w14:val="2610" w14:font="MS Gothic"/>
                </w14:checkbox>
              </w:sdtPr>
              <w:sdtEndPr/>
              <w:sdtContent>
                <w:r w:rsidR="003509EB">
                  <w:rPr>
                    <w:rFonts w:ascii="MS Gothic" w:eastAsia="MS Gothic" w:hAnsi="MS Gothic" w:cs="Arial" w:hint="eastAsia"/>
                  </w:rPr>
                  <w:t>☒</w:t>
                </w:r>
              </w:sdtContent>
            </w:sdt>
            <w:r w:rsidR="003509EB">
              <w:rPr>
                <w:rFonts w:cs="Arial"/>
              </w:rPr>
              <w:t xml:space="preserve">  </w:t>
            </w:r>
            <w:r w:rsidR="003509EB" w:rsidRPr="00546985">
              <w:rPr>
                <w:rFonts w:cs="Arial"/>
              </w:rPr>
              <w:t>Staff (Other)</w:t>
            </w:r>
          </w:p>
          <w:p w14:paraId="5CE58238" w14:textId="77777777" w:rsidR="003509EB" w:rsidRPr="00546985" w:rsidRDefault="00785219" w:rsidP="00A31AD7">
            <w:pPr>
              <w:ind w:left="357"/>
              <w:rPr>
                <w:rFonts w:cs="Arial"/>
              </w:rPr>
            </w:pPr>
            <w:sdt>
              <w:sdtPr>
                <w:rPr>
                  <w:rFonts w:cs="Arial"/>
                </w:rPr>
                <w:id w:val="1085499839"/>
                <w14:checkbox>
                  <w14:checked w14:val="1"/>
                  <w14:checkedState w14:val="2612" w14:font="MS Gothic"/>
                  <w14:uncheckedState w14:val="2610" w14:font="MS Gothic"/>
                </w14:checkbox>
              </w:sdtPr>
              <w:sdtEndPr/>
              <w:sdtContent>
                <w:r w:rsidR="003509EB">
                  <w:rPr>
                    <w:rFonts w:ascii="MS Gothic" w:eastAsia="MS Gothic" w:hAnsi="MS Gothic" w:cs="Arial" w:hint="eastAsia"/>
                  </w:rPr>
                  <w:t>☒</w:t>
                </w:r>
              </w:sdtContent>
            </w:sdt>
            <w:r w:rsidR="003509EB">
              <w:rPr>
                <w:rFonts w:cs="Arial"/>
              </w:rPr>
              <w:t xml:space="preserve">  </w:t>
            </w:r>
            <w:r w:rsidR="003509EB" w:rsidRPr="00546985">
              <w:rPr>
                <w:rFonts w:cs="Arial"/>
              </w:rPr>
              <w:t>Service Users</w:t>
            </w:r>
          </w:p>
          <w:p w14:paraId="56B6B8BC" w14:textId="6448EE29" w:rsidR="003509EB" w:rsidRPr="00546985" w:rsidRDefault="00785219" w:rsidP="00A31AD7">
            <w:pPr>
              <w:ind w:left="360"/>
              <w:rPr>
                <w:rFonts w:cs="Arial"/>
              </w:rPr>
            </w:pPr>
            <w:sdt>
              <w:sdtPr>
                <w:rPr>
                  <w:rFonts w:cs="Arial"/>
                </w:rPr>
                <w:id w:val="591820591"/>
                <w14:checkbox>
                  <w14:checked w14:val="0"/>
                  <w14:checkedState w14:val="2612" w14:font="MS Gothic"/>
                  <w14:uncheckedState w14:val="2610" w14:font="MS Gothic"/>
                </w14:checkbox>
              </w:sdtPr>
              <w:sdtEndPr/>
              <w:sdtContent>
                <w:r w:rsidR="003509EB">
                  <w:rPr>
                    <w:rFonts w:ascii="MS Gothic" w:eastAsia="MS Gothic" w:hAnsi="MS Gothic" w:cs="Arial" w:hint="eastAsia"/>
                  </w:rPr>
                  <w:t>☐</w:t>
                </w:r>
              </w:sdtContent>
            </w:sdt>
            <w:r w:rsidR="003509EB">
              <w:rPr>
                <w:rFonts w:cs="Arial"/>
              </w:rPr>
              <w:t xml:space="preserve">  </w:t>
            </w:r>
            <w:proofErr w:type="spellStart"/>
            <w:r w:rsidR="003509EB" w:rsidRPr="00546985">
              <w:rPr>
                <w:rFonts w:cs="Arial"/>
              </w:rPr>
              <w:t>Carers</w:t>
            </w:r>
            <w:proofErr w:type="spellEnd"/>
            <w:r w:rsidR="003509EB" w:rsidRPr="00546985">
              <w:rPr>
                <w:rFonts w:cs="Arial"/>
              </w:rPr>
              <w:t xml:space="preserve"> </w:t>
            </w:r>
          </w:p>
          <w:p w14:paraId="3AD9D9A4" w14:textId="77777777" w:rsidR="003509EB" w:rsidRPr="00546985" w:rsidRDefault="00785219" w:rsidP="00A31AD7">
            <w:pPr>
              <w:ind w:left="360"/>
              <w:rPr>
                <w:rFonts w:cs="Arial"/>
              </w:rPr>
            </w:pPr>
            <w:sdt>
              <w:sdtPr>
                <w:rPr>
                  <w:rFonts w:cs="Arial"/>
                </w:rPr>
                <w:id w:val="-1703629976"/>
                <w14:checkbox>
                  <w14:checked w14:val="0"/>
                  <w14:checkedState w14:val="2612" w14:font="MS Gothic"/>
                  <w14:uncheckedState w14:val="2610" w14:font="MS Gothic"/>
                </w14:checkbox>
              </w:sdtPr>
              <w:sdtEndPr/>
              <w:sdtContent>
                <w:r w:rsidR="003509EB">
                  <w:rPr>
                    <w:rFonts w:ascii="MS Gothic" w:eastAsia="MS Gothic" w:hAnsi="MS Gothic" w:cs="Arial" w:hint="eastAsia"/>
                  </w:rPr>
                  <w:t>☐</w:t>
                </w:r>
              </w:sdtContent>
            </w:sdt>
            <w:r w:rsidR="003509EB">
              <w:rPr>
                <w:rFonts w:cs="Arial"/>
              </w:rPr>
              <w:t xml:space="preserve">  </w:t>
            </w:r>
            <w:r w:rsidR="003509EB" w:rsidRPr="00546985">
              <w:rPr>
                <w:rFonts w:cs="Arial"/>
              </w:rPr>
              <w:t>Patients</w:t>
            </w:r>
          </w:p>
          <w:p w14:paraId="527F3E25" w14:textId="77777777" w:rsidR="003509EB" w:rsidRPr="00546985" w:rsidRDefault="00785219" w:rsidP="00A31AD7">
            <w:pPr>
              <w:ind w:left="364"/>
              <w:rPr>
                <w:rFonts w:cs="Arial"/>
              </w:rPr>
            </w:pPr>
            <w:sdt>
              <w:sdtPr>
                <w:rPr>
                  <w:rFonts w:cs="Arial"/>
                </w:rPr>
                <w:id w:val="1524981678"/>
                <w14:checkbox>
                  <w14:checked w14:val="0"/>
                  <w14:checkedState w14:val="2612" w14:font="MS Gothic"/>
                  <w14:uncheckedState w14:val="2610" w14:font="MS Gothic"/>
                </w14:checkbox>
              </w:sdtPr>
              <w:sdtEndPr/>
              <w:sdtContent>
                <w:r w:rsidR="003509EB">
                  <w:rPr>
                    <w:rFonts w:ascii="MS Gothic" w:eastAsia="MS Gothic" w:hAnsi="MS Gothic" w:cs="Arial" w:hint="eastAsia"/>
                  </w:rPr>
                  <w:t>☐</w:t>
                </w:r>
              </w:sdtContent>
            </w:sdt>
            <w:r w:rsidR="003509EB">
              <w:rPr>
                <w:rFonts w:cs="Arial"/>
              </w:rPr>
              <w:t xml:space="preserve">  </w:t>
            </w:r>
            <w:r w:rsidR="003509EB" w:rsidRPr="00546985">
              <w:rPr>
                <w:rFonts w:cs="Arial"/>
              </w:rPr>
              <w:t>Relatives</w:t>
            </w:r>
          </w:p>
        </w:tc>
      </w:tr>
    </w:tbl>
    <w:p w14:paraId="26F01E1F" w14:textId="5CD04036" w:rsidR="00546985" w:rsidRDefault="00546985" w:rsidP="00546985">
      <w:pPr>
        <w:rPr>
          <w:rFonts w:cs="Arial"/>
          <w:lang w:eastAsia="en-US"/>
        </w:rPr>
      </w:pPr>
    </w:p>
    <w:p w14:paraId="6E16B218" w14:textId="77777777" w:rsidR="003509EB" w:rsidRPr="00546985" w:rsidRDefault="003509EB" w:rsidP="003509EB">
      <w:pPr>
        <w:rPr>
          <w:rFonts w:cs="Arial"/>
          <w:b/>
          <w:lang w:eastAsia="en-US"/>
        </w:rPr>
      </w:pPr>
      <w:r w:rsidRPr="00546985">
        <w:rPr>
          <w:rFonts w:cs="Arial"/>
          <w:b/>
          <w:lang w:eastAsia="en-US"/>
        </w:rPr>
        <w:t>Assess the impact of the policy on people with different protected characteristics.</w:t>
      </w:r>
    </w:p>
    <w:p w14:paraId="3C3C3DAC" w14:textId="6303ABEF" w:rsidR="003509EB" w:rsidRDefault="003509EB" w:rsidP="003509EB">
      <w:pPr>
        <w:rPr>
          <w:rFonts w:cs="Arial"/>
          <w:lang w:eastAsia="en-US"/>
        </w:rPr>
      </w:pPr>
      <w:r w:rsidRPr="00546985">
        <w:rPr>
          <w:rFonts w:cs="Arial"/>
          <w:lang w:eastAsia="en-US"/>
        </w:rPr>
        <w:t>When assessing impact, make it clear who will be impacted within the protected characteristic category. For example, it may have a positive impact on women but a neutral impact on men.</w:t>
      </w:r>
    </w:p>
    <w:p w14:paraId="1EE7E371" w14:textId="77777777" w:rsidR="003509EB" w:rsidRPr="00546985" w:rsidRDefault="003509EB" w:rsidP="003509EB">
      <w:pPr>
        <w:rPr>
          <w:rFonts w:cs="Arial"/>
          <w:lang w:eastAsia="en-US"/>
        </w:rPr>
      </w:pPr>
    </w:p>
    <w:tbl>
      <w:tblPr>
        <w:tblStyle w:val="TableGrid1"/>
        <w:tblW w:w="0" w:type="auto"/>
        <w:tblLook w:val="04A0" w:firstRow="1" w:lastRow="0" w:firstColumn="1" w:lastColumn="0" w:noHBand="0" w:noVBand="1"/>
      </w:tblPr>
      <w:tblGrid>
        <w:gridCol w:w="3118"/>
        <w:gridCol w:w="3020"/>
        <w:gridCol w:w="3348"/>
      </w:tblGrid>
      <w:tr w:rsidR="00546985" w:rsidRPr="00546985" w14:paraId="1F40B244" w14:textId="77777777" w:rsidTr="003509EB">
        <w:tc>
          <w:tcPr>
            <w:tcW w:w="3118" w:type="dxa"/>
          </w:tcPr>
          <w:p w14:paraId="7E2FABE3" w14:textId="77777777" w:rsidR="00546985" w:rsidRPr="00546985" w:rsidRDefault="00546985" w:rsidP="00546985">
            <w:pPr>
              <w:rPr>
                <w:rFonts w:cs="Arial"/>
                <w:b/>
              </w:rPr>
            </w:pPr>
            <w:r w:rsidRPr="00546985">
              <w:rPr>
                <w:rFonts w:cs="Arial"/>
                <w:b/>
              </w:rPr>
              <w:t>Protected characteristic</w:t>
            </w:r>
          </w:p>
        </w:tc>
        <w:tc>
          <w:tcPr>
            <w:tcW w:w="3020" w:type="dxa"/>
          </w:tcPr>
          <w:p w14:paraId="05E22492" w14:textId="77777777" w:rsidR="00546985" w:rsidRPr="00546985" w:rsidRDefault="00546985" w:rsidP="00546985">
            <w:pPr>
              <w:rPr>
                <w:rFonts w:cs="Arial"/>
                <w:b/>
              </w:rPr>
            </w:pPr>
            <w:r w:rsidRPr="00546985">
              <w:rPr>
                <w:rFonts w:cs="Arial"/>
                <w:b/>
              </w:rPr>
              <w:t>Characteristic Group</w:t>
            </w:r>
          </w:p>
        </w:tc>
        <w:tc>
          <w:tcPr>
            <w:tcW w:w="3348" w:type="dxa"/>
          </w:tcPr>
          <w:p w14:paraId="4FA1A751" w14:textId="77777777" w:rsidR="00546985" w:rsidRPr="00546985" w:rsidRDefault="00546985" w:rsidP="00546985">
            <w:pPr>
              <w:rPr>
                <w:rFonts w:cs="Arial"/>
                <w:b/>
              </w:rPr>
            </w:pPr>
            <w:r w:rsidRPr="00546985">
              <w:rPr>
                <w:rFonts w:cs="Arial"/>
                <w:b/>
              </w:rPr>
              <w:t>Impact of decision</w:t>
            </w:r>
          </w:p>
          <w:p w14:paraId="079CA3B3" w14:textId="77777777" w:rsidR="00546985" w:rsidRPr="00546985" w:rsidRDefault="00546985" w:rsidP="00546985">
            <w:pPr>
              <w:rPr>
                <w:rFonts w:cs="Arial"/>
              </w:rPr>
            </w:pPr>
            <w:r w:rsidRPr="00546985">
              <w:rPr>
                <w:rFonts w:cs="Arial"/>
              </w:rPr>
              <w:t>Positive/Neutral/Negative</w:t>
            </w:r>
          </w:p>
        </w:tc>
      </w:tr>
      <w:tr w:rsidR="00546985" w:rsidRPr="00546985" w14:paraId="51879675" w14:textId="77777777" w:rsidTr="003509EB">
        <w:trPr>
          <w:trHeight w:val="567"/>
        </w:trPr>
        <w:tc>
          <w:tcPr>
            <w:tcW w:w="3118" w:type="dxa"/>
          </w:tcPr>
          <w:p w14:paraId="1003A2F0" w14:textId="77777777" w:rsidR="00546985" w:rsidRPr="00546985" w:rsidRDefault="00546985" w:rsidP="00546985">
            <w:pPr>
              <w:rPr>
                <w:rFonts w:cs="Arial"/>
              </w:rPr>
            </w:pPr>
            <w:r w:rsidRPr="00546985">
              <w:rPr>
                <w:rFonts w:cs="Arial"/>
              </w:rPr>
              <w:t>e.g. Sex</w:t>
            </w:r>
          </w:p>
        </w:tc>
        <w:tc>
          <w:tcPr>
            <w:tcW w:w="3020" w:type="dxa"/>
          </w:tcPr>
          <w:p w14:paraId="768E888E" w14:textId="77777777" w:rsidR="00546985" w:rsidRPr="00546985" w:rsidRDefault="00546985" w:rsidP="00546985">
            <w:pPr>
              <w:rPr>
                <w:rFonts w:cs="Arial"/>
              </w:rPr>
            </w:pPr>
            <w:r w:rsidRPr="00546985">
              <w:rPr>
                <w:rFonts w:cs="Arial"/>
              </w:rPr>
              <w:t>Women</w:t>
            </w:r>
          </w:p>
          <w:p w14:paraId="5519B8B4" w14:textId="77777777" w:rsidR="00546985" w:rsidRPr="00546985" w:rsidRDefault="00546985" w:rsidP="00546985">
            <w:pPr>
              <w:rPr>
                <w:rFonts w:cs="Arial"/>
              </w:rPr>
            </w:pPr>
            <w:r w:rsidRPr="00546985">
              <w:rPr>
                <w:rFonts w:cs="Arial"/>
              </w:rPr>
              <w:t>Men</w:t>
            </w:r>
          </w:p>
        </w:tc>
        <w:tc>
          <w:tcPr>
            <w:tcW w:w="3348" w:type="dxa"/>
          </w:tcPr>
          <w:p w14:paraId="56CFBAD0" w14:textId="77777777" w:rsidR="00546985" w:rsidRPr="00546985" w:rsidRDefault="00546985" w:rsidP="00546985">
            <w:pPr>
              <w:rPr>
                <w:rFonts w:cs="Arial"/>
              </w:rPr>
            </w:pPr>
            <w:r w:rsidRPr="00546985">
              <w:rPr>
                <w:rFonts w:cs="Arial"/>
              </w:rPr>
              <w:t>Positive</w:t>
            </w:r>
          </w:p>
          <w:p w14:paraId="7A3EAD34" w14:textId="77777777" w:rsidR="00546985" w:rsidRPr="00546985" w:rsidRDefault="00546985" w:rsidP="00546985">
            <w:pPr>
              <w:rPr>
                <w:rFonts w:cs="Arial"/>
              </w:rPr>
            </w:pPr>
            <w:r w:rsidRPr="00546985">
              <w:rPr>
                <w:rFonts w:cs="Arial"/>
              </w:rPr>
              <w:t>Neutral</w:t>
            </w:r>
          </w:p>
        </w:tc>
      </w:tr>
      <w:tr w:rsidR="00BC329D" w:rsidRPr="00546985" w14:paraId="5F0A2169" w14:textId="77777777" w:rsidTr="003509EB">
        <w:trPr>
          <w:trHeight w:val="567"/>
        </w:trPr>
        <w:tc>
          <w:tcPr>
            <w:tcW w:w="3118" w:type="dxa"/>
          </w:tcPr>
          <w:p w14:paraId="59A3D600" w14:textId="77777777" w:rsidR="00BC329D" w:rsidRPr="00546985" w:rsidRDefault="00BC329D" w:rsidP="00BC329D">
            <w:pPr>
              <w:rPr>
                <w:rFonts w:cs="Arial"/>
              </w:rPr>
            </w:pPr>
            <w:r w:rsidRPr="00546985">
              <w:rPr>
                <w:rFonts w:cs="Arial"/>
              </w:rPr>
              <w:t>Age</w:t>
            </w:r>
          </w:p>
        </w:tc>
        <w:tc>
          <w:tcPr>
            <w:tcW w:w="3020" w:type="dxa"/>
          </w:tcPr>
          <w:p w14:paraId="7D55B37C"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5BD3950E" w14:textId="77777777" w:rsidR="00BC329D" w:rsidRPr="00546985" w:rsidRDefault="00BC329D" w:rsidP="00BC329D">
            <w:pPr>
              <w:rPr>
                <w:rFonts w:cs="Arial"/>
                <w:b/>
              </w:rPr>
            </w:pPr>
            <w:r>
              <w:rPr>
                <w:b/>
              </w:rPr>
              <w:t>Neutral</w:t>
            </w:r>
          </w:p>
        </w:tc>
      </w:tr>
      <w:tr w:rsidR="00BC329D" w:rsidRPr="00546985" w14:paraId="1ACA5C9C" w14:textId="77777777" w:rsidTr="003509EB">
        <w:trPr>
          <w:trHeight w:val="567"/>
        </w:trPr>
        <w:tc>
          <w:tcPr>
            <w:tcW w:w="3118" w:type="dxa"/>
          </w:tcPr>
          <w:p w14:paraId="22B0A57E" w14:textId="77777777" w:rsidR="00BC329D" w:rsidRPr="00546985" w:rsidRDefault="00BC329D" w:rsidP="00BC329D">
            <w:pPr>
              <w:rPr>
                <w:rFonts w:cs="Arial"/>
              </w:rPr>
            </w:pPr>
            <w:r w:rsidRPr="00546985">
              <w:rPr>
                <w:rFonts w:cs="Arial"/>
              </w:rPr>
              <w:t>Disability</w:t>
            </w:r>
            <w:r w:rsidRPr="00546985">
              <w:rPr>
                <w:rFonts w:cs="Arial"/>
                <w:sz w:val="22"/>
              </w:rPr>
              <w:t xml:space="preserve"> (please see additional information below)</w:t>
            </w:r>
          </w:p>
        </w:tc>
        <w:tc>
          <w:tcPr>
            <w:tcW w:w="3020" w:type="dxa"/>
          </w:tcPr>
          <w:p w14:paraId="6DC99F46"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6AF02BBA" w14:textId="77777777" w:rsidR="00BC329D" w:rsidRPr="00546985" w:rsidRDefault="00166CE0" w:rsidP="00BC329D">
            <w:pPr>
              <w:rPr>
                <w:rFonts w:cs="Arial"/>
                <w:b/>
              </w:rPr>
            </w:pPr>
            <w:r>
              <w:rPr>
                <w:b/>
              </w:rPr>
              <w:t>Positive</w:t>
            </w:r>
          </w:p>
        </w:tc>
      </w:tr>
      <w:tr w:rsidR="00BC329D" w:rsidRPr="00546985" w14:paraId="79342849" w14:textId="77777777" w:rsidTr="003509EB">
        <w:trPr>
          <w:trHeight w:val="567"/>
        </w:trPr>
        <w:tc>
          <w:tcPr>
            <w:tcW w:w="3118" w:type="dxa"/>
          </w:tcPr>
          <w:p w14:paraId="604F7EA6" w14:textId="77777777" w:rsidR="00BC329D" w:rsidRPr="00546985" w:rsidRDefault="00BC329D" w:rsidP="00BC329D">
            <w:pPr>
              <w:rPr>
                <w:rFonts w:cs="Arial"/>
              </w:rPr>
            </w:pPr>
            <w:r w:rsidRPr="00546985">
              <w:rPr>
                <w:rFonts w:cs="Arial"/>
              </w:rPr>
              <w:t>Gender reassignment</w:t>
            </w:r>
          </w:p>
        </w:tc>
        <w:tc>
          <w:tcPr>
            <w:tcW w:w="3020" w:type="dxa"/>
          </w:tcPr>
          <w:p w14:paraId="64BA8610"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62B5F2E5" w14:textId="77777777" w:rsidR="00BC329D" w:rsidRPr="00546985" w:rsidRDefault="00BC329D" w:rsidP="00BC329D">
            <w:pPr>
              <w:rPr>
                <w:rFonts w:cs="Arial"/>
                <w:b/>
              </w:rPr>
            </w:pPr>
            <w:r>
              <w:rPr>
                <w:b/>
              </w:rPr>
              <w:t>Neutral</w:t>
            </w:r>
          </w:p>
        </w:tc>
      </w:tr>
      <w:tr w:rsidR="00BC329D" w:rsidRPr="00546985" w14:paraId="030E51F5" w14:textId="77777777" w:rsidTr="003509EB">
        <w:trPr>
          <w:trHeight w:val="567"/>
        </w:trPr>
        <w:tc>
          <w:tcPr>
            <w:tcW w:w="3118" w:type="dxa"/>
          </w:tcPr>
          <w:p w14:paraId="60FA6457" w14:textId="77777777" w:rsidR="00BC329D" w:rsidRPr="00546985" w:rsidRDefault="00BC329D" w:rsidP="00BC329D">
            <w:pPr>
              <w:rPr>
                <w:rFonts w:cs="Arial"/>
              </w:rPr>
            </w:pPr>
            <w:r w:rsidRPr="00546985">
              <w:rPr>
                <w:rFonts w:cs="Arial"/>
              </w:rPr>
              <w:t>Marriage and civil partnership</w:t>
            </w:r>
          </w:p>
        </w:tc>
        <w:tc>
          <w:tcPr>
            <w:tcW w:w="3020" w:type="dxa"/>
          </w:tcPr>
          <w:p w14:paraId="00E84622"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69D748BC" w14:textId="77777777" w:rsidR="00BC329D" w:rsidRPr="00546985" w:rsidRDefault="00BC329D" w:rsidP="00BC329D">
            <w:pPr>
              <w:rPr>
                <w:rFonts w:cs="Arial"/>
                <w:b/>
              </w:rPr>
            </w:pPr>
            <w:r>
              <w:rPr>
                <w:b/>
              </w:rPr>
              <w:t>Neutral</w:t>
            </w:r>
          </w:p>
        </w:tc>
      </w:tr>
      <w:tr w:rsidR="00BC329D" w:rsidRPr="00546985" w14:paraId="4DB897F9" w14:textId="77777777" w:rsidTr="003509EB">
        <w:trPr>
          <w:trHeight w:val="567"/>
        </w:trPr>
        <w:tc>
          <w:tcPr>
            <w:tcW w:w="3118" w:type="dxa"/>
          </w:tcPr>
          <w:p w14:paraId="576AD408" w14:textId="77777777" w:rsidR="00BC329D" w:rsidRPr="00546985" w:rsidRDefault="00BC329D" w:rsidP="00BC329D">
            <w:pPr>
              <w:rPr>
                <w:rFonts w:cs="Arial"/>
              </w:rPr>
            </w:pPr>
            <w:r w:rsidRPr="00546985">
              <w:rPr>
                <w:rFonts w:cs="Arial"/>
              </w:rPr>
              <w:t>Pregnancy and maternity</w:t>
            </w:r>
          </w:p>
        </w:tc>
        <w:tc>
          <w:tcPr>
            <w:tcW w:w="3020" w:type="dxa"/>
          </w:tcPr>
          <w:p w14:paraId="3855214F"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34EB9B7B" w14:textId="77777777" w:rsidR="00BC329D" w:rsidRPr="00546985" w:rsidRDefault="00BC329D" w:rsidP="00BC329D">
            <w:pPr>
              <w:rPr>
                <w:rFonts w:cs="Arial"/>
                <w:b/>
              </w:rPr>
            </w:pPr>
            <w:r>
              <w:rPr>
                <w:b/>
              </w:rPr>
              <w:t>Neutral</w:t>
            </w:r>
          </w:p>
        </w:tc>
      </w:tr>
      <w:tr w:rsidR="00BC329D" w:rsidRPr="00546985" w14:paraId="4483F94F" w14:textId="77777777" w:rsidTr="003509EB">
        <w:trPr>
          <w:trHeight w:val="567"/>
        </w:trPr>
        <w:tc>
          <w:tcPr>
            <w:tcW w:w="3118" w:type="dxa"/>
          </w:tcPr>
          <w:p w14:paraId="3DAB0093" w14:textId="77777777" w:rsidR="00BC329D" w:rsidRPr="00546985" w:rsidRDefault="00BC329D" w:rsidP="00BC329D">
            <w:pPr>
              <w:rPr>
                <w:rFonts w:cs="Arial"/>
              </w:rPr>
            </w:pPr>
            <w:r w:rsidRPr="00546985">
              <w:rPr>
                <w:rFonts w:cs="Arial"/>
              </w:rPr>
              <w:t>Race</w:t>
            </w:r>
          </w:p>
        </w:tc>
        <w:tc>
          <w:tcPr>
            <w:tcW w:w="3020" w:type="dxa"/>
          </w:tcPr>
          <w:p w14:paraId="6441EE6D"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5064C26F" w14:textId="77777777" w:rsidR="00BC329D" w:rsidRPr="00546985" w:rsidRDefault="00BC329D" w:rsidP="00BC329D">
            <w:pPr>
              <w:rPr>
                <w:rFonts w:cs="Arial"/>
                <w:b/>
              </w:rPr>
            </w:pPr>
            <w:r>
              <w:rPr>
                <w:b/>
              </w:rPr>
              <w:t>Neutral</w:t>
            </w:r>
          </w:p>
        </w:tc>
      </w:tr>
      <w:tr w:rsidR="00BC329D" w:rsidRPr="00546985" w14:paraId="08BE827D" w14:textId="77777777" w:rsidTr="003509EB">
        <w:trPr>
          <w:trHeight w:val="567"/>
        </w:trPr>
        <w:tc>
          <w:tcPr>
            <w:tcW w:w="3118" w:type="dxa"/>
          </w:tcPr>
          <w:p w14:paraId="16003580" w14:textId="77777777" w:rsidR="00BC329D" w:rsidRPr="00546985" w:rsidRDefault="00BC329D" w:rsidP="00BC329D">
            <w:pPr>
              <w:rPr>
                <w:rFonts w:cs="Arial"/>
              </w:rPr>
            </w:pPr>
            <w:r w:rsidRPr="00546985">
              <w:rPr>
                <w:rFonts w:cs="Arial"/>
              </w:rPr>
              <w:t>Religion or belief</w:t>
            </w:r>
          </w:p>
        </w:tc>
        <w:tc>
          <w:tcPr>
            <w:tcW w:w="3020" w:type="dxa"/>
          </w:tcPr>
          <w:p w14:paraId="21113543"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2C3502F0" w14:textId="77777777" w:rsidR="00BC329D" w:rsidRPr="00546985" w:rsidRDefault="00BC329D" w:rsidP="00BC329D">
            <w:pPr>
              <w:rPr>
                <w:rFonts w:cs="Arial"/>
                <w:b/>
              </w:rPr>
            </w:pPr>
            <w:r>
              <w:rPr>
                <w:b/>
              </w:rPr>
              <w:t>Neutral</w:t>
            </w:r>
          </w:p>
        </w:tc>
      </w:tr>
      <w:tr w:rsidR="00BC329D" w:rsidRPr="00546985" w14:paraId="0693B85A" w14:textId="77777777" w:rsidTr="003509EB">
        <w:trPr>
          <w:trHeight w:val="567"/>
        </w:trPr>
        <w:tc>
          <w:tcPr>
            <w:tcW w:w="3118" w:type="dxa"/>
          </w:tcPr>
          <w:p w14:paraId="0FA0ABF6" w14:textId="77777777" w:rsidR="00BC329D" w:rsidRPr="00546985" w:rsidRDefault="00BC329D" w:rsidP="00BC329D">
            <w:pPr>
              <w:rPr>
                <w:rFonts w:cs="Arial"/>
              </w:rPr>
            </w:pPr>
            <w:r w:rsidRPr="00546985">
              <w:rPr>
                <w:rFonts w:cs="Arial"/>
              </w:rPr>
              <w:t>Sex</w:t>
            </w:r>
          </w:p>
        </w:tc>
        <w:tc>
          <w:tcPr>
            <w:tcW w:w="3020" w:type="dxa"/>
          </w:tcPr>
          <w:p w14:paraId="21F1B8D6"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514CB39F" w14:textId="77777777" w:rsidR="00BC329D" w:rsidRPr="00546985" w:rsidRDefault="00BC329D" w:rsidP="00BC329D">
            <w:pPr>
              <w:rPr>
                <w:rFonts w:cs="Arial"/>
                <w:b/>
              </w:rPr>
            </w:pPr>
            <w:r>
              <w:rPr>
                <w:b/>
              </w:rPr>
              <w:t>Neutral</w:t>
            </w:r>
          </w:p>
        </w:tc>
      </w:tr>
      <w:tr w:rsidR="00BC329D" w:rsidRPr="00546985" w14:paraId="0841A6C0" w14:textId="77777777" w:rsidTr="003509EB">
        <w:trPr>
          <w:trHeight w:val="567"/>
        </w:trPr>
        <w:tc>
          <w:tcPr>
            <w:tcW w:w="3118" w:type="dxa"/>
          </w:tcPr>
          <w:p w14:paraId="6C140326" w14:textId="77777777" w:rsidR="00BC329D" w:rsidRPr="00546985" w:rsidRDefault="00BC329D" w:rsidP="00BC329D">
            <w:pPr>
              <w:rPr>
                <w:rFonts w:cs="Arial"/>
              </w:rPr>
            </w:pPr>
            <w:r w:rsidRPr="00546985">
              <w:rPr>
                <w:rFonts w:cs="Arial"/>
              </w:rPr>
              <w:lastRenderedPageBreak/>
              <w:t>Sexual orientation</w:t>
            </w:r>
          </w:p>
        </w:tc>
        <w:tc>
          <w:tcPr>
            <w:tcW w:w="3020" w:type="dxa"/>
          </w:tcPr>
          <w:p w14:paraId="56C9BA52" w14:textId="77777777" w:rsidR="00BC329D" w:rsidRPr="00546985" w:rsidRDefault="00BC329D" w:rsidP="00BC329D">
            <w:pPr>
              <w:rPr>
                <w:rFonts w:cs="Arial"/>
                <w:b/>
              </w:rPr>
            </w:pPr>
            <w:r>
              <w:rPr>
                <w:b/>
              </w:rPr>
              <w:t>No</w:t>
            </w:r>
            <w:r>
              <w:rPr>
                <w:b/>
                <w:spacing w:val="-1"/>
              </w:rPr>
              <w:t xml:space="preserve"> </w:t>
            </w:r>
            <w:r>
              <w:rPr>
                <w:b/>
              </w:rPr>
              <w:t>Impact</w:t>
            </w:r>
          </w:p>
        </w:tc>
        <w:tc>
          <w:tcPr>
            <w:tcW w:w="3348" w:type="dxa"/>
          </w:tcPr>
          <w:p w14:paraId="13FDBCD3" w14:textId="77777777" w:rsidR="00BC329D" w:rsidRPr="00546985" w:rsidRDefault="00BC329D" w:rsidP="00BC329D">
            <w:pPr>
              <w:rPr>
                <w:rFonts w:cs="Arial"/>
                <w:b/>
              </w:rPr>
            </w:pPr>
            <w:r>
              <w:rPr>
                <w:b/>
              </w:rPr>
              <w:t>Neutral</w:t>
            </w:r>
          </w:p>
        </w:tc>
      </w:tr>
    </w:tbl>
    <w:p w14:paraId="59A6BAC9" w14:textId="77777777" w:rsidR="00546985" w:rsidRPr="00546985" w:rsidRDefault="00546985" w:rsidP="00546985">
      <w:pPr>
        <w:rPr>
          <w:rFonts w:cs="Arial"/>
          <w:lang w:eastAsia="en-US"/>
        </w:rPr>
      </w:pPr>
    </w:p>
    <w:p w14:paraId="6C58A335" w14:textId="25840EFC" w:rsidR="00546985" w:rsidRDefault="003509EB" w:rsidP="00546985">
      <w:pPr>
        <w:rPr>
          <w:rFonts w:eastAsia="Times New Roman" w:cs="Arial"/>
        </w:rPr>
      </w:pPr>
      <w:r w:rsidRPr="00546985">
        <w:rPr>
          <w:rFonts w:eastAsia="Times New Roman" w:cs="Arial"/>
        </w:rPr>
        <w:t xml:space="preserve">If there is insufficient evidence to </w:t>
      </w:r>
      <w:proofErr w:type="gramStart"/>
      <w:r w:rsidRPr="00546985">
        <w:rPr>
          <w:rFonts w:eastAsia="Times New Roman" w:cs="Arial"/>
        </w:rPr>
        <w:t>make a decision</w:t>
      </w:r>
      <w:proofErr w:type="gramEnd"/>
      <w:r w:rsidRPr="00546985">
        <w:rPr>
          <w:rFonts w:eastAsia="Times New Roman" w:cs="Arial"/>
        </w:rPr>
        <w:t xml:space="preserve"> about the impact of the policy it may be necessary to consult with members of protected characteristic groups to establish how best to meet their needs or to overcome barriers.</w:t>
      </w:r>
    </w:p>
    <w:p w14:paraId="563F9989" w14:textId="77777777" w:rsidR="003509EB" w:rsidRPr="00546985" w:rsidRDefault="003509EB" w:rsidP="00546985">
      <w:pPr>
        <w:rPr>
          <w:rFonts w:cs="Arial"/>
          <w:lang w:eastAsia="en-US"/>
        </w:rPr>
      </w:pPr>
    </w:p>
    <w:tbl>
      <w:tblPr>
        <w:tblStyle w:val="TableGrid1"/>
        <w:tblW w:w="0" w:type="auto"/>
        <w:tblLook w:val="04A0" w:firstRow="1" w:lastRow="0" w:firstColumn="1" w:lastColumn="0" w:noHBand="0" w:noVBand="1"/>
      </w:tblPr>
      <w:tblGrid>
        <w:gridCol w:w="3080"/>
        <w:gridCol w:w="6406"/>
      </w:tblGrid>
      <w:tr w:rsidR="00546985" w:rsidRPr="00546985" w14:paraId="5BF55379" w14:textId="77777777" w:rsidTr="003509EB">
        <w:tc>
          <w:tcPr>
            <w:tcW w:w="3080" w:type="dxa"/>
          </w:tcPr>
          <w:p w14:paraId="139C83AB" w14:textId="77777777" w:rsidR="00546985" w:rsidRPr="00546985" w:rsidRDefault="00546985" w:rsidP="00546985">
            <w:pPr>
              <w:rPr>
                <w:rFonts w:eastAsia="Times New Roman" w:cs="Arial"/>
              </w:rPr>
            </w:pPr>
            <w:r w:rsidRPr="00546985">
              <w:rPr>
                <w:rFonts w:eastAsia="Times New Roman" w:cs="Arial"/>
              </w:rPr>
              <w:t>Has there been specific consultation on this policy?</w:t>
            </w:r>
          </w:p>
        </w:tc>
        <w:tc>
          <w:tcPr>
            <w:tcW w:w="6406" w:type="dxa"/>
          </w:tcPr>
          <w:p w14:paraId="7674051E" w14:textId="77777777" w:rsidR="00546985" w:rsidRPr="00546985" w:rsidRDefault="00BC329D" w:rsidP="00546985">
            <w:pPr>
              <w:rPr>
                <w:rFonts w:cs="Arial"/>
              </w:rPr>
            </w:pPr>
            <w:r>
              <w:t>This policy has been circulated to 2gether Support Solutions Accommodation Management Team, the Trust’s Accommodation Strategy Group and the Policy Authorisation Group.</w:t>
            </w:r>
          </w:p>
        </w:tc>
      </w:tr>
      <w:tr w:rsidR="00546985" w:rsidRPr="00546985" w14:paraId="1A643563" w14:textId="77777777" w:rsidTr="003509EB">
        <w:tc>
          <w:tcPr>
            <w:tcW w:w="3080" w:type="dxa"/>
          </w:tcPr>
          <w:p w14:paraId="6D90214C" w14:textId="77777777" w:rsidR="00546985" w:rsidRPr="00546985" w:rsidRDefault="00546985" w:rsidP="00546985">
            <w:pPr>
              <w:rPr>
                <w:rFonts w:eastAsia="Times New Roman" w:cs="Arial"/>
              </w:rPr>
            </w:pPr>
            <w:r w:rsidRPr="00546985">
              <w:rPr>
                <w:rFonts w:eastAsia="Times New Roman" w:cs="Arial"/>
              </w:rPr>
              <w:t>Did the consultation analysis reveal any difference in views across the protected characteristics?</w:t>
            </w:r>
          </w:p>
        </w:tc>
        <w:tc>
          <w:tcPr>
            <w:tcW w:w="6406" w:type="dxa"/>
          </w:tcPr>
          <w:p w14:paraId="4D5A405E" w14:textId="77777777" w:rsidR="00546985" w:rsidRPr="00546985" w:rsidRDefault="00BC329D" w:rsidP="00546985">
            <w:pPr>
              <w:rPr>
                <w:rFonts w:cs="Arial"/>
              </w:rPr>
            </w:pPr>
            <w:r>
              <w:rPr>
                <w:rFonts w:cs="Arial"/>
              </w:rPr>
              <w:t>No</w:t>
            </w:r>
          </w:p>
        </w:tc>
      </w:tr>
    </w:tbl>
    <w:p w14:paraId="4125D719" w14:textId="77777777" w:rsidR="003509EB" w:rsidRDefault="003509EB"/>
    <w:tbl>
      <w:tblPr>
        <w:tblStyle w:val="TableGrid1"/>
        <w:tblW w:w="0" w:type="auto"/>
        <w:tblLook w:val="04A0" w:firstRow="1" w:lastRow="0" w:firstColumn="1" w:lastColumn="0" w:noHBand="0" w:noVBand="1"/>
      </w:tblPr>
      <w:tblGrid>
        <w:gridCol w:w="9486"/>
      </w:tblGrid>
      <w:tr w:rsidR="00546985" w:rsidRPr="00546985" w14:paraId="3EEC5C2F" w14:textId="77777777" w:rsidTr="003509EB">
        <w:tc>
          <w:tcPr>
            <w:tcW w:w="9486" w:type="dxa"/>
          </w:tcPr>
          <w:p w14:paraId="62583352" w14:textId="6CB5CD3E" w:rsidR="003509EB" w:rsidRDefault="003509EB" w:rsidP="00546985">
            <w:pPr>
              <w:adjustRightInd w:val="0"/>
              <w:rPr>
                <w:rFonts w:ascii="Helvetica" w:hAnsi="Helvetica" w:cs="Helvetica"/>
                <w:color w:val="000000"/>
              </w:rPr>
            </w:pPr>
            <w:r w:rsidRPr="00546985">
              <w:rPr>
                <w:rFonts w:eastAsia="Times New Roman" w:cs="Arial"/>
                <w:b/>
              </w:rPr>
              <w:t>Disability Protected Characteristic</w:t>
            </w:r>
          </w:p>
          <w:p w14:paraId="1712FF92" w14:textId="3C0336C0" w:rsidR="00546985" w:rsidRPr="00546985" w:rsidRDefault="00546985" w:rsidP="00546985">
            <w:pPr>
              <w:adjustRightInd w:val="0"/>
              <w:rPr>
                <w:rFonts w:ascii="Helvetica" w:hAnsi="Helvetica" w:cs="Helvetica"/>
                <w:color w:val="000000"/>
              </w:rPr>
            </w:pPr>
            <w:r w:rsidRPr="00546985">
              <w:rPr>
                <w:rFonts w:ascii="Helvetica" w:hAnsi="Helvetica" w:cs="Helvetica"/>
                <w:color w:val="000000"/>
              </w:rPr>
              <w:t>We need to ensure that we meet the Accessible Information Standard (AIS) which aims to support people with a disability, sensory loss or impairment to receive information they can understand and any communication support they need. For more information:</w:t>
            </w:r>
          </w:p>
          <w:p w14:paraId="4EE332F2" w14:textId="77777777" w:rsidR="00546985" w:rsidRPr="00546985" w:rsidRDefault="00785219" w:rsidP="00546985">
            <w:pPr>
              <w:adjustRightInd w:val="0"/>
              <w:rPr>
                <w:rFonts w:ascii="Helvetica" w:hAnsi="Helvetica" w:cs="Helvetica"/>
                <w:color w:val="000000"/>
              </w:rPr>
            </w:pPr>
            <w:hyperlink r:id="rId24" w:history="1">
              <w:r w:rsidR="00546985" w:rsidRPr="00546985">
                <w:rPr>
                  <w:rFonts w:ascii="Helvetica" w:hAnsi="Helvetica" w:cs="Helvetica"/>
                  <w:color w:val="0000FF" w:themeColor="hyperlink"/>
                  <w:u w:val="single"/>
                </w:rPr>
                <w:t>https://www.ekhuft.nhs.uk/staff/clinical/accessible-information-standard-ais/</w:t>
              </w:r>
            </w:hyperlink>
          </w:p>
          <w:p w14:paraId="7D263C83" w14:textId="77777777" w:rsidR="00546985" w:rsidRPr="00546985" w:rsidRDefault="00785219" w:rsidP="00546985">
            <w:pPr>
              <w:rPr>
                <w:rFonts w:ascii="Helvetica" w:hAnsi="Helvetica" w:cs="Helvetica"/>
                <w:color w:val="0000FF"/>
                <w:sz w:val="22"/>
                <w:szCs w:val="22"/>
              </w:rPr>
            </w:pPr>
            <w:hyperlink r:id="rId25" w:history="1">
              <w:r w:rsidR="00546985" w:rsidRPr="00546985">
                <w:rPr>
                  <w:rFonts w:ascii="Helvetica" w:hAnsi="Helvetica" w:cs="Helvetica"/>
                  <w:color w:val="0000FF" w:themeColor="hyperlink"/>
                  <w:u w:val="single"/>
                </w:rPr>
                <w:t>https://www.england.nhs.uk/ourwork/patients/accessibleinfo/</w:t>
              </w:r>
            </w:hyperlink>
          </w:p>
        </w:tc>
      </w:tr>
    </w:tbl>
    <w:p w14:paraId="0C9954D0" w14:textId="77777777" w:rsidR="00546985" w:rsidRPr="00546985" w:rsidRDefault="00546985" w:rsidP="00546985">
      <w:pPr>
        <w:rPr>
          <w:rFonts w:cs="Arial"/>
          <w:lang w:eastAsia="en-US"/>
        </w:rPr>
      </w:pPr>
    </w:p>
    <w:tbl>
      <w:tblPr>
        <w:tblStyle w:val="TableGrid1"/>
        <w:tblpPr w:leftFromText="180" w:rightFromText="180" w:vertAnchor="text" w:horzAnchor="margin" w:tblpY="49"/>
        <w:tblW w:w="0" w:type="auto"/>
        <w:tblLook w:val="04A0" w:firstRow="1" w:lastRow="0" w:firstColumn="1" w:lastColumn="0" w:noHBand="0" w:noVBand="1"/>
      </w:tblPr>
      <w:tblGrid>
        <w:gridCol w:w="3020"/>
        <w:gridCol w:w="6466"/>
      </w:tblGrid>
      <w:tr w:rsidR="00546985" w:rsidRPr="00546985" w14:paraId="73FC22CB" w14:textId="77777777" w:rsidTr="003509EB">
        <w:tc>
          <w:tcPr>
            <w:tcW w:w="3085" w:type="dxa"/>
          </w:tcPr>
          <w:p w14:paraId="71576BF4" w14:textId="77777777" w:rsidR="00546985" w:rsidRPr="00546985" w:rsidRDefault="00546985" w:rsidP="00546985">
            <w:pPr>
              <w:rPr>
                <w:rFonts w:cs="Arial"/>
              </w:rPr>
            </w:pPr>
            <w:r w:rsidRPr="00546985">
              <w:rPr>
                <w:rFonts w:cs="Arial"/>
                <w:b/>
              </w:rPr>
              <w:t>Mitigating negative impact:</w:t>
            </w:r>
          </w:p>
          <w:p w14:paraId="41D558EA" w14:textId="77777777" w:rsidR="00546985" w:rsidRPr="00546985" w:rsidRDefault="00546985" w:rsidP="00546985">
            <w:pPr>
              <w:rPr>
                <w:rFonts w:cs="Arial"/>
              </w:rPr>
            </w:pPr>
            <w:r w:rsidRPr="00546985">
              <w:rPr>
                <w:rFonts w:cs="Arial"/>
              </w:rPr>
              <w:t>Where any negative impact has been identified, outline the measures taken to mitigate against it.</w:t>
            </w:r>
          </w:p>
        </w:tc>
        <w:tc>
          <w:tcPr>
            <w:tcW w:w="6662" w:type="dxa"/>
          </w:tcPr>
          <w:p w14:paraId="30C0EACA" w14:textId="77777777" w:rsidR="00546985" w:rsidRPr="00546985" w:rsidRDefault="00BC329D" w:rsidP="00546985">
            <w:pPr>
              <w:rPr>
                <w:rFonts w:cs="Arial"/>
              </w:rPr>
            </w:pPr>
            <w:r>
              <w:t>There is an Executive Escalation Process within the policy which will mitigate the risk of negativity of this policy’s application.</w:t>
            </w:r>
          </w:p>
        </w:tc>
      </w:tr>
    </w:tbl>
    <w:p w14:paraId="2ACFB6AA" w14:textId="77777777" w:rsidR="00546985" w:rsidRPr="00546985" w:rsidRDefault="00546985" w:rsidP="00546985">
      <w:pPr>
        <w:rPr>
          <w:rFonts w:cs="Arial"/>
          <w:lang w:eastAsia="en-US"/>
        </w:rPr>
      </w:pPr>
    </w:p>
    <w:tbl>
      <w:tblPr>
        <w:tblStyle w:val="TableGrid1"/>
        <w:tblW w:w="0" w:type="auto"/>
        <w:tblLook w:val="04A0" w:firstRow="1" w:lastRow="0" w:firstColumn="1" w:lastColumn="0" w:noHBand="0" w:noVBand="1"/>
      </w:tblPr>
      <w:tblGrid>
        <w:gridCol w:w="3022"/>
        <w:gridCol w:w="6464"/>
      </w:tblGrid>
      <w:tr w:rsidR="00546985" w:rsidRPr="00546985" w14:paraId="67A01FC0" w14:textId="77777777" w:rsidTr="003509EB">
        <w:trPr>
          <w:trHeight w:val="1755"/>
        </w:trPr>
        <w:tc>
          <w:tcPr>
            <w:tcW w:w="3080" w:type="dxa"/>
          </w:tcPr>
          <w:p w14:paraId="7D9F6767" w14:textId="77777777" w:rsidR="00546985" w:rsidRPr="00546985" w:rsidRDefault="00546985" w:rsidP="00546985">
            <w:pPr>
              <w:rPr>
                <w:rFonts w:cs="Arial"/>
                <w:b/>
              </w:rPr>
            </w:pPr>
            <w:r w:rsidRPr="00546985">
              <w:rPr>
                <w:rFonts w:cs="Arial"/>
                <w:b/>
              </w:rPr>
              <w:t>Conclusion:</w:t>
            </w:r>
          </w:p>
          <w:p w14:paraId="674EDDD7" w14:textId="77777777" w:rsidR="00546985" w:rsidRPr="00546985" w:rsidRDefault="00546985" w:rsidP="00546985">
            <w:pPr>
              <w:rPr>
                <w:rFonts w:cs="Arial"/>
                <w:b/>
              </w:rPr>
            </w:pPr>
            <w:r w:rsidRPr="00546985">
              <w:rPr>
                <w:rFonts w:cs="Arial"/>
              </w:rPr>
              <w:t>Advise on the overall equality implications that should be taken into account by the policy approving committee.</w:t>
            </w:r>
          </w:p>
        </w:tc>
        <w:tc>
          <w:tcPr>
            <w:tcW w:w="6667" w:type="dxa"/>
          </w:tcPr>
          <w:p w14:paraId="57A17205" w14:textId="77777777" w:rsidR="00546985" w:rsidRPr="00546985" w:rsidRDefault="00BC329D" w:rsidP="00546985">
            <w:pPr>
              <w:rPr>
                <w:rFonts w:cs="Arial"/>
              </w:rPr>
            </w:pPr>
            <w:r>
              <w:t xml:space="preserve">There are no adverse implications on equality in approving </w:t>
            </w:r>
            <w:proofErr w:type="gramStart"/>
            <w:r>
              <w:t>this</w:t>
            </w:r>
            <w:r w:rsidR="00181BFC">
              <w:t xml:space="preserve"> </w:t>
            </w:r>
            <w:r>
              <w:rPr>
                <w:spacing w:val="-59"/>
              </w:rPr>
              <w:t xml:space="preserve"> </w:t>
            </w:r>
            <w:r>
              <w:t>policy</w:t>
            </w:r>
            <w:proofErr w:type="gramEnd"/>
            <w:r>
              <w:t>.</w:t>
            </w:r>
          </w:p>
        </w:tc>
      </w:tr>
    </w:tbl>
    <w:p w14:paraId="04EF0536" w14:textId="77777777" w:rsidR="00546985" w:rsidRPr="00546985" w:rsidRDefault="00546985" w:rsidP="00546985">
      <w:pPr>
        <w:rPr>
          <w:rFonts w:cs="Arial"/>
          <w:lang w:eastAsia="en-US"/>
        </w:rPr>
      </w:pPr>
    </w:p>
    <w:p w14:paraId="012AB975" w14:textId="77777777" w:rsidR="007A078D" w:rsidRDefault="003A26FA" w:rsidP="003B486C">
      <w:pPr>
        <w:pStyle w:val="Policyheader"/>
        <w:numPr>
          <w:ilvl w:val="0"/>
          <w:numId w:val="0"/>
        </w:numPr>
      </w:pPr>
      <w:r>
        <w:rPr>
          <w:szCs w:val="22"/>
        </w:rPr>
        <w:br w:type="page"/>
      </w:r>
      <w:bookmarkStart w:id="85" w:name="_Toc523986736"/>
      <w:bookmarkStart w:id="86" w:name="_Toc523989254"/>
      <w:bookmarkStart w:id="87" w:name="_Toc174093003"/>
      <w:r w:rsidR="00310C5D" w:rsidRPr="00C54512">
        <w:lastRenderedPageBreak/>
        <w:t xml:space="preserve">Appendix </w:t>
      </w:r>
      <w:r w:rsidR="00BC329D">
        <w:t>3</w:t>
      </w:r>
      <w:r w:rsidR="00310C5D" w:rsidRPr="00C54512">
        <w:t xml:space="preserve"> – </w:t>
      </w:r>
      <w:bookmarkEnd w:id="85"/>
      <w:bookmarkEnd w:id="86"/>
      <w:r w:rsidR="005F08FC">
        <w:t>Policy Implementation</w:t>
      </w:r>
      <w:r w:rsidR="00832DB4">
        <w:t xml:space="preserve"> Plan</w:t>
      </w:r>
      <w:bookmarkEnd w:id="87"/>
    </w:p>
    <w:p w14:paraId="5F195D92" w14:textId="77777777" w:rsidR="005F08FC" w:rsidRDefault="005F08FC" w:rsidP="005F08FC">
      <w:pPr>
        <w:rPr>
          <w:rFonts w:cs="Arial"/>
          <w:szCs w:val="22"/>
        </w:rPr>
      </w:pPr>
      <w:r w:rsidRPr="00C54512">
        <w:rPr>
          <w:rFonts w:cs="Arial"/>
          <w:szCs w:val="22"/>
        </w:rPr>
        <w:t xml:space="preserve">To be completed </w:t>
      </w:r>
      <w:r>
        <w:rPr>
          <w:rFonts w:cs="Arial"/>
          <w:szCs w:val="22"/>
        </w:rPr>
        <w:t>for each version of policy submitted for approval.</w:t>
      </w:r>
    </w:p>
    <w:p w14:paraId="6B27A05A" w14:textId="77777777" w:rsidR="005F08FC" w:rsidRPr="00C54512" w:rsidRDefault="005F08FC" w:rsidP="005F08FC">
      <w:pPr>
        <w:rPr>
          <w:rFonts w:cs="Arial"/>
          <w:szCs w:val="22"/>
        </w:rPr>
      </w:pPr>
    </w:p>
    <w:tbl>
      <w:tblPr>
        <w:tblStyle w:val="TableGrid1"/>
        <w:tblW w:w="9634" w:type="dxa"/>
        <w:tblLayout w:type="fixed"/>
        <w:tblLook w:val="01E0" w:firstRow="1" w:lastRow="1" w:firstColumn="1" w:lastColumn="1" w:noHBand="0" w:noVBand="0"/>
      </w:tblPr>
      <w:tblGrid>
        <w:gridCol w:w="2376"/>
        <w:gridCol w:w="7258"/>
      </w:tblGrid>
      <w:tr w:rsidR="00BC329D" w:rsidRPr="000C09A7" w14:paraId="58CCCD30" w14:textId="77777777" w:rsidTr="003509EB">
        <w:tc>
          <w:tcPr>
            <w:tcW w:w="2376" w:type="dxa"/>
          </w:tcPr>
          <w:p w14:paraId="6A3F7ABA" w14:textId="77777777" w:rsidR="00BC329D" w:rsidRPr="000C09A7" w:rsidRDefault="00BC329D" w:rsidP="00BC329D">
            <w:pPr>
              <w:spacing w:before="120" w:after="120"/>
              <w:rPr>
                <w:rFonts w:cs="Arial"/>
                <w:b/>
              </w:rPr>
            </w:pPr>
            <w:r w:rsidRPr="000C09A7">
              <w:rPr>
                <w:rFonts w:cs="Arial"/>
                <w:b/>
              </w:rPr>
              <w:t>Policy Title:</w:t>
            </w:r>
          </w:p>
        </w:tc>
        <w:tc>
          <w:tcPr>
            <w:tcW w:w="7258" w:type="dxa"/>
          </w:tcPr>
          <w:p w14:paraId="20543047" w14:textId="77777777" w:rsidR="00BC329D" w:rsidRPr="000C09A7" w:rsidRDefault="00BC329D" w:rsidP="00BC329D">
            <w:pPr>
              <w:tabs>
                <w:tab w:val="left" w:pos="4600"/>
              </w:tabs>
              <w:spacing w:before="120" w:after="120" w:line="300" w:lineRule="auto"/>
              <w:jc w:val="both"/>
              <w:rPr>
                <w:rFonts w:cs="Arial"/>
              </w:rPr>
            </w:pPr>
            <w:r>
              <w:t>Staff Accommodation</w:t>
            </w:r>
            <w:r>
              <w:rPr>
                <w:spacing w:val="-3"/>
              </w:rPr>
              <w:t xml:space="preserve"> </w:t>
            </w:r>
            <w:r>
              <w:t>Policy</w:t>
            </w:r>
          </w:p>
        </w:tc>
      </w:tr>
      <w:tr w:rsidR="00BC329D" w:rsidRPr="000C09A7" w14:paraId="0C46C7F8" w14:textId="77777777" w:rsidTr="003509EB">
        <w:tc>
          <w:tcPr>
            <w:tcW w:w="2376" w:type="dxa"/>
          </w:tcPr>
          <w:p w14:paraId="43E88986" w14:textId="77777777" w:rsidR="00BC329D" w:rsidRPr="000C09A7" w:rsidRDefault="00BC329D" w:rsidP="00BC329D">
            <w:pPr>
              <w:spacing w:before="120" w:after="120"/>
              <w:rPr>
                <w:rFonts w:cs="Arial"/>
                <w:b/>
              </w:rPr>
            </w:pPr>
            <w:r w:rsidRPr="000C09A7">
              <w:rPr>
                <w:rFonts w:cs="Arial"/>
                <w:b/>
              </w:rPr>
              <w:t>Version Number:</w:t>
            </w:r>
          </w:p>
        </w:tc>
        <w:tc>
          <w:tcPr>
            <w:tcW w:w="7258" w:type="dxa"/>
          </w:tcPr>
          <w:p w14:paraId="4AF0A069" w14:textId="77777777" w:rsidR="00BC329D" w:rsidRPr="000C09A7" w:rsidRDefault="00AD1BFF" w:rsidP="00BC329D">
            <w:pPr>
              <w:spacing w:before="120" w:after="120" w:line="300" w:lineRule="auto"/>
              <w:jc w:val="both"/>
              <w:rPr>
                <w:rFonts w:cs="Arial"/>
              </w:rPr>
            </w:pPr>
            <w:r>
              <w:t>4</w:t>
            </w:r>
          </w:p>
        </w:tc>
      </w:tr>
      <w:tr w:rsidR="00BC329D" w:rsidRPr="000C09A7" w14:paraId="37FADA30" w14:textId="77777777" w:rsidTr="003509EB">
        <w:tc>
          <w:tcPr>
            <w:tcW w:w="2376" w:type="dxa"/>
          </w:tcPr>
          <w:p w14:paraId="1272372F" w14:textId="77777777" w:rsidR="00BC329D" w:rsidRPr="000C09A7" w:rsidRDefault="00BC329D" w:rsidP="00BC329D">
            <w:pPr>
              <w:spacing w:before="120" w:after="120"/>
              <w:rPr>
                <w:rFonts w:cs="Arial"/>
                <w:b/>
              </w:rPr>
            </w:pPr>
            <w:r w:rsidRPr="000C09A7">
              <w:rPr>
                <w:rFonts w:cs="Arial"/>
                <w:b/>
              </w:rPr>
              <w:t>Implementation Lead:</w:t>
            </w:r>
          </w:p>
        </w:tc>
        <w:tc>
          <w:tcPr>
            <w:tcW w:w="7258" w:type="dxa"/>
          </w:tcPr>
          <w:p w14:paraId="42BBC17E" w14:textId="77777777" w:rsidR="00BC329D" w:rsidRPr="000C09A7" w:rsidRDefault="00BC329D" w:rsidP="00BC329D">
            <w:pPr>
              <w:spacing w:before="120" w:after="120" w:line="300" w:lineRule="auto"/>
              <w:jc w:val="both"/>
              <w:rPr>
                <w:rFonts w:cs="Arial"/>
              </w:rPr>
            </w:pPr>
            <w:r>
              <w:t>Intelligent Client</w:t>
            </w:r>
          </w:p>
        </w:tc>
      </w:tr>
    </w:tbl>
    <w:p w14:paraId="2D912DFE" w14:textId="77777777" w:rsidR="005F08FC" w:rsidRPr="000C09A7" w:rsidRDefault="005F08FC" w:rsidP="005F08FC"/>
    <w:tbl>
      <w:tblPr>
        <w:tblStyle w:val="TableGrid1"/>
        <w:tblW w:w="9634" w:type="dxa"/>
        <w:tblLook w:val="04A0" w:firstRow="1" w:lastRow="0" w:firstColumn="1" w:lastColumn="0" w:noHBand="0" w:noVBand="1"/>
      </w:tblPr>
      <w:tblGrid>
        <w:gridCol w:w="2362"/>
        <w:gridCol w:w="7272"/>
      </w:tblGrid>
      <w:tr w:rsidR="00BC329D" w:rsidRPr="000C09A7" w14:paraId="6697FC9F" w14:textId="77777777" w:rsidTr="003509EB">
        <w:trPr>
          <w:trHeight w:val="1134"/>
        </w:trPr>
        <w:tc>
          <w:tcPr>
            <w:tcW w:w="2362" w:type="dxa"/>
          </w:tcPr>
          <w:p w14:paraId="359E38D9" w14:textId="77777777" w:rsidR="00BC329D" w:rsidRPr="000C09A7" w:rsidRDefault="00BC329D" w:rsidP="00BC329D">
            <w:pPr>
              <w:spacing w:before="60" w:after="60"/>
              <w:rPr>
                <w:rFonts w:cs="Arial"/>
                <w:b/>
              </w:rPr>
            </w:pPr>
            <w:r w:rsidRPr="000C09A7">
              <w:rPr>
                <w:rFonts w:cs="Arial"/>
                <w:b/>
              </w:rPr>
              <w:t>Staff Groups affected by policy:</w:t>
            </w:r>
          </w:p>
        </w:tc>
        <w:tc>
          <w:tcPr>
            <w:tcW w:w="7272" w:type="dxa"/>
          </w:tcPr>
          <w:p w14:paraId="11F7B2EE" w14:textId="77777777" w:rsidR="00BC329D" w:rsidRPr="003837D9" w:rsidRDefault="00BC329D" w:rsidP="00BC329D">
            <w:pPr>
              <w:spacing w:before="60" w:after="60" w:line="300" w:lineRule="auto"/>
              <w:rPr>
                <w:rFonts w:cs="Arial"/>
              </w:rPr>
            </w:pPr>
            <w:r w:rsidRPr="000E5C17">
              <w:t>All Trust staff groups, 2gether Support Solutions and agency staff.</w:t>
            </w:r>
          </w:p>
        </w:tc>
      </w:tr>
      <w:tr w:rsidR="00BC329D" w:rsidRPr="000C09A7" w14:paraId="762594D1" w14:textId="77777777" w:rsidTr="003509EB">
        <w:trPr>
          <w:trHeight w:val="1134"/>
        </w:trPr>
        <w:tc>
          <w:tcPr>
            <w:tcW w:w="2362" w:type="dxa"/>
          </w:tcPr>
          <w:p w14:paraId="6FC34763" w14:textId="77777777" w:rsidR="00BC329D" w:rsidRPr="00832DB4" w:rsidRDefault="00BC329D" w:rsidP="00BC329D">
            <w:pPr>
              <w:spacing w:before="60" w:after="60"/>
              <w:rPr>
                <w:b/>
              </w:rPr>
            </w:pPr>
            <w:r w:rsidRPr="00832DB4">
              <w:rPr>
                <w:b/>
              </w:rPr>
              <w:t xml:space="preserve">Subsidiary Companies affected by policy: </w:t>
            </w:r>
          </w:p>
        </w:tc>
        <w:tc>
          <w:tcPr>
            <w:tcW w:w="7272" w:type="dxa"/>
          </w:tcPr>
          <w:p w14:paraId="319682D3" w14:textId="77777777" w:rsidR="00BC329D" w:rsidRDefault="00BC329D" w:rsidP="00BC329D">
            <w:pPr>
              <w:spacing w:before="60" w:after="60"/>
            </w:pPr>
            <w:r w:rsidRPr="000E5C17">
              <w:t>2gether Support Solutions have a key role in the implementation of this policy.</w:t>
            </w:r>
          </w:p>
        </w:tc>
      </w:tr>
      <w:tr w:rsidR="00BC329D" w:rsidRPr="000C09A7" w14:paraId="042FD783" w14:textId="77777777" w:rsidTr="003509EB">
        <w:trPr>
          <w:trHeight w:val="1134"/>
        </w:trPr>
        <w:tc>
          <w:tcPr>
            <w:tcW w:w="2362" w:type="dxa"/>
          </w:tcPr>
          <w:p w14:paraId="1ACB10A9" w14:textId="77777777" w:rsidR="00BC329D" w:rsidRPr="000C09A7" w:rsidRDefault="00BC329D" w:rsidP="00BC329D">
            <w:pPr>
              <w:spacing w:before="60" w:after="60"/>
              <w:rPr>
                <w:rFonts w:cs="Arial"/>
                <w:b/>
              </w:rPr>
            </w:pPr>
            <w:r w:rsidRPr="000C09A7">
              <w:rPr>
                <w:rFonts w:cs="Arial"/>
                <w:b/>
              </w:rPr>
              <w:t>Detail changes to current processes or practice:</w:t>
            </w:r>
          </w:p>
        </w:tc>
        <w:tc>
          <w:tcPr>
            <w:tcW w:w="7272" w:type="dxa"/>
          </w:tcPr>
          <w:p w14:paraId="7B4AEB3F" w14:textId="77777777" w:rsidR="00BC329D" w:rsidRPr="003837D9" w:rsidRDefault="00BC329D" w:rsidP="00BC329D">
            <w:pPr>
              <w:spacing w:before="60" w:after="60" w:line="300" w:lineRule="auto"/>
              <w:rPr>
                <w:rFonts w:cs="Arial"/>
              </w:rPr>
            </w:pPr>
            <w:r w:rsidRPr="000E5C17">
              <w:t xml:space="preserve">This updated policy reflects the current correct arrangements in place for updated Accommodation management and process, there should be no significant </w:t>
            </w:r>
            <w:r w:rsidR="00AC3A15" w:rsidRPr="000E5C17">
              <w:t>changes to</w:t>
            </w:r>
            <w:r w:rsidRPr="000E5C17">
              <w:t xml:space="preserve"> operational practice or procedures as a result of this policy.</w:t>
            </w:r>
          </w:p>
        </w:tc>
      </w:tr>
      <w:tr w:rsidR="00BC329D" w:rsidRPr="000C09A7" w14:paraId="7FB31BE7" w14:textId="77777777" w:rsidTr="003509EB">
        <w:trPr>
          <w:trHeight w:val="1134"/>
        </w:trPr>
        <w:tc>
          <w:tcPr>
            <w:tcW w:w="2362" w:type="dxa"/>
          </w:tcPr>
          <w:p w14:paraId="3A6B6760" w14:textId="77777777" w:rsidR="00BC329D" w:rsidRPr="000C09A7" w:rsidRDefault="00BC329D" w:rsidP="00BC329D">
            <w:pPr>
              <w:spacing w:before="60" w:after="60"/>
              <w:rPr>
                <w:rFonts w:cs="Arial"/>
                <w:b/>
              </w:rPr>
            </w:pPr>
            <w:r w:rsidRPr="000C09A7">
              <w:rPr>
                <w:rFonts w:cs="Arial"/>
                <w:b/>
              </w:rPr>
              <w:t>Specify any training requirements:</w:t>
            </w:r>
          </w:p>
        </w:tc>
        <w:tc>
          <w:tcPr>
            <w:tcW w:w="7272" w:type="dxa"/>
          </w:tcPr>
          <w:p w14:paraId="45699CD9" w14:textId="77777777" w:rsidR="00BC329D" w:rsidRPr="003837D9" w:rsidRDefault="00BC329D" w:rsidP="00BC329D">
            <w:pPr>
              <w:spacing w:before="60" w:after="60" w:line="300" w:lineRule="auto"/>
              <w:rPr>
                <w:rFonts w:cs="Arial"/>
              </w:rPr>
            </w:pPr>
            <w:r w:rsidRPr="000E5C17">
              <w:t>No specific training requirements.</w:t>
            </w:r>
          </w:p>
        </w:tc>
      </w:tr>
      <w:tr w:rsidR="00BC329D" w:rsidRPr="000C09A7" w14:paraId="0756DF99" w14:textId="77777777" w:rsidTr="003509EB">
        <w:trPr>
          <w:trHeight w:val="1134"/>
        </w:trPr>
        <w:tc>
          <w:tcPr>
            <w:tcW w:w="2362" w:type="dxa"/>
          </w:tcPr>
          <w:p w14:paraId="15425C6A" w14:textId="77777777" w:rsidR="00BC329D" w:rsidRPr="000C09A7" w:rsidRDefault="00BC329D" w:rsidP="00BC329D">
            <w:pPr>
              <w:spacing w:before="60" w:after="60"/>
              <w:rPr>
                <w:rFonts w:cs="Arial"/>
                <w:b/>
              </w:rPr>
            </w:pPr>
            <w:r w:rsidRPr="000C09A7">
              <w:rPr>
                <w:rFonts w:cs="Arial"/>
                <w:b/>
              </w:rPr>
              <w:t>How will policy changes be communicated to staff groups</w:t>
            </w:r>
            <w:r>
              <w:rPr>
                <w:rFonts w:cs="Arial"/>
                <w:b/>
              </w:rPr>
              <w:t>/ subsidiary companies</w:t>
            </w:r>
            <w:r w:rsidRPr="000C09A7">
              <w:rPr>
                <w:rFonts w:cs="Arial"/>
                <w:b/>
              </w:rPr>
              <w:t>?</w:t>
            </w:r>
          </w:p>
        </w:tc>
        <w:tc>
          <w:tcPr>
            <w:tcW w:w="7272" w:type="dxa"/>
          </w:tcPr>
          <w:p w14:paraId="2DE00CC6" w14:textId="77777777" w:rsidR="00BC329D" w:rsidRPr="003837D9" w:rsidRDefault="00BC329D" w:rsidP="00BC329D">
            <w:pPr>
              <w:spacing w:before="60" w:after="60" w:line="300" w:lineRule="auto"/>
              <w:rPr>
                <w:rFonts w:cs="Arial"/>
              </w:rPr>
            </w:pPr>
            <w:r w:rsidRPr="000E5C17">
              <w:t>Policy changes will be communicated via trust information management systems and the Strategic Health and Safety Committee.</w:t>
            </w:r>
          </w:p>
        </w:tc>
      </w:tr>
    </w:tbl>
    <w:p w14:paraId="50BE6001" w14:textId="77777777" w:rsidR="00437798" w:rsidRDefault="00437798" w:rsidP="003509EB">
      <w:pPr>
        <w:rPr>
          <w:szCs w:val="22"/>
        </w:rPr>
      </w:pPr>
    </w:p>
    <w:sectPr w:rsidR="00437798" w:rsidSect="00EB2AC2">
      <w:type w:val="continuous"/>
      <w:pgSz w:w="11906" w:h="16838" w:code="9"/>
      <w:pgMar w:top="1383" w:right="1134" w:bottom="1440" w:left="1276" w:header="69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AB268" w14:textId="77777777" w:rsidR="00785219" w:rsidRDefault="00785219">
      <w:r>
        <w:separator/>
      </w:r>
    </w:p>
  </w:endnote>
  <w:endnote w:type="continuationSeparator" w:id="0">
    <w:p w14:paraId="15A1EB5D" w14:textId="77777777" w:rsidR="00785219" w:rsidRDefault="00785219">
      <w:r>
        <w:continuationSeparator/>
      </w:r>
    </w:p>
  </w:endnote>
  <w:endnote w:type="continuationNotice" w:id="1">
    <w:p w14:paraId="460C19B0" w14:textId="77777777" w:rsidR="00785219" w:rsidRDefault="00785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9649" w14:textId="77777777" w:rsidR="00A07A80" w:rsidRDefault="00A07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0B92" w14:textId="77777777" w:rsidR="00A07A80" w:rsidRPr="00C900D2" w:rsidRDefault="00A07A80">
    <w:pPr>
      <w:pStyle w:val="Footer"/>
      <w:jc w:val="center"/>
      <w:rPr>
        <w:rFonts w:cs="Arial"/>
        <w:sz w:val="16"/>
        <w:szCs w:val="16"/>
      </w:rPr>
    </w:pPr>
    <w:r w:rsidRPr="00C900D2">
      <w:rPr>
        <w:rFonts w:cs="Arial"/>
        <w:sz w:val="16"/>
        <w:szCs w:val="16"/>
      </w:rPr>
      <w:t xml:space="preserve">Page </w:t>
    </w:r>
    <w:r w:rsidRPr="00C900D2">
      <w:rPr>
        <w:rFonts w:cs="Arial"/>
        <w:b/>
        <w:bCs/>
        <w:sz w:val="16"/>
        <w:szCs w:val="16"/>
      </w:rPr>
      <w:fldChar w:fldCharType="begin"/>
    </w:r>
    <w:r w:rsidRPr="00C900D2">
      <w:rPr>
        <w:rFonts w:cs="Arial"/>
        <w:b/>
        <w:bCs/>
        <w:sz w:val="16"/>
        <w:szCs w:val="16"/>
      </w:rPr>
      <w:instrText xml:space="preserve"> PAGE </w:instrText>
    </w:r>
    <w:r w:rsidRPr="00C900D2">
      <w:rPr>
        <w:rFonts w:cs="Arial"/>
        <w:b/>
        <w:bCs/>
        <w:sz w:val="16"/>
        <w:szCs w:val="16"/>
      </w:rPr>
      <w:fldChar w:fldCharType="separate"/>
    </w:r>
    <w:r>
      <w:rPr>
        <w:rFonts w:cs="Arial"/>
        <w:b/>
        <w:bCs/>
        <w:noProof/>
        <w:sz w:val="16"/>
        <w:szCs w:val="16"/>
      </w:rPr>
      <w:t>4</w:t>
    </w:r>
    <w:r w:rsidRPr="00C900D2">
      <w:rPr>
        <w:rFonts w:cs="Arial"/>
        <w:b/>
        <w:bCs/>
        <w:sz w:val="16"/>
        <w:szCs w:val="16"/>
      </w:rPr>
      <w:fldChar w:fldCharType="end"/>
    </w:r>
    <w:r w:rsidRPr="00C900D2">
      <w:rPr>
        <w:rFonts w:cs="Arial"/>
        <w:sz w:val="16"/>
        <w:szCs w:val="16"/>
      </w:rPr>
      <w:t xml:space="preserve"> of </w:t>
    </w:r>
    <w:r w:rsidRPr="00C900D2">
      <w:rPr>
        <w:rFonts w:cs="Arial"/>
        <w:b/>
        <w:bCs/>
        <w:sz w:val="16"/>
        <w:szCs w:val="16"/>
      </w:rPr>
      <w:fldChar w:fldCharType="begin"/>
    </w:r>
    <w:r w:rsidRPr="00C900D2">
      <w:rPr>
        <w:rFonts w:cs="Arial"/>
        <w:b/>
        <w:bCs/>
        <w:sz w:val="16"/>
        <w:szCs w:val="16"/>
      </w:rPr>
      <w:instrText xml:space="preserve"> NUMPAGES  </w:instrText>
    </w:r>
    <w:r w:rsidRPr="00C900D2">
      <w:rPr>
        <w:rFonts w:cs="Arial"/>
        <w:b/>
        <w:bCs/>
        <w:sz w:val="16"/>
        <w:szCs w:val="16"/>
      </w:rPr>
      <w:fldChar w:fldCharType="separate"/>
    </w:r>
    <w:r>
      <w:rPr>
        <w:rFonts w:cs="Arial"/>
        <w:b/>
        <w:bCs/>
        <w:noProof/>
        <w:sz w:val="16"/>
        <w:szCs w:val="16"/>
      </w:rPr>
      <w:t>9</w:t>
    </w:r>
    <w:r w:rsidRPr="00C900D2">
      <w:rPr>
        <w:rFonts w:cs="Arial"/>
        <w:b/>
        <w:bCs/>
        <w:sz w:val="16"/>
        <w:szCs w:val="16"/>
      </w:rPr>
      <w:fldChar w:fldCharType="end"/>
    </w:r>
  </w:p>
  <w:p w14:paraId="3907D155" w14:textId="77777777" w:rsidR="00A07A80" w:rsidRDefault="00A07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A8A1" w14:textId="515E6FB4" w:rsidR="00A07A80" w:rsidRDefault="00A0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4D89" w14:textId="77777777" w:rsidR="00785219" w:rsidRDefault="00785219">
      <w:r>
        <w:separator/>
      </w:r>
    </w:p>
  </w:footnote>
  <w:footnote w:type="continuationSeparator" w:id="0">
    <w:p w14:paraId="49A80487" w14:textId="77777777" w:rsidR="00785219" w:rsidRDefault="00785219">
      <w:r>
        <w:continuationSeparator/>
      </w:r>
    </w:p>
  </w:footnote>
  <w:footnote w:type="continuationNotice" w:id="1">
    <w:p w14:paraId="3E45F287" w14:textId="77777777" w:rsidR="00785219" w:rsidRDefault="00785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B333" w14:textId="77777777" w:rsidR="00A07A80" w:rsidRDefault="00A07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B97" w14:textId="77777777" w:rsidR="00A07A80" w:rsidRDefault="00A07A80" w:rsidP="00B2751E">
    <w:pPr>
      <w:pStyle w:val="Header"/>
      <w:jc w:val="right"/>
      <w:rPr>
        <w:rFonts w:cs="Arial"/>
        <w:sz w:val="18"/>
        <w:szCs w:val="18"/>
      </w:rPr>
    </w:pPr>
  </w:p>
  <w:p w14:paraId="1295EFA8" w14:textId="77777777" w:rsidR="00A07A80" w:rsidRPr="003B4F94" w:rsidRDefault="00A07A80" w:rsidP="0015790D">
    <w:pPr>
      <w:pStyle w:val="Header"/>
      <w:jc w:val="center"/>
      <w:rPr>
        <w:rFonts w:ascii="Arial Bold" w:hAnsi="Arial Bold" w:cs="Arial"/>
        <w:b/>
        <w:vanish/>
        <w:sz w:val="18"/>
        <w:szCs w:val="18"/>
      </w:rPr>
    </w:pPr>
    <w:r w:rsidRPr="003B4F94">
      <w:rPr>
        <w:rFonts w:ascii="Arial Bold" w:hAnsi="Arial Bold" w:cs="Arial"/>
        <w:b/>
        <w:vanish/>
        <w:sz w:val="18"/>
        <w:szCs w:val="18"/>
      </w:rPr>
      <w:fldChar w:fldCharType="begin"/>
    </w:r>
    <w:r w:rsidRPr="003B4F94">
      <w:rPr>
        <w:rFonts w:ascii="Arial Bold" w:hAnsi="Arial Bold" w:cs="Arial"/>
        <w:b/>
        <w:vanish/>
        <w:sz w:val="18"/>
        <w:szCs w:val="18"/>
      </w:rPr>
      <w:instrText xml:space="preserve"> PRINT  \* MERGEFORMAT </w:instrText>
    </w:r>
    <w:r w:rsidRPr="003B4F94">
      <w:rPr>
        <w:rFonts w:ascii="Arial Bold" w:hAnsi="Arial Bold" w:cs="Arial"/>
        <w:b/>
        <w:vanish/>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1350" w14:textId="77777777" w:rsidR="00A07A80" w:rsidRDefault="00A0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8F1"/>
    <w:multiLevelType w:val="multilevel"/>
    <w:tmpl w:val="D28CEC3A"/>
    <w:lvl w:ilvl="0">
      <w:start w:val="1"/>
      <w:numFmt w:val="decimal"/>
      <w:lvlText w:val="%1."/>
      <w:lvlJc w:val="left"/>
      <w:pPr>
        <w:ind w:left="852" w:hanging="852"/>
      </w:pPr>
      <w:rPr>
        <w:rFonts w:ascii="Arial" w:eastAsia="Arial" w:hAnsi="Arial" w:cs="Arial" w:hint="default"/>
        <w:b/>
        <w:bCs/>
        <w:spacing w:val="-1"/>
        <w:w w:val="100"/>
        <w:sz w:val="28"/>
        <w:szCs w:val="28"/>
        <w:lang w:val="en-US" w:eastAsia="en-US" w:bidi="ar-SA"/>
      </w:rPr>
    </w:lvl>
    <w:lvl w:ilvl="1">
      <w:start w:val="1"/>
      <w:numFmt w:val="bullet"/>
      <w:lvlText w:val=""/>
      <w:lvlJc w:val="left"/>
      <w:pPr>
        <w:ind w:left="852" w:hanging="852"/>
      </w:pPr>
      <w:rPr>
        <w:rFonts w:ascii="Symbol" w:hAnsi="Symbol" w:hint="default"/>
        <w:w w:val="99"/>
        <w:sz w:val="24"/>
        <w:szCs w:val="24"/>
        <w:lang w:val="en-US" w:eastAsia="en-US" w:bidi="ar-SA"/>
      </w:rPr>
    </w:lvl>
    <w:lvl w:ilvl="2">
      <w:numFmt w:val="bullet"/>
      <w:lvlText w:val="•"/>
      <w:lvlJc w:val="left"/>
      <w:pPr>
        <w:ind w:left="2652" w:hanging="852"/>
      </w:pPr>
      <w:rPr>
        <w:rFonts w:hint="default"/>
        <w:lang w:val="en-US" w:eastAsia="en-US" w:bidi="ar-SA"/>
      </w:rPr>
    </w:lvl>
    <w:lvl w:ilvl="3">
      <w:numFmt w:val="bullet"/>
      <w:lvlText w:val="•"/>
      <w:lvlJc w:val="left"/>
      <w:pPr>
        <w:ind w:left="3556" w:hanging="852"/>
      </w:pPr>
      <w:rPr>
        <w:rFonts w:hint="default"/>
        <w:lang w:val="en-US" w:eastAsia="en-US" w:bidi="ar-SA"/>
      </w:rPr>
    </w:lvl>
    <w:lvl w:ilvl="4">
      <w:numFmt w:val="bullet"/>
      <w:lvlText w:val="•"/>
      <w:lvlJc w:val="left"/>
      <w:pPr>
        <w:ind w:left="4461" w:hanging="852"/>
      </w:pPr>
      <w:rPr>
        <w:rFonts w:hint="default"/>
        <w:lang w:val="en-US" w:eastAsia="en-US" w:bidi="ar-SA"/>
      </w:rPr>
    </w:lvl>
    <w:lvl w:ilvl="5">
      <w:numFmt w:val="bullet"/>
      <w:lvlText w:val="•"/>
      <w:lvlJc w:val="left"/>
      <w:pPr>
        <w:ind w:left="5366" w:hanging="852"/>
      </w:pPr>
      <w:rPr>
        <w:rFonts w:hint="default"/>
        <w:lang w:val="en-US" w:eastAsia="en-US" w:bidi="ar-SA"/>
      </w:rPr>
    </w:lvl>
    <w:lvl w:ilvl="6">
      <w:numFmt w:val="bullet"/>
      <w:lvlText w:val="•"/>
      <w:lvlJc w:val="left"/>
      <w:pPr>
        <w:ind w:left="6270" w:hanging="852"/>
      </w:pPr>
      <w:rPr>
        <w:rFonts w:hint="default"/>
        <w:lang w:val="en-US" w:eastAsia="en-US" w:bidi="ar-SA"/>
      </w:rPr>
    </w:lvl>
    <w:lvl w:ilvl="7">
      <w:numFmt w:val="bullet"/>
      <w:lvlText w:val="•"/>
      <w:lvlJc w:val="left"/>
      <w:pPr>
        <w:ind w:left="7175" w:hanging="852"/>
      </w:pPr>
      <w:rPr>
        <w:rFonts w:hint="default"/>
        <w:lang w:val="en-US" w:eastAsia="en-US" w:bidi="ar-SA"/>
      </w:rPr>
    </w:lvl>
    <w:lvl w:ilvl="8">
      <w:numFmt w:val="bullet"/>
      <w:lvlText w:val="•"/>
      <w:lvlJc w:val="left"/>
      <w:pPr>
        <w:ind w:left="8080" w:hanging="852"/>
      </w:pPr>
      <w:rPr>
        <w:rFonts w:hint="default"/>
        <w:lang w:val="en-US" w:eastAsia="en-US" w:bidi="ar-SA"/>
      </w:rPr>
    </w:lvl>
  </w:abstractNum>
  <w:abstractNum w:abstractNumId="1" w15:restartNumberingAfterBreak="0">
    <w:nsid w:val="07FB59D8"/>
    <w:multiLevelType w:val="multilevel"/>
    <w:tmpl w:val="0809001F"/>
    <w:styleLink w:val="PolicyBullet"/>
    <w:lvl w:ilvl="0">
      <w:start w:val="1"/>
      <w:numFmt w:val="decimal"/>
      <w:lvlText w:val="%1."/>
      <w:lvlJc w:val="left"/>
      <w:pPr>
        <w:ind w:left="567" w:hanging="360"/>
      </w:pPr>
      <w:rPr>
        <w:rFonts w:ascii="Arial" w:hAnsi="Arial" w:hint="default"/>
        <w:b w:val="0"/>
        <w:sz w:val="22"/>
      </w:rPr>
    </w:lvl>
    <w:lvl w:ilvl="1">
      <w:start w:val="1"/>
      <w:numFmt w:val="decimal"/>
      <w:lvlText w:val="%1.%2."/>
      <w:lvlJc w:val="left"/>
      <w:pPr>
        <w:ind w:left="639" w:hanging="432"/>
      </w:pPr>
      <w:rPr>
        <w:rFonts w:ascii="Arial" w:hAnsi="Arial"/>
        <w:b w:val="0"/>
        <w:bCs/>
        <w:sz w:val="22"/>
      </w:rPr>
    </w:lvl>
    <w:lvl w:ilvl="2">
      <w:start w:val="1"/>
      <w:numFmt w:val="decimal"/>
      <w:lvlText w:val="%1.%2.%3."/>
      <w:lvlJc w:val="left"/>
      <w:pPr>
        <w:ind w:left="711" w:hanging="504"/>
      </w:pPr>
    </w:lvl>
    <w:lvl w:ilvl="3">
      <w:start w:val="1"/>
      <w:numFmt w:val="decimal"/>
      <w:lvlText w:val="%1.%2.%3.%4."/>
      <w:lvlJc w:val="left"/>
      <w:pPr>
        <w:ind w:left="855" w:hanging="648"/>
      </w:pPr>
      <w:rPr>
        <w:b w:val="0"/>
      </w:r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2"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554E1F"/>
    <w:multiLevelType w:val="multilevel"/>
    <w:tmpl w:val="71D20BE8"/>
    <w:lvl w:ilvl="0">
      <w:start w:val="3"/>
      <w:numFmt w:val="decimal"/>
      <w:lvlText w:val="%1"/>
      <w:lvlJc w:val="left"/>
      <w:pPr>
        <w:ind w:left="660" w:hanging="660"/>
      </w:pPr>
      <w:rPr>
        <w:rFonts w:hint="default"/>
        <w:b w:val="0"/>
        <w:sz w:val="24"/>
      </w:rPr>
    </w:lvl>
    <w:lvl w:ilvl="1">
      <w:start w:val="10"/>
      <w:numFmt w:val="decimal"/>
      <w:lvlText w:val="%1.%2"/>
      <w:lvlJc w:val="left"/>
      <w:pPr>
        <w:ind w:left="1145" w:hanging="720"/>
      </w:pPr>
      <w:rPr>
        <w:rFonts w:hint="default"/>
        <w:b w:val="0"/>
        <w:sz w:val="24"/>
      </w:rPr>
    </w:lvl>
    <w:lvl w:ilvl="2">
      <w:start w:val="3"/>
      <w:numFmt w:val="decimal"/>
      <w:lvlText w:val="%1.%2.%3"/>
      <w:lvlJc w:val="left"/>
      <w:pPr>
        <w:ind w:left="1570" w:hanging="720"/>
      </w:pPr>
      <w:rPr>
        <w:rFonts w:hint="default"/>
        <w:b w:val="0"/>
        <w:sz w:val="24"/>
      </w:rPr>
    </w:lvl>
    <w:lvl w:ilvl="3">
      <w:start w:val="1"/>
      <w:numFmt w:val="decimal"/>
      <w:lvlText w:val="%1.%2.%3.%4"/>
      <w:lvlJc w:val="left"/>
      <w:pPr>
        <w:ind w:left="2355" w:hanging="1080"/>
      </w:pPr>
      <w:rPr>
        <w:rFonts w:hint="default"/>
        <w:b w:val="0"/>
        <w:sz w:val="24"/>
      </w:rPr>
    </w:lvl>
    <w:lvl w:ilvl="4">
      <w:start w:val="1"/>
      <w:numFmt w:val="decimal"/>
      <w:lvlText w:val="%1.%2.%3.%4.%5"/>
      <w:lvlJc w:val="left"/>
      <w:pPr>
        <w:ind w:left="3140" w:hanging="1440"/>
      </w:pPr>
      <w:rPr>
        <w:rFonts w:hint="default"/>
        <w:b w:val="0"/>
        <w:sz w:val="24"/>
      </w:rPr>
    </w:lvl>
    <w:lvl w:ilvl="5">
      <w:start w:val="1"/>
      <w:numFmt w:val="decimal"/>
      <w:lvlText w:val="%1.%2.%3.%4.%5.%6"/>
      <w:lvlJc w:val="left"/>
      <w:pPr>
        <w:ind w:left="3565" w:hanging="1440"/>
      </w:pPr>
      <w:rPr>
        <w:rFonts w:hint="default"/>
        <w:b w:val="0"/>
        <w:sz w:val="24"/>
      </w:rPr>
    </w:lvl>
    <w:lvl w:ilvl="6">
      <w:start w:val="1"/>
      <w:numFmt w:val="decimal"/>
      <w:lvlText w:val="%1.%2.%3.%4.%5.%6.%7"/>
      <w:lvlJc w:val="left"/>
      <w:pPr>
        <w:ind w:left="4350" w:hanging="1800"/>
      </w:pPr>
      <w:rPr>
        <w:rFonts w:hint="default"/>
        <w:b w:val="0"/>
        <w:sz w:val="24"/>
      </w:rPr>
    </w:lvl>
    <w:lvl w:ilvl="7">
      <w:start w:val="1"/>
      <w:numFmt w:val="decimal"/>
      <w:lvlText w:val="%1.%2.%3.%4.%5.%6.%7.%8"/>
      <w:lvlJc w:val="left"/>
      <w:pPr>
        <w:ind w:left="4775" w:hanging="1800"/>
      </w:pPr>
      <w:rPr>
        <w:rFonts w:hint="default"/>
        <w:b w:val="0"/>
        <w:sz w:val="24"/>
      </w:rPr>
    </w:lvl>
    <w:lvl w:ilvl="8">
      <w:start w:val="1"/>
      <w:numFmt w:val="decimal"/>
      <w:lvlText w:val="%1.%2.%3.%4.%5.%6.%7.%8.%9"/>
      <w:lvlJc w:val="left"/>
      <w:pPr>
        <w:ind w:left="5560" w:hanging="2160"/>
      </w:pPr>
      <w:rPr>
        <w:rFonts w:hint="default"/>
        <w:b w:val="0"/>
        <w:sz w:val="24"/>
      </w:rPr>
    </w:lvl>
  </w:abstractNum>
  <w:abstractNum w:abstractNumId="8"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7B72AF"/>
    <w:multiLevelType w:val="multilevel"/>
    <w:tmpl w:val="28FEE242"/>
    <w:lvl w:ilvl="0">
      <w:start w:val="1"/>
      <w:numFmt w:val="decimal"/>
      <w:pStyle w:val="Policyheader"/>
      <w:lvlText w:val="%1."/>
      <w:lvlJc w:val="left"/>
      <w:pPr>
        <w:ind w:left="360" w:hanging="360"/>
      </w:pPr>
      <w:rPr>
        <w:sz w:val="28"/>
        <w:szCs w:val="28"/>
      </w:rPr>
    </w:lvl>
    <w:lvl w:ilvl="1">
      <w:start w:val="1"/>
      <w:numFmt w:val="decimal"/>
      <w:pStyle w:val="Policybulletlevel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781" w:hanging="504"/>
      </w:pPr>
      <w:rPr>
        <w:rFonts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3"/>
  </w:num>
  <w:num w:numId="4">
    <w:abstractNumId w:val="5"/>
  </w:num>
  <w:num w:numId="5">
    <w:abstractNumId w:val="4"/>
  </w:num>
  <w:num w:numId="6">
    <w:abstractNumId w:val="2"/>
  </w:num>
  <w:num w:numId="7">
    <w:abstractNumId w:val="8"/>
  </w:num>
  <w:num w:numId="8">
    <w:abstractNumId w:val="6"/>
  </w:num>
  <w:num w:numId="9">
    <w:abstractNumId w:val="9"/>
  </w:num>
  <w:num w:numId="10">
    <w:abstractNumId w:val="9"/>
  </w:num>
  <w:num w:numId="11">
    <w:abstractNumId w:val="9"/>
  </w:num>
  <w:num w:numId="12">
    <w:abstractNumId w:val="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EZg71IpvnldNQwJePFMFJQYpjvNwiEyr73bjIEDyh4spER2q9/9RqGU19qDkboPzTBngLbAJ2U0s0Fw2vBv6Q==" w:salt="wdrUyGt3sA7+e/GO5ayNrw=="/>
  <w:defaultTabStop w:val="851"/>
  <w:characterSpacingControl w:val="doNotCompress"/>
  <w:hdrShapeDefaults>
    <o:shapedefaults v:ext="edit" spidmax="2049" fill="f" fillcolor="white">
      <v:fill color="white" on="f"/>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E5"/>
    <w:rsid w:val="000014D6"/>
    <w:rsid w:val="00007983"/>
    <w:rsid w:val="000110B3"/>
    <w:rsid w:val="000114AB"/>
    <w:rsid w:val="00013CC4"/>
    <w:rsid w:val="00014BF2"/>
    <w:rsid w:val="000160C9"/>
    <w:rsid w:val="000176F0"/>
    <w:rsid w:val="0002072E"/>
    <w:rsid w:val="0002113C"/>
    <w:rsid w:val="000214AC"/>
    <w:rsid w:val="00021B57"/>
    <w:rsid w:val="00022AD0"/>
    <w:rsid w:val="000230A0"/>
    <w:rsid w:val="000235C7"/>
    <w:rsid w:val="000235FC"/>
    <w:rsid w:val="00025230"/>
    <w:rsid w:val="00027992"/>
    <w:rsid w:val="000319B8"/>
    <w:rsid w:val="00031F48"/>
    <w:rsid w:val="000324DE"/>
    <w:rsid w:val="000326E2"/>
    <w:rsid w:val="00033511"/>
    <w:rsid w:val="000343DE"/>
    <w:rsid w:val="00035A7E"/>
    <w:rsid w:val="00036C6C"/>
    <w:rsid w:val="000405F7"/>
    <w:rsid w:val="00041529"/>
    <w:rsid w:val="00041855"/>
    <w:rsid w:val="00042C20"/>
    <w:rsid w:val="000455C0"/>
    <w:rsid w:val="00047B73"/>
    <w:rsid w:val="00047FBA"/>
    <w:rsid w:val="000502C9"/>
    <w:rsid w:val="000515EF"/>
    <w:rsid w:val="00051810"/>
    <w:rsid w:val="0005240A"/>
    <w:rsid w:val="00053587"/>
    <w:rsid w:val="00054477"/>
    <w:rsid w:val="00057F72"/>
    <w:rsid w:val="00060E68"/>
    <w:rsid w:val="00061F2E"/>
    <w:rsid w:val="000634AD"/>
    <w:rsid w:val="000634C9"/>
    <w:rsid w:val="00063D70"/>
    <w:rsid w:val="00064C60"/>
    <w:rsid w:val="00064E42"/>
    <w:rsid w:val="00066B57"/>
    <w:rsid w:val="00066DDA"/>
    <w:rsid w:val="00070B42"/>
    <w:rsid w:val="000710AE"/>
    <w:rsid w:val="00072F30"/>
    <w:rsid w:val="00073398"/>
    <w:rsid w:val="000741BC"/>
    <w:rsid w:val="00074BA0"/>
    <w:rsid w:val="000773F2"/>
    <w:rsid w:val="00077752"/>
    <w:rsid w:val="00077822"/>
    <w:rsid w:val="00077D24"/>
    <w:rsid w:val="00081E50"/>
    <w:rsid w:val="0008312D"/>
    <w:rsid w:val="00083194"/>
    <w:rsid w:val="0008484F"/>
    <w:rsid w:val="00084FF1"/>
    <w:rsid w:val="00085489"/>
    <w:rsid w:val="000868BF"/>
    <w:rsid w:val="000873C7"/>
    <w:rsid w:val="000903C7"/>
    <w:rsid w:val="00091A3C"/>
    <w:rsid w:val="00092115"/>
    <w:rsid w:val="0009245A"/>
    <w:rsid w:val="00095BB3"/>
    <w:rsid w:val="00095C83"/>
    <w:rsid w:val="00097021"/>
    <w:rsid w:val="0009740F"/>
    <w:rsid w:val="00097484"/>
    <w:rsid w:val="0009771E"/>
    <w:rsid w:val="000A0E25"/>
    <w:rsid w:val="000A1DF1"/>
    <w:rsid w:val="000A1E88"/>
    <w:rsid w:val="000A20EB"/>
    <w:rsid w:val="000A2D44"/>
    <w:rsid w:val="000A38F1"/>
    <w:rsid w:val="000A55DA"/>
    <w:rsid w:val="000A5FF2"/>
    <w:rsid w:val="000B074E"/>
    <w:rsid w:val="000B29D9"/>
    <w:rsid w:val="000B4836"/>
    <w:rsid w:val="000B5AEA"/>
    <w:rsid w:val="000B5E5A"/>
    <w:rsid w:val="000B62FF"/>
    <w:rsid w:val="000C1626"/>
    <w:rsid w:val="000C1958"/>
    <w:rsid w:val="000C3CCF"/>
    <w:rsid w:val="000C471D"/>
    <w:rsid w:val="000C58EA"/>
    <w:rsid w:val="000C6DEE"/>
    <w:rsid w:val="000C7427"/>
    <w:rsid w:val="000C75BB"/>
    <w:rsid w:val="000D084E"/>
    <w:rsid w:val="000D0D5C"/>
    <w:rsid w:val="000D4CE4"/>
    <w:rsid w:val="000D5163"/>
    <w:rsid w:val="000D6F0C"/>
    <w:rsid w:val="000E020D"/>
    <w:rsid w:val="000E2226"/>
    <w:rsid w:val="000E249C"/>
    <w:rsid w:val="000E42BC"/>
    <w:rsid w:val="000E4679"/>
    <w:rsid w:val="000E6977"/>
    <w:rsid w:val="000E70C5"/>
    <w:rsid w:val="000F1F63"/>
    <w:rsid w:val="000F23A7"/>
    <w:rsid w:val="000F2C31"/>
    <w:rsid w:val="000F3398"/>
    <w:rsid w:val="000F52FD"/>
    <w:rsid w:val="000F58E7"/>
    <w:rsid w:val="000F5D69"/>
    <w:rsid w:val="000F635E"/>
    <w:rsid w:val="000F67A1"/>
    <w:rsid w:val="000F7C27"/>
    <w:rsid w:val="00101CC3"/>
    <w:rsid w:val="00102254"/>
    <w:rsid w:val="001023A6"/>
    <w:rsid w:val="00103644"/>
    <w:rsid w:val="00103F74"/>
    <w:rsid w:val="00103F85"/>
    <w:rsid w:val="001056AB"/>
    <w:rsid w:val="001056C5"/>
    <w:rsid w:val="00106144"/>
    <w:rsid w:val="00107A5F"/>
    <w:rsid w:val="00107AA5"/>
    <w:rsid w:val="001102E5"/>
    <w:rsid w:val="00110505"/>
    <w:rsid w:val="00110BC3"/>
    <w:rsid w:val="0011183D"/>
    <w:rsid w:val="001121D7"/>
    <w:rsid w:val="00114494"/>
    <w:rsid w:val="001154D8"/>
    <w:rsid w:val="00115892"/>
    <w:rsid w:val="00120F21"/>
    <w:rsid w:val="00122293"/>
    <w:rsid w:val="00122902"/>
    <w:rsid w:val="00122B0F"/>
    <w:rsid w:val="00122D17"/>
    <w:rsid w:val="001234F9"/>
    <w:rsid w:val="0012411D"/>
    <w:rsid w:val="001243B4"/>
    <w:rsid w:val="00124C28"/>
    <w:rsid w:val="00126043"/>
    <w:rsid w:val="00126D25"/>
    <w:rsid w:val="001272A9"/>
    <w:rsid w:val="00130FE0"/>
    <w:rsid w:val="0013144C"/>
    <w:rsid w:val="001321EA"/>
    <w:rsid w:val="00133850"/>
    <w:rsid w:val="001344D5"/>
    <w:rsid w:val="00135A78"/>
    <w:rsid w:val="00136107"/>
    <w:rsid w:val="001378A1"/>
    <w:rsid w:val="00141501"/>
    <w:rsid w:val="00141BE2"/>
    <w:rsid w:val="00142C77"/>
    <w:rsid w:val="00145B6C"/>
    <w:rsid w:val="00146778"/>
    <w:rsid w:val="00146B09"/>
    <w:rsid w:val="0015129C"/>
    <w:rsid w:val="00152650"/>
    <w:rsid w:val="001535D5"/>
    <w:rsid w:val="00153A33"/>
    <w:rsid w:val="001548E5"/>
    <w:rsid w:val="00155F1F"/>
    <w:rsid w:val="00156B36"/>
    <w:rsid w:val="00157151"/>
    <w:rsid w:val="0015790D"/>
    <w:rsid w:val="0016118E"/>
    <w:rsid w:val="0016243C"/>
    <w:rsid w:val="0016273E"/>
    <w:rsid w:val="00162A1B"/>
    <w:rsid w:val="00164514"/>
    <w:rsid w:val="001651AD"/>
    <w:rsid w:val="00165641"/>
    <w:rsid w:val="00166CE0"/>
    <w:rsid w:val="00166DE4"/>
    <w:rsid w:val="001678CE"/>
    <w:rsid w:val="001705B2"/>
    <w:rsid w:val="00170A16"/>
    <w:rsid w:val="00170CC5"/>
    <w:rsid w:val="001720E9"/>
    <w:rsid w:val="001728F1"/>
    <w:rsid w:val="001732B0"/>
    <w:rsid w:val="00173DB7"/>
    <w:rsid w:val="00174248"/>
    <w:rsid w:val="00175BB2"/>
    <w:rsid w:val="001760CE"/>
    <w:rsid w:val="00176B55"/>
    <w:rsid w:val="001779FE"/>
    <w:rsid w:val="00177CC6"/>
    <w:rsid w:val="00180E32"/>
    <w:rsid w:val="00181BFC"/>
    <w:rsid w:val="001834E1"/>
    <w:rsid w:val="00183550"/>
    <w:rsid w:val="0018573B"/>
    <w:rsid w:val="0018652D"/>
    <w:rsid w:val="001868C0"/>
    <w:rsid w:val="00187477"/>
    <w:rsid w:val="00187D64"/>
    <w:rsid w:val="001917E3"/>
    <w:rsid w:val="0019388C"/>
    <w:rsid w:val="0019450E"/>
    <w:rsid w:val="00194AAE"/>
    <w:rsid w:val="00194B7E"/>
    <w:rsid w:val="00195731"/>
    <w:rsid w:val="001964BF"/>
    <w:rsid w:val="00196CDD"/>
    <w:rsid w:val="00197240"/>
    <w:rsid w:val="00197DFA"/>
    <w:rsid w:val="001A1C2C"/>
    <w:rsid w:val="001A39A3"/>
    <w:rsid w:val="001A494D"/>
    <w:rsid w:val="001A5C0F"/>
    <w:rsid w:val="001A5D23"/>
    <w:rsid w:val="001A5E44"/>
    <w:rsid w:val="001A7535"/>
    <w:rsid w:val="001A7548"/>
    <w:rsid w:val="001B000D"/>
    <w:rsid w:val="001B0496"/>
    <w:rsid w:val="001B0966"/>
    <w:rsid w:val="001B2692"/>
    <w:rsid w:val="001B2B76"/>
    <w:rsid w:val="001B4BF3"/>
    <w:rsid w:val="001B6189"/>
    <w:rsid w:val="001B66FB"/>
    <w:rsid w:val="001B67DB"/>
    <w:rsid w:val="001B6B3A"/>
    <w:rsid w:val="001C0766"/>
    <w:rsid w:val="001C4353"/>
    <w:rsid w:val="001C49E5"/>
    <w:rsid w:val="001C60EF"/>
    <w:rsid w:val="001C6632"/>
    <w:rsid w:val="001C71FE"/>
    <w:rsid w:val="001C768E"/>
    <w:rsid w:val="001D3452"/>
    <w:rsid w:val="001D5061"/>
    <w:rsid w:val="001D5949"/>
    <w:rsid w:val="001D751F"/>
    <w:rsid w:val="001D7A27"/>
    <w:rsid w:val="001E0155"/>
    <w:rsid w:val="001E0B6B"/>
    <w:rsid w:val="001E1AF3"/>
    <w:rsid w:val="001E2FBC"/>
    <w:rsid w:val="001E3567"/>
    <w:rsid w:val="001E3D8D"/>
    <w:rsid w:val="001F0E06"/>
    <w:rsid w:val="001F406F"/>
    <w:rsid w:val="001F4A31"/>
    <w:rsid w:val="001F4B3A"/>
    <w:rsid w:val="001F51FC"/>
    <w:rsid w:val="001F72F5"/>
    <w:rsid w:val="001F744F"/>
    <w:rsid w:val="00200300"/>
    <w:rsid w:val="002015C8"/>
    <w:rsid w:val="00201DF3"/>
    <w:rsid w:val="00202CF5"/>
    <w:rsid w:val="00202EF3"/>
    <w:rsid w:val="0020403E"/>
    <w:rsid w:val="00204773"/>
    <w:rsid w:val="00204980"/>
    <w:rsid w:val="002049CB"/>
    <w:rsid w:val="00206389"/>
    <w:rsid w:val="00206A19"/>
    <w:rsid w:val="00211BAB"/>
    <w:rsid w:val="00213070"/>
    <w:rsid w:val="002145A5"/>
    <w:rsid w:val="00216005"/>
    <w:rsid w:val="002166E0"/>
    <w:rsid w:val="002174A3"/>
    <w:rsid w:val="002210DF"/>
    <w:rsid w:val="002224AE"/>
    <w:rsid w:val="00222726"/>
    <w:rsid w:val="0022378C"/>
    <w:rsid w:val="0022393A"/>
    <w:rsid w:val="00223D1C"/>
    <w:rsid w:val="00225077"/>
    <w:rsid w:val="0022569C"/>
    <w:rsid w:val="0022766A"/>
    <w:rsid w:val="00227F68"/>
    <w:rsid w:val="00230917"/>
    <w:rsid w:val="00233162"/>
    <w:rsid w:val="00234F54"/>
    <w:rsid w:val="0023601A"/>
    <w:rsid w:val="002367B7"/>
    <w:rsid w:val="002375B9"/>
    <w:rsid w:val="00241FB8"/>
    <w:rsid w:val="002445BA"/>
    <w:rsid w:val="00244ED7"/>
    <w:rsid w:val="00246DF4"/>
    <w:rsid w:val="00250E78"/>
    <w:rsid w:val="00251D57"/>
    <w:rsid w:val="00251DBC"/>
    <w:rsid w:val="002534CC"/>
    <w:rsid w:val="0025498D"/>
    <w:rsid w:val="00254D50"/>
    <w:rsid w:val="00256C7C"/>
    <w:rsid w:val="00256D21"/>
    <w:rsid w:val="0026279E"/>
    <w:rsid w:val="0026662B"/>
    <w:rsid w:val="00267128"/>
    <w:rsid w:val="002740B5"/>
    <w:rsid w:val="002741E0"/>
    <w:rsid w:val="00274FBD"/>
    <w:rsid w:val="00275539"/>
    <w:rsid w:val="0027630A"/>
    <w:rsid w:val="0028037E"/>
    <w:rsid w:val="00282D70"/>
    <w:rsid w:val="00282D84"/>
    <w:rsid w:val="00283B70"/>
    <w:rsid w:val="00290118"/>
    <w:rsid w:val="00290562"/>
    <w:rsid w:val="00292C34"/>
    <w:rsid w:val="00292C7C"/>
    <w:rsid w:val="00293F49"/>
    <w:rsid w:val="002942AD"/>
    <w:rsid w:val="00294AF0"/>
    <w:rsid w:val="002959F4"/>
    <w:rsid w:val="002962BD"/>
    <w:rsid w:val="002A0C01"/>
    <w:rsid w:val="002A141D"/>
    <w:rsid w:val="002A29D7"/>
    <w:rsid w:val="002A3CB8"/>
    <w:rsid w:val="002A5A89"/>
    <w:rsid w:val="002A5C4E"/>
    <w:rsid w:val="002A6CB3"/>
    <w:rsid w:val="002A7F6C"/>
    <w:rsid w:val="002B0430"/>
    <w:rsid w:val="002B0638"/>
    <w:rsid w:val="002B3ED2"/>
    <w:rsid w:val="002B490A"/>
    <w:rsid w:val="002B5153"/>
    <w:rsid w:val="002B57C1"/>
    <w:rsid w:val="002B6119"/>
    <w:rsid w:val="002B7DCD"/>
    <w:rsid w:val="002C2213"/>
    <w:rsid w:val="002C4CD8"/>
    <w:rsid w:val="002C5771"/>
    <w:rsid w:val="002C6D21"/>
    <w:rsid w:val="002C704B"/>
    <w:rsid w:val="002D115E"/>
    <w:rsid w:val="002D1D3A"/>
    <w:rsid w:val="002D3EA1"/>
    <w:rsid w:val="002D544A"/>
    <w:rsid w:val="002D5A76"/>
    <w:rsid w:val="002D64C1"/>
    <w:rsid w:val="002D69EB"/>
    <w:rsid w:val="002D785C"/>
    <w:rsid w:val="002D7E0E"/>
    <w:rsid w:val="002E042A"/>
    <w:rsid w:val="002E3389"/>
    <w:rsid w:val="002E4234"/>
    <w:rsid w:val="002E46A0"/>
    <w:rsid w:val="002E7EBD"/>
    <w:rsid w:val="002F4173"/>
    <w:rsid w:val="002F43BC"/>
    <w:rsid w:val="002F4CF4"/>
    <w:rsid w:val="002F555A"/>
    <w:rsid w:val="002F5976"/>
    <w:rsid w:val="002F6762"/>
    <w:rsid w:val="002F6889"/>
    <w:rsid w:val="003009BE"/>
    <w:rsid w:val="003009DB"/>
    <w:rsid w:val="00301B05"/>
    <w:rsid w:val="00301B89"/>
    <w:rsid w:val="003056F7"/>
    <w:rsid w:val="0030595F"/>
    <w:rsid w:val="003061D9"/>
    <w:rsid w:val="00307791"/>
    <w:rsid w:val="0031067F"/>
    <w:rsid w:val="00310860"/>
    <w:rsid w:val="00310C5D"/>
    <w:rsid w:val="00312721"/>
    <w:rsid w:val="0031307A"/>
    <w:rsid w:val="00315606"/>
    <w:rsid w:val="0031686B"/>
    <w:rsid w:val="0031729A"/>
    <w:rsid w:val="00317336"/>
    <w:rsid w:val="0032267C"/>
    <w:rsid w:val="003230FB"/>
    <w:rsid w:val="0032468A"/>
    <w:rsid w:val="00324BA4"/>
    <w:rsid w:val="003301EA"/>
    <w:rsid w:val="00330432"/>
    <w:rsid w:val="003308D3"/>
    <w:rsid w:val="00331EEC"/>
    <w:rsid w:val="00332AC8"/>
    <w:rsid w:val="00333718"/>
    <w:rsid w:val="00333747"/>
    <w:rsid w:val="00335E8D"/>
    <w:rsid w:val="003365A2"/>
    <w:rsid w:val="003402E9"/>
    <w:rsid w:val="003407FD"/>
    <w:rsid w:val="00341C18"/>
    <w:rsid w:val="00341E19"/>
    <w:rsid w:val="00342224"/>
    <w:rsid w:val="00342DD1"/>
    <w:rsid w:val="00344D7A"/>
    <w:rsid w:val="003470C3"/>
    <w:rsid w:val="00347A49"/>
    <w:rsid w:val="003509EB"/>
    <w:rsid w:val="00350BCF"/>
    <w:rsid w:val="00351290"/>
    <w:rsid w:val="00351ADF"/>
    <w:rsid w:val="00351C51"/>
    <w:rsid w:val="00351D0F"/>
    <w:rsid w:val="003530B2"/>
    <w:rsid w:val="00353B4B"/>
    <w:rsid w:val="00354B5A"/>
    <w:rsid w:val="0036038A"/>
    <w:rsid w:val="003603B0"/>
    <w:rsid w:val="00364949"/>
    <w:rsid w:val="003660CA"/>
    <w:rsid w:val="0036618D"/>
    <w:rsid w:val="00366D3B"/>
    <w:rsid w:val="0037021D"/>
    <w:rsid w:val="00374150"/>
    <w:rsid w:val="0037458D"/>
    <w:rsid w:val="003745E0"/>
    <w:rsid w:val="003805CE"/>
    <w:rsid w:val="003827A2"/>
    <w:rsid w:val="00382DE1"/>
    <w:rsid w:val="00383498"/>
    <w:rsid w:val="0038603E"/>
    <w:rsid w:val="003870B4"/>
    <w:rsid w:val="00387751"/>
    <w:rsid w:val="00390057"/>
    <w:rsid w:val="003903B4"/>
    <w:rsid w:val="00390CA8"/>
    <w:rsid w:val="0039158E"/>
    <w:rsid w:val="00392D52"/>
    <w:rsid w:val="00394867"/>
    <w:rsid w:val="00394E70"/>
    <w:rsid w:val="00396CA6"/>
    <w:rsid w:val="003A16AB"/>
    <w:rsid w:val="003A26FA"/>
    <w:rsid w:val="003A277C"/>
    <w:rsid w:val="003A2A62"/>
    <w:rsid w:val="003A2B9D"/>
    <w:rsid w:val="003A374F"/>
    <w:rsid w:val="003A4D82"/>
    <w:rsid w:val="003A5E2E"/>
    <w:rsid w:val="003A64E2"/>
    <w:rsid w:val="003A7449"/>
    <w:rsid w:val="003B1441"/>
    <w:rsid w:val="003B2DDB"/>
    <w:rsid w:val="003B3DFD"/>
    <w:rsid w:val="003B486C"/>
    <w:rsid w:val="003B4F94"/>
    <w:rsid w:val="003B54B5"/>
    <w:rsid w:val="003C123A"/>
    <w:rsid w:val="003C373C"/>
    <w:rsid w:val="003C38D4"/>
    <w:rsid w:val="003C707A"/>
    <w:rsid w:val="003D1F7F"/>
    <w:rsid w:val="003D2472"/>
    <w:rsid w:val="003D28DF"/>
    <w:rsid w:val="003D3A8D"/>
    <w:rsid w:val="003D6A46"/>
    <w:rsid w:val="003E0A7A"/>
    <w:rsid w:val="003E0E90"/>
    <w:rsid w:val="003E104A"/>
    <w:rsid w:val="003E2AB7"/>
    <w:rsid w:val="003E5848"/>
    <w:rsid w:val="003E5921"/>
    <w:rsid w:val="003E7836"/>
    <w:rsid w:val="003E78C9"/>
    <w:rsid w:val="003E79E4"/>
    <w:rsid w:val="003F0EB9"/>
    <w:rsid w:val="003F1DE1"/>
    <w:rsid w:val="003F3CB0"/>
    <w:rsid w:val="003F3E70"/>
    <w:rsid w:val="003F4305"/>
    <w:rsid w:val="003F4A23"/>
    <w:rsid w:val="003F511C"/>
    <w:rsid w:val="003F54F8"/>
    <w:rsid w:val="00400FFE"/>
    <w:rsid w:val="004025A8"/>
    <w:rsid w:val="004036C4"/>
    <w:rsid w:val="00403E37"/>
    <w:rsid w:val="004040DD"/>
    <w:rsid w:val="00405861"/>
    <w:rsid w:val="0040587C"/>
    <w:rsid w:val="004060FD"/>
    <w:rsid w:val="0040653B"/>
    <w:rsid w:val="00406C82"/>
    <w:rsid w:val="004077C9"/>
    <w:rsid w:val="00410C40"/>
    <w:rsid w:val="00411E81"/>
    <w:rsid w:val="004124B1"/>
    <w:rsid w:val="00412F7A"/>
    <w:rsid w:val="004149CA"/>
    <w:rsid w:val="004175B1"/>
    <w:rsid w:val="00421FAD"/>
    <w:rsid w:val="004240AD"/>
    <w:rsid w:val="00424249"/>
    <w:rsid w:val="00424711"/>
    <w:rsid w:val="00425A00"/>
    <w:rsid w:val="00425EE8"/>
    <w:rsid w:val="00426C24"/>
    <w:rsid w:val="00427E1A"/>
    <w:rsid w:val="00431459"/>
    <w:rsid w:val="004322EB"/>
    <w:rsid w:val="00432543"/>
    <w:rsid w:val="00432CCD"/>
    <w:rsid w:val="00433014"/>
    <w:rsid w:val="004335AB"/>
    <w:rsid w:val="00434468"/>
    <w:rsid w:val="00434F90"/>
    <w:rsid w:val="00437707"/>
    <w:rsid w:val="00437798"/>
    <w:rsid w:val="00440A29"/>
    <w:rsid w:val="00440C5E"/>
    <w:rsid w:val="004410C2"/>
    <w:rsid w:val="00441112"/>
    <w:rsid w:val="00441ACA"/>
    <w:rsid w:val="00442B7F"/>
    <w:rsid w:val="00442EA9"/>
    <w:rsid w:val="004439D7"/>
    <w:rsid w:val="00446F00"/>
    <w:rsid w:val="00447B27"/>
    <w:rsid w:val="00450398"/>
    <w:rsid w:val="004503AB"/>
    <w:rsid w:val="004507F9"/>
    <w:rsid w:val="0045116F"/>
    <w:rsid w:val="004514CF"/>
    <w:rsid w:val="00451716"/>
    <w:rsid w:val="00451DE9"/>
    <w:rsid w:val="00451FDF"/>
    <w:rsid w:val="0045239B"/>
    <w:rsid w:val="00452CA3"/>
    <w:rsid w:val="0045751D"/>
    <w:rsid w:val="00457AB8"/>
    <w:rsid w:val="004606E2"/>
    <w:rsid w:val="00460A7A"/>
    <w:rsid w:val="00460AFD"/>
    <w:rsid w:val="00461556"/>
    <w:rsid w:val="00461D9A"/>
    <w:rsid w:val="0046494C"/>
    <w:rsid w:val="00465454"/>
    <w:rsid w:val="00465EC2"/>
    <w:rsid w:val="00466978"/>
    <w:rsid w:val="00467DFF"/>
    <w:rsid w:val="00470009"/>
    <w:rsid w:val="0047188E"/>
    <w:rsid w:val="00471C44"/>
    <w:rsid w:val="00471C96"/>
    <w:rsid w:val="00472F19"/>
    <w:rsid w:val="0047351C"/>
    <w:rsid w:val="0047378A"/>
    <w:rsid w:val="00476110"/>
    <w:rsid w:val="00476375"/>
    <w:rsid w:val="004805F3"/>
    <w:rsid w:val="00480621"/>
    <w:rsid w:val="00480ADD"/>
    <w:rsid w:val="00483D40"/>
    <w:rsid w:val="0048421C"/>
    <w:rsid w:val="00486418"/>
    <w:rsid w:val="00486420"/>
    <w:rsid w:val="00487B97"/>
    <w:rsid w:val="00491FAA"/>
    <w:rsid w:val="00492298"/>
    <w:rsid w:val="00492565"/>
    <w:rsid w:val="0049411C"/>
    <w:rsid w:val="00494E43"/>
    <w:rsid w:val="00494F8B"/>
    <w:rsid w:val="004951C0"/>
    <w:rsid w:val="004968C4"/>
    <w:rsid w:val="004970F5"/>
    <w:rsid w:val="004A0222"/>
    <w:rsid w:val="004A168C"/>
    <w:rsid w:val="004A1811"/>
    <w:rsid w:val="004A1C0D"/>
    <w:rsid w:val="004A26FA"/>
    <w:rsid w:val="004A4396"/>
    <w:rsid w:val="004A5DAA"/>
    <w:rsid w:val="004A6106"/>
    <w:rsid w:val="004A63BA"/>
    <w:rsid w:val="004B00FE"/>
    <w:rsid w:val="004B03F1"/>
    <w:rsid w:val="004B0A70"/>
    <w:rsid w:val="004B0E94"/>
    <w:rsid w:val="004B3991"/>
    <w:rsid w:val="004B6A75"/>
    <w:rsid w:val="004C323A"/>
    <w:rsid w:val="004C4E66"/>
    <w:rsid w:val="004C5269"/>
    <w:rsid w:val="004C56E9"/>
    <w:rsid w:val="004C5F83"/>
    <w:rsid w:val="004C6D5C"/>
    <w:rsid w:val="004D06C0"/>
    <w:rsid w:val="004D0EE8"/>
    <w:rsid w:val="004D5795"/>
    <w:rsid w:val="004E0919"/>
    <w:rsid w:val="004E2A76"/>
    <w:rsid w:val="004E511A"/>
    <w:rsid w:val="004E5DA3"/>
    <w:rsid w:val="004E6429"/>
    <w:rsid w:val="004E6509"/>
    <w:rsid w:val="004E6587"/>
    <w:rsid w:val="004E6606"/>
    <w:rsid w:val="004E66F1"/>
    <w:rsid w:val="004E6D98"/>
    <w:rsid w:val="004E7779"/>
    <w:rsid w:val="004F12F3"/>
    <w:rsid w:val="004F139F"/>
    <w:rsid w:val="004F19B6"/>
    <w:rsid w:val="004F22AE"/>
    <w:rsid w:val="004F4F33"/>
    <w:rsid w:val="004F5DA4"/>
    <w:rsid w:val="00500CB3"/>
    <w:rsid w:val="005015B5"/>
    <w:rsid w:val="00503FDB"/>
    <w:rsid w:val="00505F35"/>
    <w:rsid w:val="00506CB9"/>
    <w:rsid w:val="00510B16"/>
    <w:rsid w:val="00511FD9"/>
    <w:rsid w:val="00512120"/>
    <w:rsid w:val="0051362A"/>
    <w:rsid w:val="005137EB"/>
    <w:rsid w:val="00513920"/>
    <w:rsid w:val="00513D35"/>
    <w:rsid w:val="00517555"/>
    <w:rsid w:val="005177A6"/>
    <w:rsid w:val="005212F7"/>
    <w:rsid w:val="00521F00"/>
    <w:rsid w:val="00523697"/>
    <w:rsid w:val="00523787"/>
    <w:rsid w:val="00524091"/>
    <w:rsid w:val="00526117"/>
    <w:rsid w:val="00527AF0"/>
    <w:rsid w:val="00531EB6"/>
    <w:rsid w:val="005346E8"/>
    <w:rsid w:val="00534A78"/>
    <w:rsid w:val="00534B59"/>
    <w:rsid w:val="00542296"/>
    <w:rsid w:val="005434C4"/>
    <w:rsid w:val="0054627D"/>
    <w:rsid w:val="00546985"/>
    <w:rsid w:val="00550172"/>
    <w:rsid w:val="00550829"/>
    <w:rsid w:val="00552062"/>
    <w:rsid w:val="00554F94"/>
    <w:rsid w:val="0055530D"/>
    <w:rsid w:val="005554DB"/>
    <w:rsid w:val="0055565C"/>
    <w:rsid w:val="00555D9F"/>
    <w:rsid w:val="00556E5B"/>
    <w:rsid w:val="0056284E"/>
    <w:rsid w:val="00563CB1"/>
    <w:rsid w:val="00564B44"/>
    <w:rsid w:val="00564E17"/>
    <w:rsid w:val="00565BAF"/>
    <w:rsid w:val="00566526"/>
    <w:rsid w:val="00566CDE"/>
    <w:rsid w:val="00566E6C"/>
    <w:rsid w:val="00567288"/>
    <w:rsid w:val="005704EE"/>
    <w:rsid w:val="00572FE7"/>
    <w:rsid w:val="00573A3B"/>
    <w:rsid w:val="0057525C"/>
    <w:rsid w:val="00575BD3"/>
    <w:rsid w:val="00576643"/>
    <w:rsid w:val="005773C0"/>
    <w:rsid w:val="0057798E"/>
    <w:rsid w:val="00577EC5"/>
    <w:rsid w:val="00580169"/>
    <w:rsid w:val="005801A3"/>
    <w:rsid w:val="00581333"/>
    <w:rsid w:val="00582597"/>
    <w:rsid w:val="00582871"/>
    <w:rsid w:val="00585EAF"/>
    <w:rsid w:val="00586A70"/>
    <w:rsid w:val="00587617"/>
    <w:rsid w:val="00591851"/>
    <w:rsid w:val="00591DBB"/>
    <w:rsid w:val="005927D2"/>
    <w:rsid w:val="005927F7"/>
    <w:rsid w:val="00593348"/>
    <w:rsid w:val="005940C8"/>
    <w:rsid w:val="005954C2"/>
    <w:rsid w:val="00595E77"/>
    <w:rsid w:val="00596AA4"/>
    <w:rsid w:val="00597FDB"/>
    <w:rsid w:val="005A09E3"/>
    <w:rsid w:val="005A2B56"/>
    <w:rsid w:val="005A34E9"/>
    <w:rsid w:val="005A3582"/>
    <w:rsid w:val="005A4FA1"/>
    <w:rsid w:val="005A52C2"/>
    <w:rsid w:val="005A61A4"/>
    <w:rsid w:val="005A7AF0"/>
    <w:rsid w:val="005B083A"/>
    <w:rsid w:val="005B0966"/>
    <w:rsid w:val="005B0B29"/>
    <w:rsid w:val="005B1290"/>
    <w:rsid w:val="005B39AA"/>
    <w:rsid w:val="005B3FE3"/>
    <w:rsid w:val="005B4902"/>
    <w:rsid w:val="005B4E4C"/>
    <w:rsid w:val="005B4F2C"/>
    <w:rsid w:val="005B7B28"/>
    <w:rsid w:val="005C1111"/>
    <w:rsid w:val="005C1D08"/>
    <w:rsid w:val="005C37B8"/>
    <w:rsid w:val="005C4C2A"/>
    <w:rsid w:val="005C6AF8"/>
    <w:rsid w:val="005D13D9"/>
    <w:rsid w:val="005D1924"/>
    <w:rsid w:val="005D2FA4"/>
    <w:rsid w:val="005D4DFD"/>
    <w:rsid w:val="005E0CA9"/>
    <w:rsid w:val="005E3923"/>
    <w:rsid w:val="005E394F"/>
    <w:rsid w:val="005E39A6"/>
    <w:rsid w:val="005E4E51"/>
    <w:rsid w:val="005E7298"/>
    <w:rsid w:val="005E7312"/>
    <w:rsid w:val="005F02DB"/>
    <w:rsid w:val="005F08FC"/>
    <w:rsid w:val="005F3EC3"/>
    <w:rsid w:val="005F5073"/>
    <w:rsid w:val="0060382F"/>
    <w:rsid w:val="00603C22"/>
    <w:rsid w:val="00604CF5"/>
    <w:rsid w:val="00604D56"/>
    <w:rsid w:val="00605D0D"/>
    <w:rsid w:val="0060612C"/>
    <w:rsid w:val="00610B2B"/>
    <w:rsid w:val="006119B4"/>
    <w:rsid w:val="00614838"/>
    <w:rsid w:val="00616B7C"/>
    <w:rsid w:val="00617BDE"/>
    <w:rsid w:val="00621213"/>
    <w:rsid w:val="00621342"/>
    <w:rsid w:val="0062227E"/>
    <w:rsid w:val="00622C99"/>
    <w:rsid w:val="006235E5"/>
    <w:rsid w:val="00624036"/>
    <w:rsid w:val="006245E8"/>
    <w:rsid w:val="00624D29"/>
    <w:rsid w:val="0062546F"/>
    <w:rsid w:val="00625523"/>
    <w:rsid w:val="0063017A"/>
    <w:rsid w:val="00631909"/>
    <w:rsid w:val="006329FC"/>
    <w:rsid w:val="00632E6D"/>
    <w:rsid w:val="006337C4"/>
    <w:rsid w:val="00634FF6"/>
    <w:rsid w:val="0063518C"/>
    <w:rsid w:val="00635904"/>
    <w:rsid w:val="00635DB5"/>
    <w:rsid w:val="00637A94"/>
    <w:rsid w:val="006421BB"/>
    <w:rsid w:val="00646772"/>
    <w:rsid w:val="006478D2"/>
    <w:rsid w:val="00650D84"/>
    <w:rsid w:val="00651213"/>
    <w:rsid w:val="006518CE"/>
    <w:rsid w:val="00651C02"/>
    <w:rsid w:val="00654474"/>
    <w:rsid w:val="00654EBE"/>
    <w:rsid w:val="00655DCC"/>
    <w:rsid w:val="00656B4A"/>
    <w:rsid w:val="0065710D"/>
    <w:rsid w:val="0065798C"/>
    <w:rsid w:val="00660278"/>
    <w:rsid w:val="0066071B"/>
    <w:rsid w:val="00660AC6"/>
    <w:rsid w:val="00661923"/>
    <w:rsid w:val="00661AF3"/>
    <w:rsid w:val="006636BF"/>
    <w:rsid w:val="00664BE7"/>
    <w:rsid w:val="00665EA4"/>
    <w:rsid w:val="006665A5"/>
    <w:rsid w:val="006672E4"/>
    <w:rsid w:val="00667470"/>
    <w:rsid w:val="006731A5"/>
    <w:rsid w:val="00673766"/>
    <w:rsid w:val="00676109"/>
    <w:rsid w:val="00681C0F"/>
    <w:rsid w:val="0068216A"/>
    <w:rsid w:val="00683884"/>
    <w:rsid w:val="00686C5B"/>
    <w:rsid w:val="00690C2C"/>
    <w:rsid w:val="00690EC6"/>
    <w:rsid w:val="00691393"/>
    <w:rsid w:val="0069163F"/>
    <w:rsid w:val="006925C6"/>
    <w:rsid w:val="00694B9B"/>
    <w:rsid w:val="00696035"/>
    <w:rsid w:val="00697D44"/>
    <w:rsid w:val="006A0317"/>
    <w:rsid w:val="006A0B9D"/>
    <w:rsid w:val="006A0D7E"/>
    <w:rsid w:val="006A1E48"/>
    <w:rsid w:val="006A2802"/>
    <w:rsid w:val="006A3EDC"/>
    <w:rsid w:val="006A5802"/>
    <w:rsid w:val="006A6FD0"/>
    <w:rsid w:val="006A73E4"/>
    <w:rsid w:val="006A7426"/>
    <w:rsid w:val="006A756C"/>
    <w:rsid w:val="006A78FE"/>
    <w:rsid w:val="006A7995"/>
    <w:rsid w:val="006B3614"/>
    <w:rsid w:val="006B5A8C"/>
    <w:rsid w:val="006B689E"/>
    <w:rsid w:val="006B71A8"/>
    <w:rsid w:val="006C08D7"/>
    <w:rsid w:val="006C0F9C"/>
    <w:rsid w:val="006C1171"/>
    <w:rsid w:val="006C2058"/>
    <w:rsid w:val="006C30CF"/>
    <w:rsid w:val="006C37F2"/>
    <w:rsid w:val="006C3DF4"/>
    <w:rsid w:val="006C4CFB"/>
    <w:rsid w:val="006C5BCD"/>
    <w:rsid w:val="006C66BF"/>
    <w:rsid w:val="006D2659"/>
    <w:rsid w:val="006D3255"/>
    <w:rsid w:val="006D39A5"/>
    <w:rsid w:val="006D3A2A"/>
    <w:rsid w:val="006D6213"/>
    <w:rsid w:val="006D655C"/>
    <w:rsid w:val="006D6D48"/>
    <w:rsid w:val="006D726B"/>
    <w:rsid w:val="006E0341"/>
    <w:rsid w:val="006E1C45"/>
    <w:rsid w:val="006E52E9"/>
    <w:rsid w:val="006E58D5"/>
    <w:rsid w:val="006E6194"/>
    <w:rsid w:val="006E7FD4"/>
    <w:rsid w:val="006F3C27"/>
    <w:rsid w:val="006F4C60"/>
    <w:rsid w:val="006F50C8"/>
    <w:rsid w:val="0070078D"/>
    <w:rsid w:val="00701574"/>
    <w:rsid w:val="00702056"/>
    <w:rsid w:val="00704726"/>
    <w:rsid w:val="0070530E"/>
    <w:rsid w:val="00707934"/>
    <w:rsid w:val="00711E41"/>
    <w:rsid w:val="007125F3"/>
    <w:rsid w:val="007128CE"/>
    <w:rsid w:val="00712F68"/>
    <w:rsid w:val="0071366A"/>
    <w:rsid w:val="0071387F"/>
    <w:rsid w:val="00714AA2"/>
    <w:rsid w:val="00714FD2"/>
    <w:rsid w:val="007157EF"/>
    <w:rsid w:val="0071584A"/>
    <w:rsid w:val="007172A3"/>
    <w:rsid w:val="00717CAE"/>
    <w:rsid w:val="00723136"/>
    <w:rsid w:val="007235CA"/>
    <w:rsid w:val="0072415E"/>
    <w:rsid w:val="007261E3"/>
    <w:rsid w:val="00727602"/>
    <w:rsid w:val="007278BB"/>
    <w:rsid w:val="00730768"/>
    <w:rsid w:val="0073186C"/>
    <w:rsid w:val="00736D7C"/>
    <w:rsid w:val="00737933"/>
    <w:rsid w:val="00737CD4"/>
    <w:rsid w:val="007454DD"/>
    <w:rsid w:val="00745860"/>
    <w:rsid w:val="007460DE"/>
    <w:rsid w:val="00750289"/>
    <w:rsid w:val="007519F3"/>
    <w:rsid w:val="007522AD"/>
    <w:rsid w:val="00753E6A"/>
    <w:rsid w:val="00754431"/>
    <w:rsid w:val="0075521F"/>
    <w:rsid w:val="00755565"/>
    <w:rsid w:val="007572E4"/>
    <w:rsid w:val="007604E5"/>
    <w:rsid w:val="0076052F"/>
    <w:rsid w:val="00760C14"/>
    <w:rsid w:val="00763859"/>
    <w:rsid w:val="007641E5"/>
    <w:rsid w:val="00764EB0"/>
    <w:rsid w:val="007677DD"/>
    <w:rsid w:val="0077174C"/>
    <w:rsid w:val="00772390"/>
    <w:rsid w:val="007725F1"/>
    <w:rsid w:val="0077327C"/>
    <w:rsid w:val="007736F7"/>
    <w:rsid w:val="00773AFF"/>
    <w:rsid w:val="00773CA2"/>
    <w:rsid w:val="00774A6F"/>
    <w:rsid w:val="00774CD5"/>
    <w:rsid w:val="00777509"/>
    <w:rsid w:val="00777FEC"/>
    <w:rsid w:val="00780898"/>
    <w:rsid w:val="00780B0B"/>
    <w:rsid w:val="0078126E"/>
    <w:rsid w:val="0078206C"/>
    <w:rsid w:val="00784524"/>
    <w:rsid w:val="007845E8"/>
    <w:rsid w:val="00784BDC"/>
    <w:rsid w:val="00785219"/>
    <w:rsid w:val="007867F6"/>
    <w:rsid w:val="00786D94"/>
    <w:rsid w:val="00787FD6"/>
    <w:rsid w:val="0079046A"/>
    <w:rsid w:val="00794725"/>
    <w:rsid w:val="007968AB"/>
    <w:rsid w:val="00796D28"/>
    <w:rsid w:val="00796D34"/>
    <w:rsid w:val="007A078D"/>
    <w:rsid w:val="007A19E8"/>
    <w:rsid w:val="007A302F"/>
    <w:rsid w:val="007A4E4D"/>
    <w:rsid w:val="007A57E9"/>
    <w:rsid w:val="007A66F6"/>
    <w:rsid w:val="007A6A04"/>
    <w:rsid w:val="007A6F33"/>
    <w:rsid w:val="007A70B9"/>
    <w:rsid w:val="007A7D4B"/>
    <w:rsid w:val="007B3CAD"/>
    <w:rsid w:val="007B4503"/>
    <w:rsid w:val="007B4C8D"/>
    <w:rsid w:val="007B64DC"/>
    <w:rsid w:val="007C00FD"/>
    <w:rsid w:val="007C0205"/>
    <w:rsid w:val="007C067D"/>
    <w:rsid w:val="007C0E90"/>
    <w:rsid w:val="007C1246"/>
    <w:rsid w:val="007C168E"/>
    <w:rsid w:val="007C4F21"/>
    <w:rsid w:val="007C60E6"/>
    <w:rsid w:val="007C67A4"/>
    <w:rsid w:val="007D0290"/>
    <w:rsid w:val="007D0C86"/>
    <w:rsid w:val="007D2711"/>
    <w:rsid w:val="007D6597"/>
    <w:rsid w:val="007D7D82"/>
    <w:rsid w:val="007E0D75"/>
    <w:rsid w:val="007E1611"/>
    <w:rsid w:val="007E37A9"/>
    <w:rsid w:val="007E3E6D"/>
    <w:rsid w:val="007E4C94"/>
    <w:rsid w:val="007E567B"/>
    <w:rsid w:val="007E596C"/>
    <w:rsid w:val="007F0169"/>
    <w:rsid w:val="007F1497"/>
    <w:rsid w:val="007F2F53"/>
    <w:rsid w:val="007F49C3"/>
    <w:rsid w:val="008007C6"/>
    <w:rsid w:val="00803153"/>
    <w:rsid w:val="00803A1B"/>
    <w:rsid w:val="0080411B"/>
    <w:rsid w:val="0080414E"/>
    <w:rsid w:val="00804D9F"/>
    <w:rsid w:val="00805940"/>
    <w:rsid w:val="008072B4"/>
    <w:rsid w:val="00810099"/>
    <w:rsid w:val="008105E8"/>
    <w:rsid w:val="008119ED"/>
    <w:rsid w:val="008121BF"/>
    <w:rsid w:val="0081474F"/>
    <w:rsid w:val="008149D6"/>
    <w:rsid w:val="008157DA"/>
    <w:rsid w:val="00815959"/>
    <w:rsid w:val="0082082D"/>
    <w:rsid w:val="0082109D"/>
    <w:rsid w:val="00822129"/>
    <w:rsid w:val="0082377B"/>
    <w:rsid w:val="0082385B"/>
    <w:rsid w:val="008238C2"/>
    <w:rsid w:val="00824438"/>
    <w:rsid w:val="00824847"/>
    <w:rsid w:val="00824C2B"/>
    <w:rsid w:val="0082515F"/>
    <w:rsid w:val="0082659D"/>
    <w:rsid w:val="00826B6D"/>
    <w:rsid w:val="00826EBC"/>
    <w:rsid w:val="00832173"/>
    <w:rsid w:val="00832DB4"/>
    <w:rsid w:val="008339BE"/>
    <w:rsid w:val="00833A67"/>
    <w:rsid w:val="00834E47"/>
    <w:rsid w:val="00835724"/>
    <w:rsid w:val="00836D72"/>
    <w:rsid w:val="00837657"/>
    <w:rsid w:val="008376E5"/>
    <w:rsid w:val="0084129E"/>
    <w:rsid w:val="008427BC"/>
    <w:rsid w:val="00843BDC"/>
    <w:rsid w:val="00844FB7"/>
    <w:rsid w:val="00845221"/>
    <w:rsid w:val="008477D9"/>
    <w:rsid w:val="00847ADE"/>
    <w:rsid w:val="00852C70"/>
    <w:rsid w:val="00860E92"/>
    <w:rsid w:val="00860FD1"/>
    <w:rsid w:val="00861221"/>
    <w:rsid w:val="0086146E"/>
    <w:rsid w:val="00861F0A"/>
    <w:rsid w:val="00863914"/>
    <w:rsid w:val="00864064"/>
    <w:rsid w:val="00864662"/>
    <w:rsid w:val="00864B2F"/>
    <w:rsid w:val="00865BE4"/>
    <w:rsid w:val="008668E3"/>
    <w:rsid w:val="00867BC6"/>
    <w:rsid w:val="00867CA5"/>
    <w:rsid w:val="00871C1C"/>
    <w:rsid w:val="008728D9"/>
    <w:rsid w:val="008741B2"/>
    <w:rsid w:val="00874285"/>
    <w:rsid w:val="00874BE1"/>
    <w:rsid w:val="008768DD"/>
    <w:rsid w:val="00876EA5"/>
    <w:rsid w:val="00880B5A"/>
    <w:rsid w:val="008829DF"/>
    <w:rsid w:val="00884311"/>
    <w:rsid w:val="00887663"/>
    <w:rsid w:val="008921A6"/>
    <w:rsid w:val="008929E3"/>
    <w:rsid w:val="00893650"/>
    <w:rsid w:val="00894954"/>
    <w:rsid w:val="008970DA"/>
    <w:rsid w:val="008974EB"/>
    <w:rsid w:val="00897E2A"/>
    <w:rsid w:val="008A0D8C"/>
    <w:rsid w:val="008A0E44"/>
    <w:rsid w:val="008A0FBA"/>
    <w:rsid w:val="008A133D"/>
    <w:rsid w:val="008A16E1"/>
    <w:rsid w:val="008A2C2F"/>
    <w:rsid w:val="008A300C"/>
    <w:rsid w:val="008A433A"/>
    <w:rsid w:val="008A4EF8"/>
    <w:rsid w:val="008A570F"/>
    <w:rsid w:val="008A5E51"/>
    <w:rsid w:val="008A610A"/>
    <w:rsid w:val="008B17CB"/>
    <w:rsid w:val="008B1B92"/>
    <w:rsid w:val="008B49A8"/>
    <w:rsid w:val="008B4CA5"/>
    <w:rsid w:val="008B4EE0"/>
    <w:rsid w:val="008B7A8B"/>
    <w:rsid w:val="008B7C0E"/>
    <w:rsid w:val="008C25AE"/>
    <w:rsid w:val="008C3E55"/>
    <w:rsid w:val="008C5215"/>
    <w:rsid w:val="008C67B9"/>
    <w:rsid w:val="008D02EE"/>
    <w:rsid w:val="008D109B"/>
    <w:rsid w:val="008D3722"/>
    <w:rsid w:val="008D45AA"/>
    <w:rsid w:val="008D7087"/>
    <w:rsid w:val="008D7E3A"/>
    <w:rsid w:val="008E0DA6"/>
    <w:rsid w:val="008E4937"/>
    <w:rsid w:val="008E6978"/>
    <w:rsid w:val="008F3AC4"/>
    <w:rsid w:val="008F5ADD"/>
    <w:rsid w:val="008F6275"/>
    <w:rsid w:val="008F7641"/>
    <w:rsid w:val="00901EDC"/>
    <w:rsid w:val="00902E69"/>
    <w:rsid w:val="00903ABE"/>
    <w:rsid w:val="0090640E"/>
    <w:rsid w:val="00910A0A"/>
    <w:rsid w:val="00911337"/>
    <w:rsid w:val="00912BB6"/>
    <w:rsid w:val="00913DF3"/>
    <w:rsid w:val="00915C51"/>
    <w:rsid w:val="00915E0C"/>
    <w:rsid w:val="00916EC1"/>
    <w:rsid w:val="00917A22"/>
    <w:rsid w:val="00920963"/>
    <w:rsid w:val="009218C5"/>
    <w:rsid w:val="00922957"/>
    <w:rsid w:val="00922A17"/>
    <w:rsid w:val="00923220"/>
    <w:rsid w:val="00924678"/>
    <w:rsid w:val="009252DA"/>
    <w:rsid w:val="00927C55"/>
    <w:rsid w:val="009306D2"/>
    <w:rsid w:val="00931B3E"/>
    <w:rsid w:val="00931D73"/>
    <w:rsid w:val="00932253"/>
    <w:rsid w:val="009342CD"/>
    <w:rsid w:val="009358CE"/>
    <w:rsid w:val="00936790"/>
    <w:rsid w:val="0094123B"/>
    <w:rsid w:val="00941AED"/>
    <w:rsid w:val="009424FB"/>
    <w:rsid w:val="00942754"/>
    <w:rsid w:val="00944305"/>
    <w:rsid w:val="00945517"/>
    <w:rsid w:val="009459E9"/>
    <w:rsid w:val="0094661F"/>
    <w:rsid w:val="00946B44"/>
    <w:rsid w:val="009504C0"/>
    <w:rsid w:val="0095269F"/>
    <w:rsid w:val="00953590"/>
    <w:rsid w:val="00953D96"/>
    <w:rsid w:val="0095445B"/>
    <w:rsid w:val="00955BE8"/>
    <w:rsid w:val="00956F52"/>
    <w:rsid w:val="00960298"/>
    <w:rsid w:val="009603D9"/>
    <w:rsid w:val="00961F71"/>
    <w:rsid w:val="00962288"/>
    <w:rsid w:val="0096574E"/>
    <w:rsid w:val="00965BAE"/>
    <w:rsid w:val="00971118"/>
    <w:rsid w:val="009720E6"/>
    <w:rsid w:val="009767E9"/>
    <w:rsid w:val="00976C04"/>
    <w:rsid w:val="009771C5"/>
    <w:rsid w:val="009808CA"/>
    <w:rsid w:val="0098092F"/>
    <w:rsid w:val="0098198E"/>
    <w:rsid w:val="00981DF4"/>
    <w:rsid w:val="00982F76"/>
    <w:rsid w:val="0098319B"/>
    <w:rsid w:val="00985D29"/>
    <w:rsid w:val="00986A3F"/>
    <w:rsid w:val="009874A4"/>
    <w:rsid w:val="00992137"/>
    <w:rsid w:val="009925FD"/>
    <w:rsid w:val="0099272C"/>
    <w:rsid w:val="00996214"/>
    <w:rsid w:val="009971D5"/>
    <w:rsid w:val="00997A8D"/>
    <w:rsid w:val="00997B01"/>
    <w:rsid w:val="00997BC6"/>
    <w:rsid w:val="009A0A64"/>
    <w:rsid w:val="009A5626"/>
    <w:rsid w:val="009A6E03"/>
    <w:rsid w:val="009B0759"/>
    <w:rsid w:val="009B1C90"/>
    <w:rsid w:val="009B2125"/>
    <w:rsid w:val="009B2A90"/>
    <w:rsid w:val="009B2AF0"/>
    <w:rsid w:val="009B3158"/>
    <w:rsid w:val="009B5178"/>
    <w:rsid w:val="009B5E10"/>
    <w:rsid w:val="009B61D2"/>
    <w:rsid w:val="009B72E0"/>
    <w:rsid w:val="009B7A8B"/>
    <w:rsid w:val="009B7FB5"/>
    <w:rsid w:val="009C1ADF"/>
    <w:rsid w:val="009C5B53"/>
    <w:rsid w:val="009C5CE8"/>
    <w:rsid w:val="009D06CF"/>
    <w:rsid w:val="009D0827"/>
    <w:rsid w:val="009D4DBC"/>
    <w:rsid w:val="009D50B9"/>
    <w:rsid w:val="009D6ADB"/>
    <w:rsid w:val="009D7FE4"/>
    <w:rsid w:val="009E0C09"/>
    <w:rsid w:val="009E0F13"/>
    <w:rsid w:val="009E42E7"/>
    <w:rsid w:val="009E59DE"/>
    <w:rsid w:val="009E64FB"/>
    <w:rsid w:val="009E665B"/>
    <w:rsid w:val="009E74F8"/>
    <w:rsid w:val="009E76AD"/>
    <w:rsid w:val="009E7CC7"/>
    <w:rsid w:val="009F17DD"/>
    <w:rsid w:val="009F3AEA"/>
    <w:rsid w:val="009F6072"/>
    <w:rsid w:val="009F6143"/>
    <w:rsid w:val="009F70D2"/>
    <w:rsid w:val="00A0045F"/>
    <w:rsid w:val="00A01516"/>
    <w:rsid w:val="00A0262E"/>
    <w:rsid w:val="00A02A2C"/>
    <w:rsid w:val="00A044A0"/>
    <w:rsid w:val="00A046BD"/>
    <w:rsid w:val="00A0480B"/>
    <w:rsid w:val="00A0496B"/>
    <w:rsid w:val="00A05425"/>
    <w:rsid w:val="00A06905"/>
    <w:rsid w:val="00A07205"/>
    <w:rsid w:val="00A0732D"/>
    <w:rsid w:val="00A07A80"/>
    <w:rsid w:val="00A07E69"/>
    <w:rsid w:val="00A100E4"/>
    <w:rsid w:val="00A10F7F"/>
    <w:rsid w:val="00A112B8"/>
    <w:rsid w:val="00A11B33"/>
    <w:rsid w:val="00A1217C"/>
    <w:rsid w:val="00A13068"/>
    <w:rsid w:val="00A1466B"/>
    <w:rsid w:val="00A16E95"/>
    <w:rsid w:val="00A1776B"/>
    <w:rsid w:val="00A2002B"/>
    <w:rsid w:val="00A20259"/>
    <w:rsid w:val="00A21BD8"/>
    <w:rsid w:val="00A24798"/>
    <w:rsid w:val="00A24A46"/>
    <w:rsid w:val="00A26737"/>
    <w:rsid w:val="00A26CA8"/>
    <w:rsid w:val="00A270CB"/>
    <w:rsid w:val="00A271DF"/>
    <w:rsid w:val="00A30897"/>
    <w:rsid w:val="00A30F16"/>
    <w:rsid w:val="00A31098"/>
    <w:rsid w:val="00A31AD7"/>
    <w:rsid w:val="00A3321F"/>
    <w:rsid w:val="00A3361B"/>
    <w:rsid w:val="00A35615"/>
    <w:rsid w:val="00A35C6B"/>
    <w:rsid w:val="00A36928"/>
    <w:rsid w:val="00A36B32"/>
    <w:rsid w:val="00A36CB6"/>
    <w:rsid w:val="00A37A0D"/>
    <w:rsid w:val="00A37AEE"/>
    <w:rsid w:val="00A4113D"/>
    <w:rsid w:val="00A42474"/>
    <w:rsid w:val="00A4341D"/>
    <w:rsid w:val="00A4439A"/>
    <w:rsid w:val="00A4563E"/>
    <w:rsid w:val="00A459F2"/>
    <w:rsid w:val="00A51641"/>
    <w:rsid w:val="00A51789"/>
    <w:rsid w:val="00A5286C"/>
    <w:rsid w:val="00A5477C"/>
    <w:rsid w:val="00A55FA2"/>
    <w:rsid w:val="00A57423"/>
    <w:rsid w:val="00A576F2"/>
    <w:rsid w:val="00A57BB1"/>
    <w:rsid w:val="00A6007C"/>
    <w:rsid w:val="00A6140F"/>
    <w:rsid w:val="00A61624"/>
    <w:rsid w:val="00A63052"/>
    <w:rsid w:val="00A64F43"/>
    <w:rsid w:val="00A661C5"/>
    <w:rsid w:val="00A72839"/>
    <w:rsid w:val="00A73ABC"/>
    <w:rsid w:val="00A73D24"/>
    <w:rsid w:val="00A771B9"/>
    <w:rsid w:val="00A772B7"/>
    <w:rsid w:val="00A8102E"/>
    <w:rsid w:val="00A81524"/>
    <w:rsid w:val="00A8248F"/>
    <w:rsid w:val="00A844B9"/>
    <w:rsid w:val="00A85603"/>
    <w:rsid w:val="00A85DD4"/>
    <w:rsid w:val="00A85E16"/>
    <w:rsid w:val="00A86D5A"/>
    <w:rsid w:val="00A87009"/>
    <w:rsid w:val="00A87869"/>
    <w:rsid w:val="00A9220D"/>
    <w:rsid w:val="00A92744"/>
    <w:rsid w:val="00A9353E"/>
    <w:rsid w:val="00A941D5"/>
    <w:rsid w:val="00A95424"/>
    <w:rsid w:val="00A96E49"/>
    <w:rsid w:val="00A97EC0"/>
    <w:rsid w:val="00AA1E92"/>
    <w:rsid w:val="00AA22B7"/>
    <w:rsid w:val="00AA270E"/>
    <w:rsid w:val="00AA438A"/>
    <w:rsid w:val="00AA57AA"/>
    <w:rsid w:val="00AA619F"/>
    <w:rsid w:val="00AA62EE"/>
    <w:rsid w:val="00AA6DD1"/>
    <w:rsid w:val="00AB1A93"/>
    <w:rsid w:val="00AB206A"/>
    <w:rsid w:val="00AB237B"/>
    <w:rsid w:val="00AB3CB5"/>
    <w:rsid w:val="00AB55A0"/>
    <w:rsid w:val="00AB624D"/>
    <w:rsid w:val="00AC11C1"/>
    <w:rsid w:val="00AC3354"/>
    <w:rsid w:val="00AC379F"/>
    <w:rsid w:val="00AC3A15"/>
    <w:rsid w:val="00AC7729"/>
    <w:rsid w:val="00AD0957"/>
    <w:rsid w:val="00AD0CD2"/>
    <w:rsid w:val="00AD1AD1"/>
    <w:rsid w:val="00AD1BFF"/>
    <w:rsid w:val="00AD2EDE"/>
    <w:rsid w:val="00AD49A7"/>
    <w:rsid w:val="00AD528E"/>
    <w:rsid w:val="00AE14F6"/>
    <w:rsid w:val="00AE25D1"/>
    <w:rsid w:val="00AE2703"/>
    <w:rsid w:val="00AE325B"/>
    <w:rsid w:val="00AE3434"/>
    <w:rsid w:val="00AE40E4"/>
    <w:rsid w:val="00AE4AE7"/>
    <w:rsid w:val="00AE63DC"/>
    <w:rsid w:val="00AE6AAE"/>
    <w:rsid w:val="00AF0962"/>
    <w:rsid w:val="00AF2CB0"/>
    <w:rsid w:val="00AF30AB"/>
    <w:rsid w:val="00AF451C"/>
    <w:rsid w:val="00AF4898"/>
    <w:rsid w:val="00AF5858"/>
    <w:rsid w:val="00AF7226"/>
    <w:rsid w:val="00B0155C"/>
    <w:rsid w:val="00B0265B"/>
    <w:rsid w:val="00B03CE8"/>
    <w:rsid w:val="00B06E39"/>
    <w:rsid w:val="00B06FF7"/>
    <w:rsid w:val="00B10784"/>
    <w:rsid w:val="00B11296"/>
    <w:rsid w:val="00B12055"/>
    <w:rsid w:val="00B1209F"/>
    <w:rsid w:val="00B12A1D"/>
    <w:rsid w:val="00B141AB"/>
    <w:rsid w:val="00B16015"/>
    <w:rsid w:val="00B1707B"/>
    <w:rsid w:val="00B17085"/>
    <w:rsid w:val="00B21A84"/>
    <w:rsid w:val="00B2751E"/>
    <w:rsid w:val="00B2783E"/>
    <w:rsid w:val="00B305F4"/>
    <w:rsid w:val="00B307EC"/>
    <w:rsid w:val="00B315FC"/>
    <w:rsid w:val="00B31AF4"/>
    <w:rsid w:val="00B32A82"/>
    <w:rsid w:val="00B33DD8"/>
    <w:rsid w:val="00B3412D"/>
    <w:rsid w:val="00B354D6"/>
    <w:rsid w:val="00B360E0"/>
    <w:rsid w:val="00B36769"/>
    <w:rsid w:val="00B367E5"/>
    <w:rsid w:val="00B36F8D"/>
    <w:rsid w:val="00B36FF2"/>
    <w:rsid w:val="00B37213"/>
    <w:rsid w:val="00B409D3"/>
    <w:rsid w:val="00B410D4"/>
    <w:rsid w:val="00B4111B"/>
    <w:rsid w:val="00B4130C"/>
    <w:rsid w:val="00B413FE"/>
    <w:rsid w:val="00B4244E"/>
    <w:rsid w:val="00B42579"/>
    <w:rsid w:val="00B4419D"/>
    <w:rsid w:val="00B45428"/>
    <w:rsid w:val="00B45F91"/>
    <w:rsid w:val="00B46CD7"/>
    <w:rsid w:val="00B53278"/>
    <w:rsid w:val="00B54F6D"/>
    <w:rsid w:val="00B55A49"/>
    <w:rsid w:val="00B57858"/>
    <w:rsid w:val="00B603CC"/>
    <w:rsid w:val="00B617C9"/>
    <w:rsid w:val="00B6225A"/>
    <w:rsid w:val="00B636D1"/>
    <w:rsid w:val="00B652A2"/>
    <w:rsid w:val="00B65D21"/>
    <w:rsid w:val="00B675D4"/>
    <w:rsid w:val="00B71D21"/>
    <w:rsid w:val="00B730DD"/>
    <w:rsid w:val="00B7584F"/>
    <w:rsid w:val="00B75854"/>
    <w:rsid w:val="00B76A6C"/>
    <w:rsid w:val="00B7758F"/>
    <w:rsid w:val="00B80A4B"/>
    <w:rsid w:val="00B82116"/>
    <w:rsid w:val="00B8511B"/>
    <w:rsid w:val="00B860F8"/>
    <w:rsid w:val="00B869CF"/>
    <w:rsid w:val="00B86A83"/>
    <w:rsid w:val="00B913B4"/>
    <w:rsid w:val="00B92EBC"/>
    <w:rsid w:val="00B932B0"/>
    <w:rsid w:val="00B93F3A"/>
    <w:rsid w:val="00B95160"/>
    <w:rsid w:val="00B95CBA"/>
    <w:rsid w:val="00B96911"/>
    <w:rsid w:val="00B970A7"/>
    <w:rsid w:val="00BA0E11"/>
    <w:rsid w:val="00BA1D1A"/>
    <w:rsid w:val="00BA259E"/>
    <w:rsid w:val="00BA4F71"/>
    <w:rsid w:val="00BB04AA"/>
    <w:rsid w:val="00BB0D8C"/>
    <w:rsid w:val="00BB19D2"/>
    <w:rsid w:val="00BB36A1"/>
    <w:rsid w:val="00BB5157"/>
    <w:rsid w:val="00BB5606"/>
    <w:rsid w:val="00BB593E"/>
    <w:rsid w:val="00BB63A1"/>
    <w:rsid w:val="00BB669F"/>
    <w:rsid w:val="00BB6BF5"/>
    <w:rsid w:val="00BB7BC8"/>
    <w:rsid w:val="00BC1337"/>
    <w:rsid w:val="00BC26CC"/>
    <w:rsid w:val="00BC2D92"/>
    <w:rsid w:val="00BC329D"/>
    <w:rsid w:val="00BC3574"/>
    <w:rsid w:val="00BC43F9"/>
    <w:rsid w:val="00BD0564"/>
    <w:rsid w:val="00BD0AEF"/>
    <w:rsid w:val="00BD10F0"/>
    <w:rsid w:val="00BD175D"/>
    <w:rsid w:val="00BD1936"/>
    <w:rsid w:val="00BD2FD2"/>
    <w:rsid w:val="00BD529F"/>
    <w:rsid w:val="00BD5C21"/>
    <w:rsid w:val="00BD76DE"/>
    <w:rsid w:val="00BE0B77"/>
    <w:rsid w:val="00BE0DD4"/>
    <w:rsid w:val="00BE112E"/>
    <w:rsid w:val="00BE1DCD"/>
    <w:rsid w:val="00BE22AF"/>
    <w:rsid w:val="00BE398A"/>
    <w:rsid w:val="00BE5407"/>
    <w:rsid w:val="00BE5449"/>
    <w:rsid w:val="00BE5CC0"/>
    <w:rsid w:val="00BE5E57"/>
    <w:rsid w:val="00BF0BE9"/>
    <w:rsid w:val="00BF1456"/>
    <w:rsid w:val="00BF19E0"/>
    <w:rsid w:val="00BF234B"/>
    <w:rsid w:val="00BF3716"/>
    <w:rsid w:val="00BF5DE4"/>
    <w:rsid w:val="00BF68F4"/>
    <w:rsid w:val="00BF75F2"/>
    <w:rsid w:val="00C004A5"/>
    <w:rsid w:val="00C009BD"/>
    <w:rsid w:val="00C01499"/>
    <w:rsid w:val="00C01CAD"/>
    <w:rsid w:val="00C01FE7"/>
    <w:rsid w:val="00C02326"/>
    <w:rsid w:val="00C026CA"/>
    <w:rsid w:val="00C02BD2"/>
    <w:rsid w:val="00C0378D"/>
    <w:rsid w:val="00C03DD8"/>
    <w:rsid w:val="00C07ED5"/>
    <w:rsid w:val="00C10A8E"/>
    <w:rsid w:val="00C11513"/>
    <w:rsid w:val="00C136EB"/>
    <w:rsid w:val="00C14389"/>
    <w:rsid w:val="00C14F8E"/>
    <w:rsid w:val="00C152E0"/>
    <w:rsid w:val="00C17189"/>
    <w:rsid w:val="00C213C8"/>
    <w:rsid w:val="00C214FE"/>
    <w:rsid w:val="00C216BF"/>
    <w:rsid w:val="00C2407D"/>
    <w:rsid w:val="00C30338"/>
    <w:rsid w:val="00C32FFF"/>
    <w:rsid w:val="00C33407"/>
    <w:rsid w:val="00C3604D"/>
    <w:rsid w:val="00C36E1D"/>
    <w:rsid w:val="00C37352"/>
    <w:rsid w:val="00C40EA4"/>
    <w:rsid w:val="00C424E6"/>
    <w:rsid w:val="00C50916"/>
    <w:rsid w:val="00C5117D"/>
    <w:rsid w:val="00C51738"/>
    <w:rsid w:val="00C51F79"/>
    <w:rsid w:val="00C52CC2"/>
    <w:rsid w:val="00C53A1F"/>
    <w:rsid w:val="00C54512"/>
    <w:rsid w:val="00C560CB"/>
    <w:rsid w:val="00C606E8"/>
    <w:rsid w:val="00C6113C"/>
    <w:rsid w:val="00C61AD3"/>
    <w:rsid w:val="00C61EB5"/>
    <w:rsid w:val="00C64BDC"/>
    <w:rsid w:val="00C650A6"/>
    <w:rsid w:val="00C7138D"/>
    <w:rsid w:val="00C74572"/>
    <w:rsid w:val="00C749A8"/>
    <w:rsid w:val="00C762B1"/>
    <w:rsid w:val="00C766D0"/>
    <w:rsid w:val="00C7758D"/>
    <w:rsid w:val="00C8360A"/>
    <w:rsid w:val="00C83A65"/>
    <w:rsid w:val="00C83B1A"/>
    <w:rsid w:val="00C8475E"/>
    <w:rsid w:val="00C84985"/>
    <w:rsid w:val="00C854F1"/>
    <w:rsid w:val="00C858F2"/>
    <w:rsid w:val="00C870E5"/>
    <w:rsid w:val="00C871F0"/>
    <w:rsid w:val="00C900D2"/>
    <w:rsid w:val="00C90517"/>
    <w:rsid w:val="00C92983"/>
    <w:rsid w:val="00C93057"/>
    <w:rsid w:val="00C94140"/>
    <w:rsid w:val="00C95B68"/>
    <w:rsid w:val="00C95E1A"/>
    <w:rsid w:val="00C96103"/>
    <w:rsid w:val="00C96160"/>
    <w:rsid w:val="00C962D5"/>
    <w:rsid w:val="00C976E1"/>
    <w:rsid w:val="00CA33DC"/>
    <w:rsid w:val="00CA49A1"/>
    <w:rsid w:val="00CA55C8"/>
    <w:rsid w:val="00CA695B"/>
    <w:rsid w:val="00CA6AF7"/>
    <w:rsid w:val="00CB0280"/>
    <w:rsid w:val="00CB329C"/>
    <w:rsid w:val="00CB48C2"/>
    <w:rsid w:val="00CB5B34"/>
    <w:rsid w:val="00CB7387"/>
    <w:rsid w:val="00CB74CA"/>
    <w:rsid w:val="00CC094D"/>
    <w:rsid w:val="00CC0DC5"/>
    <w:rsid w:val="00CC1789"/>
    <w:rsid w:val="00CC1EFB"/>
    <w:rsid w:val="00CC233B"/>
    <w:rsid w:val="00CC24F8"/>
    <w:rsid w:val="00CC3728"/>
    <w:rsid w:val="00CC3FA6"/>
    <w:rsid w:val="00CC4794"/>
    <w:rsid w:val="00CC64E3"/>
    <w:rsid w:val="00CC711E"/>
    <w:rsid w:val="00CD0670"/>
    <w:rsid w:val="00CD4934"/>
    <w:rsid w:val="00CD4E01"/>
    <w:rsid w:val="00CD5526"/>
    <w:rsid w:val="00CD6500"/>
    <w:rsid w:val="00CD66FB"/>
    <w:rsid w:val="00CD793E"/>
    <w:rsid w:val="00CE35B9"/>
    <w:rsid w:val="00CE6007"/>
    <w:rsid w:val="00CE68FF"/>
    <w:rsid w:val="00CE6C28"/>
    <w:rsid w:val="00CE6E0E"/>
    <w:rsid w:val="00CE7033"/>
    <w:rsid w:val="00CE73FA"/>
    <w:rsid w:val="00CF078E"/>
    <w:rsid w:val="00CF2019"/>
    <w:rsid w:val="00CF2BC9"/>
    <w:rsid w:val="00CF30DB"/>
    <w:rsid w:val="00CF3569"/>
    <w:rsid w:val="00CF4014"/>
    <w:rsid w:val="00CF55FA"/>
    <w:rsid w:val="00CF6F91"/>
    <w:rsid w:val="00D01CF3"/>
    <w:rsid w:val="00D028BF"/>
    <w:rsid w:val="00D03468"/>
    <w:rsid w:val="00D04ADE"/>
    <w:rsid w:val="00D05C0E"/>
    <w:rsid w:val="00D06B17"/>
    <w:rsid w:val="00D11019"/>
    <w:rsid w:val="00D11023"/>
    <w:rsid w:val="00D115D9"/>
    <w:rsid w:val="00D13E0D"/>
    <w:rsid w:val="00D14176"/>
    <w:rsid w:val="00D1477E"/>
    <w:rsid w:val="00D151CD"/>
    <w:rsid w:val="00D1576E"/>
    <w:rsid w:val="00D15E89"/>
    <w:rsid w:val="00D16548"/>
    <w:rsid w:val="00D21D97"/>
    <w:rsid w:val="00D21F9F"/>
    <w:rsid w:val="00D22450"/>
    <w:rsid w:val="00D2250E"/>
    <w:rsid w:val="00D255A8"/>
    <w:rsid w:val="00D263EC"/>
    <w:rsid w:val="00D26E8D"/>
    <w:rsid w:val="00D31090"/>
    <w:rsid w:val="00D325DD"/>
    <w:rsid w:val="00D32A06"/>
    <w:rsid w:val="00D32A0A"/>
    <w:rsid w:val="00D34266"/>
    <w:rsid w:val="00D35FD1"/>
    <w:rsid w:val="00D37A84"/>
    <w:rsid w:val="00D40ED0"/>
    <w:rsid w:val="00D41CF8"/>
    <w:rsid w:val="00D42646"/>
    <w:rsid w:val="00D46938"/>
    <w:rsid w:val="00D474E2"/>
    <w:rsid w:val="00D47F2A"/>
    <w:rsid w:val="00D50A2A"/>
    <w:rsid w:val="00D52C9E"/>
    <w:rsid w:val="00D546D7"/>
    <w:rsid w:val="00D55896"/>
    <w:rsid w:val="00D5698E"/>
    <w:rsid w:val="00D56B8B"/>
    <w:rsid w:val="00D56C0B"/>
    <w:rsid w:val="00D571FE"/>
    <w:rsid w:val="00D60A83"/>
    <w:rsid w:val="00D61386"/>
    <w:rsid w:val="00D63A86"/>
    <w:rsid w:val="00D65E4D"/>
    <w:rsid w:val="00D70BA6"/>
    <w:rsid w:val="00D7623D"/>
    <w:rsid w:val="00D77FE8"/>
    <w:rsid w:val="00D80FC0"/>
    <w:rsid w:val="00D81F8E"/>
    <w:rsid w:val="00D8284C"/>
    <w:rsid w:val="00D839E0"/>
    <w:rsid w:val="00D83B3D"/>
    <w:rsid w:val="00D85ED8"/>
    <w:rsid w:val="00D85F3A"/>
    <w:rsid w:val="00D85F5C"/>
    <w:rsid w:val="00D86B22"/>
    <w:rsid w:val="00D94324"/>
    <w:rsid w:val="00D95F51"/>
    <w:rsid w:val="00D96FF4"/>
    <w:rsid w:val="00DA08F0"/>
    <w:rsid w:val="00DA354F"/>
    <w:rsid w:val="00DA380F"/>
    <w:rsid w:val="00DA4827"/>
    <w:rsid w:val="00DA66DB"/>
    <w:rsid w:val="00DA71EA"/>
    <w:rsid w:val="00DA7755"/>
    <w:rsid w:val="00DB0D9B"/>
    <w:rsid w:val="00DB52FE"/>
    <w:rsid w:val="00DB53AA"/>
    <w:rsid w:val="00DB5BFA"/>
    <w:rsid w:val="00DB5DF1"/>
    <w:rsid w:val="00DB60F6"/>
    <w:rsid w:val="00DB6B67"/>
    <w:rsid w:val="00DB7C52"/>
    <w:rsid w:val="00DC0485"/>
    <w:rsid w:val="00DC07CF"/>
    <w:rsid w:val="00DC08F4"/>
    <w:rsid w:val="00DC0E2A"/>
    <w:rsid w:val="00DC2509"/>
    <w:rsid w:val="00DC57B5"/>
    <w:rsid w:val="00DC5C82"/>
    <w:rsid w:val="00DC78A1"/>
    <w:rsid w:val="00DD0EEA"/>
    <w:rsid w:val="00DD2465"/>
    <w:rsid w:val="00DD2C48"/>
    <w:rsid w:val="00DD30FF"/>
    <w:rsid w:val="00DD5EF3"/>
    <w:rsid w:val="00DD6BC7"/>
    <w:rsid w:val="00DD7303"/>
    <w:rsid w:val="00DD76C5"/>
    <w:rsid w:val="00DD7CAD"/>
    <w:rsid w:val="00DE12B0"/>
    <w:rsid w:val="00DE164C"/>
    <w:rsid w:val="00DE196F"/>
    <w:rsid w:val="00DE22DF"/>
    <w:rsid w:val="00DE2731"/>
    <w:rsid w:val="00DE562A"/>
    <w:rsid w:val="00DE6046"/>
    <w:rsid w:val="00DE726F"/>
    <w:rsid w:val="00DF0560"/>
    <w:rsid w:val="00DF0F58"/>
    <w:rsid w:val="00DF3184"/>
    <w:rsid w:val="00DF552F"/>
    <w:rsid w:val="00DF58D9"/>
    <w:rsid w:val="00DF59F6"/>
    <w:rsid w:val="00DF6461"/>
    <w:rsid w:val="00E01C9D"/>
    <w:rsid w:val="00E01EAE"/>
    <w:rsid w:val="00E03EFD"/>
    <w:rsid w:val="00E03F48"/>
    <w:rsid w:val="00E05774"/>
    <w:rsid w:val="00E07E23"/>
    <w:rsid w:val="00E1391A"/>
    <w:rsid w:val="00E14210"/>
    <w:rsid w:val="00E147FC"/>
    <w:rsid w:val="00E14D34"/>
    <w:rsid w:val="00E159A0"/>
    <w:rsid w:val="00E16FA4"/>
    <w:rsid w:val="00E177EA"/>
    <w:rsid w:val="00E17D99"/>
    <w:rsid w:val="00E203AE"/>
    <w:rsid w:val="00E21FEC"/>
    <w:rsid w:val="00E220C6"/>
    <w:rsid w:val="00E241B7"/>
    <w:rsid w:val="00E24933"/>
    <w:rsid w:val="00E25ABF"/>
    <w:rsid w:val="00E264E2"/>
    <w:rsid w:val="00E27AB5"/>
    <w:rsid w:val="00E27BE9"/>
    <w:rsid w:val="00E307F4"/>
    <w:rsid w:val="00E314F2"/>
    <w:rsid w:val="00E3209C"/>
    <w:rsid w:val="00E327BA"/>
    <w:rsid w:val="00E33780"/>
    <w:rsid w:val="00E34C02"/>
    <w:rsid w:val="00E35EF2"/>
    <w:rsid w:val="00E362F2"/>
    <w:rsid w:val="00E41149"/>
    <w:rsid w:val="00E424BE"/>
    <w:rsid w:val="00E43D75"/>
    <w:rsid w:val="00E4468F"/>
    <w:rsid w:val="00E452D2"/>
    <w:rsid w:val="00E46542"/>
    <w:rsid w:val="00E47478"/>
    <w:rsid w:val="00E47E91"/>
    <w:rsid w:val="00E50CE0"/>
    <w:rsid w:val="00E56A60"/>
    <w:rsid w:val="00E57BFA"/>
    <w:rsid w:val="00E60ADB"/>
    <w:rsid w:val="00E622C6"/>
    <w:rsid w:val="00E626BC"/>
    <w:rsid w:val="00E62A55"/>
    <w:rsid w:val="00E62CBB"/>
    <w:rsid w:val="00E644CA"/>
    <w:rsid w:val="00E65073"/>
    <w:rsid w:val="00E66257"/>
    <w:rsid w:val="00E66538"/>
    <w:rsid w:val="00E66654"/>
    <w:rsid w:val="00E67B67"/>
    <w:rsid w:val="00E7115E"/>
    <w:rsid w:val="00E71372"/>
    <w:rsid w:val="00E72048"/>
    <w:rsid w:val="00E760D2"/>
    <w:rsid w:val="00E771D6"/>
    <w:rsid w:val="00E81705"/>
    <w:rsid w:val="00E82B3D"/>
    <w:rsid w:val="00E82FA2"/>
    <w:rsid w:val="00E84425"/>
    <w:rsid w:val="00E84B6E"/>
    <w:rsid w:val="00E84E08"/>
    <w:rsid w:val="00E85210"/>
    <w:rsid w:val="00E87326"/>
    <w:rsid w:val="00E87C24"/>
    <w:rsid w:val="00E90237"/>
    <w:rsid w:val="00E92C1D"/>
    <w:rsid w:val="00E95203"/>
    <w:rsid w:val="00E9533B"/>
    <w:rsid w:val="00E976FB"/>
    <w:rsid w:val="00EA0AF6"/>
    <w:rsid w:val="00EA17A5"/>
    <w:rsid w:val="00EA238A"/>
    <w:rsid w:val="00EA38DE"/>
    <w:rsid w:val="00EA42DE"/>
    <w:rsid w:val="00EA4841"/>
    <w:rsid w:val="00EA4D41"/>
    <w:rsid w:val="00EB0AE0"/>
    <w:rsid w:val="00EB0FF1"/>
    <w:rsid w:val="00EB1209"/>
    <w:rsid w:val="00EB1C5F"/>
    <w:rsid w:val="00EB2AC2"/>
    <w:rsid w:val="00EB33D9"/>
    <w:rsid w:val="00EB647F"/>
    <w:rsid w:val="00EC12C4"/>
    <w:rsid w:val="00EC192A"/>
    <w:rsid w:val="00EC1C84"/>
    <w:rsid w:val="00EC384A"/>
    <w:rsid w:val="00EC5A78"/>
    <w:rsid w:val="00EC6CC8"/>
    <w:rsid w:val="00ED17C3"/>
    <w:rsid w:val="00ED3BD7"/>
    <w:rsid w:val="00ED42B9"/>
    <w:rsid w:val="00ED5127"/>
    <w:rsid w:val="00ED535B"/>
    <w:rsid w:val="00ED5F86"/>
    <w:rsid w:val="00ED76CB"/>
    <w:rsid w:val="00EE0B1A"/>
    <w:rsid w:val="00EE1BA3"/>
    <w:rsid w:val="00EE29BD"/>
    <w:rsid w:val="00EE2FF0"/>
    <w:rsid w:val="00EE486D"/>
    <w:rsid w:val="00EE4F24"/>
    <w:rsid w:val="00EE5534"/>
    <w:rsid w:val="00EE66FF"/>
    <w:rsid w:val="00EF0A24"/>
    <w:rsid w:val="00EF0BB4"/>
    <w:rsid w:val="00EF1F12"/>
    <w:rsid w:val="00EF287B"/>
    <w:rsid w:val="00EF2C72"/>
    <w:rsid w:val="00EF3D73"/>
    <w:rsid w:val="00EF475C"/>
    <w:rsid w:val="00EF5549"/>
    <w:rsid w:val="00EF6821"/>
    <w:rsid w:val="00F035A0"/>
    <w:rsid w:val="00F05105"/>
    <w:rsid w:val="00F057DD"/>
    <w:rsid w:val="00F12F47"/>
    <w:rsid w:val="00F16AC6"/>
    <w:rsid w:val="00F20A8E"/>
    <w:rsid w:val="00F2265C"/>
    <w:rsid w:val="00F229A2"/>
    <w:rsid w:val="00F2369E"/>
    <w:rsid w:val="00F2451F"/>
    <w:rsid w:val="00F25434"/>
    <w:rsid w:val="00F2720B"/>
    <w:rsid w:val="00F275F9"/>
    <w:rsid w:val="00F278FF"/>
    <w:rsid w:val="00F30243"/>
    <w:rsid w:val="00F302CE"/>
    <w:rsid w:val="00F33E7D"/>
    <w:rsid w:val="00F35178"/>
    <w:rsid w:val="00F353D5"/>
    <w:rsid w:val="00F40AF7"/>
    <w:rsid w:val="00F40BC4"/>
    <w:rsid w:val="00F4221F"/>
    <w:rsid w:val="00F43DD7"/>
    <w:rsid w:val="00F442C0"/>
    <w:rsid w:val="00F463FC"/>
    <w:rsid w:val="00F47948"/>
    <w:rsid w:val="00F50680"/>
    <w:rsid w:val="00F51B07"/>
    <w:rsid w:val="00F53B17"/>
    <w:rsid w:val="00F543FB"/>
    <w:rsid w:val="00F548E9"/>
    <w:rsid w:val="00F54910"/>
    <w:rsid w:val="00F5643E"/>
    <w:rsid w:val="00F60DF7"/>
    <w:rsid w:val="00F611A7"/>
    <w:rsid w:val="00F611C9"/>
    <w:rsid w:val="00F61967"/>
    <w:rsid w:val="00F61AE9"/>
    <w:rsid w:val="00F65AE3"/>
    <w:rsid w:val="00F65BFA"/>
    <w:rsid w:val="00F667CA"/>
    <w:rsid w:val="00F66C5E"/>
    <w:rsid w:val="00F7056F"/>
    <w:rsid w:val="00F70BA6"/>
    <w:rsid w:val="00F7112D"/>
    <w:rsid w:val="00F71175"/>
    <w:rsid w:val="00F71404"/>
    <w:rsid w:val="00F734C9"/>
    <w:rsid w:val="00F73D72"/>
    <w:rsid w:val="00F762FC"/>
    <w:rsid w:val="00F80300"/>
    <w:rsid w:val="00F8145E"/>
    <w:rsid w:val="00F81763"/>
    <w:rsid w:val="00F819E1"/>
    <w:rsid w:val="00F82B61"/>
    <w:rsid w:val="00F837D1"/>
    <w:rsid w:val="00F860EF"/>
    <w:rsid w:val="00F872C3"/>
    <w:rsid w:val="00F905E7"/>
    <w:rsid w:val="00F906EF"/>
    <w:rsid w:val="00F908F9"/>
    <w:rsid w:val="00F90F5A"/>
    <w:rsid w:val="00F92523"/>
    <w:rsid w:val="00F94F21"/>
    <w:rsid w:val="00F95179"/>
    <w:rsid w:val="00F95928"/>
    <w:rsid w:val="00F96D23"/>
    <w:rsid w:val="00F97793"/>
    <w:rsid w:val="00FA077B"/>
    <w:rsid w:val="00FA19AF"/>
    <w:rsid w:val="00FA2468"/>
    <w:rsid w:val="00FA3F5F"/>
    <w:rsid w:val="00FA4D5E"/>
    <w:rsid w:val="00FA51AE"/>
    <w:rsid w:val="00FA7461"/>
    <w:rsid w:val="00FB0212"/>
    <w:rsid w:val="00FB1405"/>
    <w:rsid w:val="00FB22FE"/>
    <w:rsid w:val="00FB2902"/>
    <w:rsid w:val="00FB49D0"/>
    <w:rsid w:val="00FB6D8F"/>
    <w:rsid w:val="00FB769F"/>
    <w:rsid w:val="00FB76D7"/>
    <w:rsid w:val="00FC17C1"/>
    <w:rsid w:val="00FC1AF1"/>
    <w:rsid w:val="00FC211C"/>
    <w:rsid w:val="00FC2C35"/>
    <w:rsid w:val="00FC576A"/>
    <w:rsid w:val="00FC7B3C"/>
    <w:rsid w:val="00FD180A"/>
    <w:rsid w:val="00FD23D6"/>
    <w:rsid w:val="00FD592D"/>
    <w:rsid w:val="00FD5B5D"/>
    <w:rsid w:val="00FD71E2"/>
    <w:rsid w:val="00FD7A6D"/>
    <w:rsid w:val="00FE1409"/>
    <w:rsid w:val="00FE16BE"/>
    <w:rsid w:val="00FE1979"/>
    <w:rsid w:val="00FE3701"/>
    <w:rsid w:val="00FE3B51"/>
    <w:rsid w:val="00FE3D4B"/>
    <w:rsid w:val="00FE3E69"/>
    <w:rsid w:val="00FE4178"/>
    <w:rsid w:val="00FE6D1F"/>
    <w:rsid w:val="00FE6D23"/>
    <w:rsid w:val="00FE7E1E"/>
    <w:rsid w:val="00FF0045"/>
    <w:rsid w:val="00FF0786"/>
    <w:rsid w:val="00FF2A7B"/>
    <w:rsid w:val="00FF2BEA"/>
    <w:rsid w:val="00FF2C4F"/>
    <w:rsid w:val="00FF3809"/>
    <w:rsid w:val="00FF3CF7"/>
    <w:rsid w:val="00FF3F4E"/>
    <w:rsid w:val="00FF4199"/>
    <w:rsid w:val="00FF461F"/>
    <w:rsid w:val="00FF4FF2"/>
    <w:rsid w:val="00FF5B5E"/>
    <w:rsid w:val="00FF5E34"/>
    <w:rsid w:val="00FF6294"/>
    <w:rsid w:val="00FF6E5B"/>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14:docId w14:val="4EBE47E4"/>
  <w15:docId w15:val="{522621E5-31F0-4EE5-8099-DA96552B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7D1"/>
    <w:rPr>
      <w:rFonts w:ascii="Arial" w:hAnsi="Arial"/>
      <w:sz w:val="24"/>
      <w:szCs w:val="24"/>
    </w:rPr>
  </w:style>
  <w:style w:type="paragraph" w:styleId="Heading1">
    <w:name w:val="heading 1"/>
    <w:basedOn w:val="Normal"/>
    <w:next w:val="Normal"/>
    <w:uiPriority w:val="9"/>
    <w:rsid w:val="005D2FA4"/>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rsid w:val="007A6A04"/>
    <w:pPr>
      <w:keepNext/>
      <w:spacing w:after="240" w:line="360" w:lineRule="auto"/>
      <w:outlineLvl w:val="2"/>
    </w:pPr>
    <w:rPr>
      <w:b/>
      <w:sz w:val="28"/>
      <w:szCs w:val="20"/>
    </w:rPr>
  </w:style>
  <w:style w:type="paragraph" w:styleId="Heading4">
    <w:name w:val="heading 4"/>
    <w:basedOn w:val="Normal"/>
    <w:next w:val="Normal"/>
    <w:uiPriority w:val="9"/>
    <w:semiHidden/>
    <w:unhideWhenUsed/>
    <w:rsid w:val="005B083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7EBD"/>
    <w:pPr>
      <w:tabs>
        <w:tab w:val="center" w:pos="4153"/>
        <w:tab w:val="right" w:pos="8306"/>
      </w:tabs>
    </w:pPr>
  </w:style>
  <w:style w:type="paragraph" w:styleId="Footer">
    <w:name w:val="footer"/>
    <w:basedOn w:val="Normal"/>
    <w:link w:val="FooterChar"/>
    <w:uiPriority w:val="99"/>
    <w:rsid w:val="002E7EBD"/>
    <w:pPr>
      <w:tabs>
        <w:tab w:val="center" w:pos="4153"/>
        <w:tab w:val="right" w:pos="8306"/>
      </w:tabs>
    </w:pPr>
  </w:style>
  <w:style w:type="table" w:styleId="TableGrid">
    <w:name w:val="Table Grid"/>
    <w:basedOn w:val="TableNormal"/>
    <w:uiPriority w:val="59"/>
    <w:rsid w:val="00E1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14FD2"/>
    <w:rPr>
      <w:sz w:val="20"/>
      <w:szCs w:val="20"/>
    </w:rPr>
  </w:style>
  <w:style w:type="character" w:styleId="FootnoteReference">
    <w:name w:val="footnote reference"/>
    <w:semiHidden/>
    <w:rsid w:val="00714FD2"/>
    <w:rPr>
      <w:vertAlign w:val="superscript"/>
    </w:rPr>
  </w:style>
  <w:style w:type="character" w:styleId="PageNumber">
    <w:name w:val="page number"/>
    <w:basedOn w:val="DefaultParagraphFont"/>
    <w:rsid w:val="0031307A"/>
  </w:style>
  <w:style w:type="character" w:styleId="FollowedHyperlink">
    <w:name w:val="FollowedHyperlink"/>
    <w:rsid w:val="00B675D4"/>
    <w:rPr>
      <w:color w:val="800080"/>
      <w:u w:val="single"/>
    </w:rPr>
  </w:style>
  <w:style w:type="character" w:styleId="Hyperlink">
    <w:name w:val="Hyperlink"/>
    <w:uiPriority w:val="99"/>
    <w:rsid w:val="00826EBC"/>
    <w:rPr>
      <w:color w:val="0000FF"/>
      <w:u w:val="single"/>
    </w:rPr>
  </w:style>
  <w:style w:type="paragraph" w:styleId="BalloonText">
    <w:name w:val="Balloon Text"/>
    <w:basedOn w:val="Normal"/>
    <w:semiHidden/>
    <w:rsid w:val="00D56C0B"/>
    <w:rPr>
      <w:rFonts w:ascii="Tahoma" w:hAnsi="Tahoma" w:cs="Tahoma"/>
      <w:sz w:val="16"/>
      <w:szCs w:val="16"/>
    </w:rPr>
  </w:style>
  <w:style w:type="paragraph" w:styleId="Title">
    <w:name w:val="Title"/>
    <w:aliases w:val="Centred title"/>
    <w:basedOn w:val="Normal"/>
    <w:link w:val="TitleChar"/>
    <w:rsid w:val="00B12055"/>
    <w:pPr>
      <w:jc w:val="center"/>
    </w:pPr>
    <w:rPr>
      <w:b/>
      <w:color w:val="000000"/>
      <w:sz w:val="28"/>
      <w:szCs w:val="20"/>
    </w:rPr>
  </w:style>
  <w:style w:type="paragraph" w:styleId="BodyText">
    <w:name w:val="Body Text"/>
    <w:basedOn w:val="Normal"/>
    <w:rsid w:val="00CB329C"/>
    <w:rPr>
      <w:sz w:val="22"/>
      <w:szCs w:val="20"/>
    </w:rPr>
  </w:style>
  <w:style w:type="paragraph" w:styleId="BodyTextIndent">
    <w:name w:val="Body Text Indent"/>
    <w:basedOn w:val="Normal"/>
    <w:rsid w:val="00B53278"/>
    <w:pPr>
      <w:spacing w:after="120"/>
      <w:ind w:left="283"/>
    </w:pPr>
  </w:style>
  <w:style w:type="paragraph" w:styleId="BodyText2">
    <w:name w:val="Body Text 2"/>
    <w:basedOn w:val="Normal"/>
    <w:rsid w:val="00B53278"/>
    <w:pPr>
      <w:spacing w:after="120" w:line="480" w:lineRule="auto"/>
    </w:pPr>
  </w:style>
  <w:style w:type="paragraph" w:styleId="BodyText3">
    <w:name w:val="Body Text 3"/>
    <w:basedOn w:val="Normal"/>
    <w:rsid w:val="00B53278"/>
    <w:pPr>
      <w:spacing w:after="120"/>
    </w:pPr>
    <w:rPr>
      <w:sz w:val="16"/>
      <w:szCs w:val="16"/>
    </w:rPr>
  </w:style>
  <w:style w:type="character" w:styleId="CommentReference">
    <w:name w:val="annotation reference"/>
    <w:semiHidden/>
    <w:rsid w:val="00C7138D"/>
    <w:rPr>
      <w:sz w:val="16"/>
      <w:szCs w:val="16"/>
    </w:rPr>
  </w:style>
  <w:style w:type="paragraph" w:styleId="CommentText">
    <w:name w:val="annotation text"/>
    <w:basedOn w:val="Normal"/>
    <w:semiHidden/>
    <w:rsid w:val="00C7138D"/>
    <w:rPr>
      <w:sz w:val="20"/>
      <w:szCs w:val="20"/>
    </w:rPr>
  </w:style>
  <w:style w:type="paragraph" w:styleId="CommentSubject">
    <w:name w:val="annotation subject"/>
    <w:basedOn w:val="CommentText"/>
    <w:next w:val="CommentText"/>
    <w:semiHidden/>
    <w:rsid w:val="00C7138D"/>
    <w:rPr>
      <w:b/>
      <w:bCs/>
    </w:rPr>
  </w:style>
  <w:style w:type="paragraph" w:customStyle="1" w:styleId="Default">
    <w:name w:val="Default"/>
    <w:rsid w:val="0018652D"/>
    <w:pPr>
      <w:autoSpaceDE w:val="0"/>
      <w:autoSpaceDN w:val="0"/>
      <w:adjustRightInd w:val="0"/>
      <w:spacing w:after="200" w:line="276" w:lineRule="auto"/>
    </w:pPr>
    <w:rPr>
      <w:rFonts w:ascii="Arial" w:hAnsi="Arial" w:cs="Arial"/>
      <w:color w:val="000000"/>
      <w:sz w:val="24"/>
      <w:szCs w:val="24"/>
    </w:rPr>
  </w:style>
  <w:style w:type="paragraph" w:styleId="ListParagraph">
    <w:name w:val="List Paragraph"/>
    <w:basedOn w:val="Normal"/>
    <w:uiPriority w:val="34"/>
    <w:rsid w:val="00655DCC"/>
    <w:pPr>
      <w:ind w:left="720"/>
      <w:contextualSpacing/>
    </w:pPr>
  </w:style>
  <w:style w:type="character" w:customStyle="1" w:styleId="FooterChar">
    <w:name w:val="Footer Char"/>
    <w:link w:val="Footer"/>
    <w:uiPriority w:val="99"/>
    <w:rsid w:val="00437798"/>
    <w:rPr>
      <w:sz w:val="24"/>
      <w:szCs w:val="24"/>
    </w:rPr>
  </w:style>
  <w:style w:type="character" w:styleId="PlaceholderText">
    <w:name w:val="Placeholder Text"/>
    <w:uiPriority w:val="99"/>
    <w:semiHidden/>
    <w:rsid w:val="00A57BB1"/>
    <w:rPr>
      <w:color w:val="808080"/>
    </w:rPr>
  </w:style>
  <w:style w:type="paragraph" w:styleId="TOCHeading">
    <w:name w:val="TOC Heading"/>
    <w:basedOn w:val="Heading1"/>
    <w:next w:val="Normal"/>
    <w:uiPriority w:val="39"/>
    <w:semiHidden/>
    <w:unhideWhenUsed/>
    <w:qFormat/>
    <w:rsid w:val="000A1E88"/>
    <w:pPr>
      <w:outlineLvl w:val="9"/>
    </w:pPr>
  </w:style>
  <w:style w:type="paragraph" w:styleId="TOC1">
    <w:name w:val="toc 1"/>
    <w:basedOn w:val="Normal"/>
    <w:next w:val="Normal"/>
    <w:autoRedefine/>
    <w:uiPriority w:val="39"/>
    <w:rsid w:val="00BF3716"/>
    <w:pPr>
      <w:tabs>
        <w:tab w:val="left" w:pos="482"/>
        <w:tab w:val="right" w:leader="dot" w:pos="9498"/>
      </w:tabs>
      <w:ind w:left="426" w:hanging="426"/>
    </w:pPr>
  </w:style>
  <w:style w:type="paragraph" w:styleId="TOC3">
    <w:name w:val="toc 3"/>
    <w:basedOn w:val="Normal"/>
    <w:next w:val="Normal"/>
    <w:autoRedefine/>
    <w:uiPriority w:val="39"/>
    <w:rsid w:val="00FE1979"/>
    <w:pPr>
      <w:tabs>
        <w:tab w:val="left" w:pos="1100"/>
        <w:tab w:val="right" w:leader="dot" w:pos="8755"/>
      </w:tabs>
      <w:spacing w:after="120"/>
    </w:pPr>
  </w:style>
  <w:style w:type="paragraph" w:customStyle="1" w:styleId="TableofContents">
    <w:name w:val="Table of Contents"/>
    <w:basedOn w:val="TOC3"/>
    <w:qFormat/>
    <w:rsid w:val="00B12055"/>
    <w:rPr>
      <w:noProof/>
    </w:rPr>
  </w:style>
  <w:style w:type="paragraph" w:customStyle="1" w:styleId="SectionTitle">
    <w:name w:val="Section Title"/>
    <w:basedOn w:val="Normal"/>
    <w:rsid w:val="004F139F"/>
    <w:pPr>
      <w:spacing w:before="200" w:after="200"/>
    </w:pPr>
    <w:rPr>
      <w:rFonts w:cs="Arial"/>
      <w:b/>
      <w:sz w:val="28"/>
    </w:rPr>
  </w:style>
  <w:style w:type="numbering" w:customStyle="1" w:styleId="PolicyBullet">
    <w:name w:val="Policy Bullet"/>
    <w:basedOn w:val="NoList"/>
    <w:rsid w:val="0012411D"/>
    <w:pPr>
      <w:numPr>
        <w:numId w:val="1"/>
      </w:numPr>
    </w:pPr>
  </w:style>
  <w:style w:type="paragraph" w:customStyle="1" w:styleId="Policyheader">
    <w:name w:val="Policy header"/>
    <w:basedOn w:val="Header"/>
    <w:link w:val="PolicyheaderChar"/>
    <w:qFormat/>
    <w:rsid w:val="003B486C"/>
    <w:pPr>
      <w:keepNext/>
      <w:numPr>
        <w:numId w:val="11"/>
      </w:numPr>
      <w:tabs>
        <w:tab w:val="clear" w:pos="4153"/>
        <w:tab w:val="clear" w:pos="8306"/>
      </w:tabs>
      <w:spacing w:before="240" w:after="240" w:line="300" w:lineRule="auto"/>
      <w:ind w:left="851" w:hanging="851"/>
      <w:outlineLvl w:val="0"/>
    </w:pPr>
    <w:rPr>
      <w:b/>
      <w:bCs/>
      <w:noProof/>
      <w:sz w:val="28"/>
    </w:rPr>
  </w:style>
  <w:style w:type="character" w:customStyle="1" w:styleId="Heading3Char">
    <w:name w:val="Heading 3 Char"/>
    <w:link w:val="Heading3"/>
    <w:rsid w:val="007A6A04"/>
    <w:rPr>
      <w:rFonts w:ascii="Arial" w:hAnsi="Arial"/>
      <w:b/>
      <w:sz w:val="28"/>
    </w:rPr>
  </w:style>
  <w:style w:type="character" w:customStyle="1" w:styleId="TitleChar">
    <w:name w:val="Title Char"/>
    <w:aliases w:val="Centred title Char"/>
    <w:link w:val="Title"/>
    <w:rsid w:val="00B12055"/>
    <w:rPr>
      <w:rFonts w:ascii="Arial" w:hAnsi="Arial"/>
      <w:b/>
      <w:color w:val="000000"/>
      <w:sz w:val="28"/>
      <w:szCs w:val="20"/>
    </w:rPr>
  </w:style>
  <w:style w:type="paragraph" w:customStyle="1" w:styleId="Policybulletlevel2">
    <w:name w:val="Policy bullet level 2"/>
    <w:basedOn w:val="Normal"/>
    <w:link w:val="Policybulletlevel2Char"/>
    <w:qFormat/>
    <w:rsid w:val="003B486C"/>
    <w:pPr>
      <w:numPr>
        <w:ilvl w:val="1"/>
        <w:numId w:val="11"/>
      </w:numPr>
      <w:suppressAutoHyphens/>
      <w:spacing w:before="120" w:after="120" w:line="300" w:lineRule="auto"/>
      <w:ind w:left="851" w:hanging="851"/>
    </w:pPr>
  </w:style>
  <w:style w:type="paragraph" w:styleId="Revision">
    <w:name w:val="Revision"/>
    <w:hidden/>
    <w:uiPriority w:val="99"/>
    <w:semiHidden/>
    <w:rsid w:val="00431459"/>
    <w:rPr>
      <w:rFonts w:ascii="Arial" w:hAnsi="Arial"/>
      <w:sz w:val="22"/>
      <w:szCs w:val="24"/>
    </w:rPr>
  </w:style>
  <w:style w:type="paragraph" w:customStyle="1" w:styleId="PolicybulletLevel3">
    <w:name w:val="Policy bullet Level 3"/>
    <w:basedOn w:val="Policybulletlevel2"/>
    <w:qFormat/>
    <w:rsid w:val="003B486C"/>
    <w:pPr>
      <w:numPr>
        <w:ilvl w:val="2"/>
      </w:numPr>
      <w:ind w:left="851" w:hanging="850"/>
    </w:pPr>
  </w:style>
  <w:style w:type="numbering" w:customStyle="1" w:styleId="Bulletstyleforpolicies">
    <w:name w:val="Bullet style for policies"/>
    <w:rsid w:val="00307791"/>
    <w:pPr>
      <w:numPr>
        <w:numId w:val="3"/>
      </w:numPr>
    </w:pPr>
  </w:style>
  <w:style w:type="paragraph" w:customStyle="1" w:styleId="Policybulletlevel4">
    <w:name w:val="Policy bullet level 4"/>
    <w:basedOn w:val="PolicybulletLevel3"/>
    <w:qFormat/>
    <w:rsid w:val="00406C82"/>
    <w:pPr>
      <w:numPr>
        <w:ilvl w:val="3"/>
      </w:numPr>
    </w:pPr>
  </w:style>
  <w:style w:type="paragraph" w:customStyle="1" w:styleId="Policybulletstyle">
    <w:name w:val="Policy bullet style"/>
    <w:basedOn w:val="Policybulletlevel2"/>
    <w:link w:val="PolicybulletstyleChar"/>
    <w:rsid w:val="001535D5"/>
  </w:style>
  <w:style w:type="paragraph" w:customStyle="1" w:styleId="Policybullet2">
    <w:name w:val="Policy bullet 2"/>
    <w:basedOn w:val="Heading3"/>
    <w:rsid w:val="00A4563E"/>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3B486C"/>
    <w:rPr>
      <w:rFonts w:ascii="Arial" w:hAnsi="Arial"/>
      <w:b/>
      <w:bCs/>
      <w:noProof/>
      <w:sz w:val="28"/>
      <w:szCs w:val="24"/>
    </w:rPr>
  </w:style>
  <w:style w:type="character" w:customStyle="1" w:styleId="Policybulletlevel2Char">
    <w:name w:val="Policy bullet level 2 Char"/>
    <w:link w:val="Policybulletlevel2"/>
    <w:rsid w:val="003B486C"/>
    <w:rPr>
      <w:rFonts w:ascii="Arial" w:hAnsi="Arial"/>
      <w:sz w:val="24"/>
      <w:szCs w:val="24"/>
    </w:rPr>
  </w:style>
  <w:style w:type="character" w:customStyle="1" w:styleId="PolicybulletstyleChar">
    <w:name w:val="Policy bullet style Char"/>
    <w:basedOn w:val="Policybulletlevel2Char"/>
    <w:link w:val="Policybulletstyle"/>
    <w:rsid w:val="001535D5"/>
    <w:rPr>
      <w:rFonts w:ascii="Arial" w:hAnsi="Arial"/>
      <w:sz w:val="24"/>
      <w:szCs w:val="24"/>
    </w:rPr>
  </w:style>
  <w:style w:type="paragraph" w:customStyle="1" w:styleId="PolicyBullet3">
    <w:name w:val="Policy Bullet 3"/>
    <w:basedOn w:val="Policybullet2"/>
    <w:rsid w:val="00A4563E"/>
  </w:style>
  <w:style w:type="paragraph" w:customStyle="1" w:styleId="PolicyBullet4">
    <w:name w:val="Policy Bullet 4"/>
    <w:basedOn w:val="PolicyBullet3"/>
    <w:rsid w:val="00A4563E"/>
  </w:style>
  <w:style w:type="paragraph" w:styleId="NoSpacing">
    <w:name w:val="No Spacing"/>
    <w:uiPriority w:val="1"/>
    <w:rsid w:val="00F70BA6"/>
    <w:rPr>
      <w:rFonts w:ascii="Arial" w:hAnsi="Arial"/>
      <w:sz w:val="24"/>
      <w:szCs w:val="24"/>
    </w:rPr>
  </w:style>
  <w:style w:type="paragraph" w:customStyle="1" w:styleId="PolicyHeader2">
    <w:name w:val="Policy Header 2"/>
    <w:basedOn w:val="Policybulletlevel2"/>
    <w:next w:val="Policybullet2"/>
    <w:qFormat/>
    <w:rsid w:val="001D5949"/>
    <w:pPr>
      <w:spacing w:before="240" w:after="240"/>
      <w:outlineLvl w:val="0"/>
    </w:pPr>
    <w:rPr>
      <w:b/>
    </w:rPr>
  </w:style>
  <w:style w:type="character" w:styleId="Strong">
    <w:name w:val="Strong"/>
    <w:uiPriority w:val="22"/>
    <w:rsid w:val="006E52E9"/>
    <w:rPr>
      <w:b/>
      <w:bCs/>
    </w:rPr>
  </w:style>
  <w:style w:type="paragraph" w:styleId="TOC2">
    <w:name w:val="toc 2"/>
    <w:basedOn w:val="Normal"/>
    <w:next w:val="Normal"/>
    <w:autoRedefine/>
    <w:uiPriority w:val="39"/>
    <w:rsid w:val="00FE1979"/>
    <w:pPr>
      <w:tabs>
        <w:tab w:val="left" w:pos="1134"/>
        <w:tab w:val="right" w:leader="dot" w:pos="9180"/>
      </w:tabs>
    </w:pPr>
  </w:style>
  <w:style w:type="paragraph" w:customStyle="1" w:styleId="PolicyHeader3">
    <w:name w:val="Policy Header 3"/>
    <w:basedOn w:val="PolicybulletLevel3"/>
    <w:next w:val="PolicybulletLevel3"/>
    <w:rsid w:val="00DA354F"/>
    <w:pPr>
      <w:outlineLvl w:val="2"/>
    </w:pPr>
  </w:style>
  <w:style w:type="paragraph" w:customStyle="1" w:styleId="TableParagraph">
    <w:name w:val="Table Paragraph"/>
    <w:basedOn w:val="Normal"/>
    <w:uiPriority w:val="1"/>
    <w:qFormat/>
    <w:rsid w:val="00D05C0E"/>
    <w:pPr>
      <w:widowControl w:val="0"/>
      <w:autoSpaceDE w:val="0"/>
      <w:autoSpaceDN w:val="0"/>
      <w:spacing w:before="79"/>
      <w:ind w:left="108"/>
    </w:pPr>
    <w:rPr>
      <w:rFonts w:ascii="Arial MT" w:eastAsia="Arial MT" w:hAnsi="Arial MT" w:cs="Arial MT"/>
      <w:sz w:val="22"/>
      <w:szCs w:val="22"/>
      <w:lang w:val="en-US" w:eastAsia="en-US"/>
    </w:rPr>
  </w:style>
  <w:style w:type="table" w:customStyle="1" w:styleId="TableGrid1">
    <w:name w:val="Table Grid1"/>
    <w:basedOn w:val="TableNormal"/>
    <w:next w:val="TableGrid"/>
    <w:uiPriority w:val="39"/>
    <w:rsid w:val="00932253"/>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39043">
      <w:bodyDiv w:val="1"/>
      <w:marLeft w:val="0"/>
      <w:marRight w:val="0"/>
      <w:marTop w:val="0"/>
      <w:marBottom w:val="0"/>
      <w:divBdr>
        <w:top w:val="none" w:sz="0" w:space="0" w:color="auto"/>
        <w:left w:val="none" w:sz="0" w:space="0" w:color="auto"/>
        <w:bottom w:val="none" w:sz="0" w:space="0" w:color="auto"/>
        <w:right w:val="none" w:sz="0" w:space="0" w:color="auto"/>
      </w:divBdr>
    </w:div>
    <w:div w:id="857817544">
      <w:bodyDiv w:val="1"/>
      <w:marLeft w:val="0"/>
      <w:marRight w:val="0"/>
      <w:marTop w:val="0"/>
      <w:marBottom w:val="0"/>
      <w:divBdr>
        <w:top w:val="none" w:sz="0" w:space="0" w:color="auto"/>
        <w:left w:val="none" w:sz="0" w:space="0" w:color="auto"/>
        <w:bottom w:val="none" w:sz="0" w:space="0" w:color="auto"/>
        <w:right w:val="none" w:sz="0" w:space="0" w:color="auto"/>
      </w:divBdr>
    </w:div>
    <w:div w:id="1529559996">
      <w:bodyDiv w:val="1"/>
      <w:marLeft w:val="0"/>
      <w:marRight w:val="0"/>
      <w:marTop w:val="0"/>
      <w:marBottom w:val="0"/>
      <w:divBdr>
        <w:top w:val="none" w:sz="0" w:space="0" w:color="auto"/>
        <w:left w:val="none" w:sz="0" w:space="0" w:color="auto"/>
        <w:bottom w:val="none" w:sz="0" w:space="0" w:color="auto"/>
        <w:right w:val="none" w:sz="0" w:space="0" w:color="auto"/>
      </w:divBdr>
      <w:divsChild>
        <w:div w:id="94910737">
          <w:marLeft w:val="0"/>
          <w:marRight w:val="0"/>
          <w:marTop w:val="0"/>
          <w:marBottom w:val="0"/>
          <w:divBdr>
            <w:top w:val="none" w:sz="0" w:space="0" w:color="auto"/>
            <w:left w:val="none" w:sz="0" w:space="0" w:color="auto"/>
            <w:bottom w:val="none" w:sz="0" w:space="0" w:color="auto"/>
            <w:right w:val="none" w:sz="0" w:space="0" w:color="auto"/>
          </w:divBdr>
          <w:divsChild>
            <w:div w:id="1917519542">
              <w:marLeft w:val="0"/>
              <w:marRight w:val="0"/>
              <w:marTop w:val="0"/>
              <w:marBottom w:val="0"/>
              <w:divBdr>
                <w:top w:val="none" w:sz="0" w:space="0" w:color="auto"/>
                <w:left w:val="none" w:sz="0" w:space="0" w:color="auto"/>
                <w:bottom w:val="none" w:sz="0" w:space="0" w:color="auto"/>
                <w:right w:val="none" w:sz="0" w:space="0" w:color="auto"/>
              </w:divBdr>
              <w:divsChild>
                <w:div w:id="454835664">
                  <w:marLeft w:val="0"/>
                  <w:marRight w:val="0"/>
                  <w:marTop w:val="0"/>
                  <w:marBottom w:val="0"/>
                  <w:divBdr>
                    <w:top w:val="none" w:sz="0" w:space="0" w:color="auto"/>
                    <w:left w:val="none" w:sz="0" w:space="0" w:color="auto"/>
                    <w:bottom w:val="none" w:sz="0" w:space="0" w:color="auto"/>
                    <w:right w:val="none" w:sz="0" w:space="0" w:color="auto"/>
                  </w:divBdr>
                  <w:divsChild>
                    <w:div w:id="1041053387">
                      <w:marLeft w:val="0"/>
                      <w:marRight w:val="0"/>
                      <w:marTop w:val="0"/>
                      <w:marBottom w:val="0"/>
                      <w:divBdr>
                        <w:top w:val="none" w:sz="0" w:space="0" w:color="auto"/>
                        <w:left w:val="none" w:sz="0" w:space="0" w:color="auto"/>
                        <w:bottom w:val="none" w:sz="0" w:space="0" w:color="auto"/>
                        <w:right w:val="none" w:sz="0" w:space="0" w:color="auto"/>
                      </w:divBdr>
                      <w:divsChild>
                        <w:div w:id="455220898">
                          <w:marLeft w:val="355"/>
                          <w:marRight w:val="69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ommodation.ekhuft.nhs.uk/agency_emergencyrooms_porta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ccommodation.ekhuft.nhs.uk/Accommodation_Portal/" TargetMode="External"/><Relationship Id="rId17" Type="http://schemas.openxmlformats.org/officeDocument/2006/relationships/hyperlink" Target="http://permits.paysmarti.co.uk/acct/eastkenthospitals" TargetMode="External"/><Relationship Id="rId25" Type="http://schemas.openxmlformats.org/officeDocument/2006/relationships/hyperlink" Target="https://www.england.nhs.uk/ourwork/patients/accessibleinfo/" TargetMode="External"/><Relationship Id="rId2" Type="http://schemas.openxmlformats.org/officeDocument/2006/relationships/customXml" Target="../customXml/item2.xml"/><Relationship Id="rId16" Type="http://schemas.openxmlformats.org/officeDocument/2006/relationships/hyperlink" Target="https://accommodation.ekhuft.nhs.uk/agency_emergencyrooms_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khuft.nhs.uk/staff/clinical/accessible-information-standard-ais/" TargetMode="External"/><Relationship Id="rId5" Type="http://schemas.openxmlformats.org/officeDocument/2006/relationships/numbering" Target="numbering.xml"/><Relationship Id="rId15" Type="http://schemas.openxmlformats.org/officeDocument/2006/relationships/hyperlink" Target="https://accommodation.ekhuft.nhs.uk/Accommodation_Port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rmits.paysmarti.co.uk/acct/eastkenthospitals"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78B937686CA47AFBF2A818596B9AB" ma:contentTypeVersion="0" ma:contentTypeDescription="Create a new document." ma:contentTypeScope="" ma:versionID="b793621c13949ef116e29137770673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D2C4-D2D1-4BEF-AC99-10136AC24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953F2-8976-4EEF-A779-AE4F4812D1E1}">
  <ds:schemaRefs>
    <ds:schemaRef ds:uri="http://schemas.microsoft.com/sharepoint/v3/contenttype/forms"/>
  </ds:schemaRefs>
</ds:datastoreItem>
</file>

<file path=customXml/itemProps3.xml><?xml version="1.0" encoding="utf-8"?>
<ds:datastoreItem xmlns:ds="http://schemas.openxmlformats.org/officeDocument/2006/customXml" ds:itemID="{E27972CF-9E6A-476F-A27F-56F5E393C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2594E7-4AF4-45AC-BA67-F5915529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7710</Words>
  <Characters>43949</Characters>
  <Application>Microsoft Office Word</Application>
  <DocSecurity>8</DocSecurity>
  <Lines>366</Lines>
  <Paragraphs>103</Paragraphs>
  <ScaleCrop>false</ScaleCrop>
  <HeadingPairs>
    <vt:vector size="2" baseType="variant">
      <vt:variant>
        <vt:lpstr>Title</vt:lpstr>
      </vt:variant>
      <vt:variant>
        <vt:i4>1</vt:i4>
      </vt:variant>
    </vt:vector>
  </HeadingPairs>
  <TitlesOfParts>
    <vt:vector size="1" baseType="lpstr">
      <vt:lpstr>Policy template</vt:lpstr>
    </vt:vector>
  </TitlesOfParts>
  <Company>Det Norske Veritas</Company>
  <LinksUpToDate>false</LinksUpToDate>
  <CharactersWithSpaces>51556</CharactersWithSpaces>
  <SharedDoc>false</SharedDoc>
  <HLinks>
    <vt:vector size="96" baseType="variant">
      <vt:variant>
        <vt:i4>2359310</vt:i4>
      </vt:variant>
      <vt:variant>
        <vt:i4>92</vt:i4>
      </vt:variant>
      <vt:variant>
        <vt:i4>0</vt:i4>
      </vt:variant>
      <vt:variant>
        <vt:i4>5</vt:i4>
      </vt:variant>
      <vt:variant>
        <vt:lpwstr/>
      </vt:variant>
      <vt:variant>
        <vt:lpwstr>_Toc6490175</vt:lpwstr>
      </vt:variant>
      <vt:variant>
        <vt:i4>2359310</vt:i4>
      </vt:variant>
      <vt:variant>
        <vt:i4>86</vt:i4>
      </vt:variant>
      <vt:variant>
        <vt:i4>0</vt:i4>
      </vt:variant>
      <vt:variant>
        <vt:i4>5</vt:i4>
      </vt:variant>
      <vt:variant>
        <vt:lpwstr/>
      </vt:variant>
      <vt:variant>
        <vt:lpwstr>_Toc6490174</vt:lpwstr>
      </vt:variant>
      <vt:variant>
        <vt:i4>2359310</vt:i4>
      </vt:variant>
      <vt:variant>
        <vt:i4>80</vt:i4>
      </vt:variant>
      <vt:variant>
        <vt:i4>0</vt:i4>
      </vt:variant>
      <vt:variant>
        <vt:i4>5</vt:i4>
      </vt:variant>
      <vt:variant>
        <vt:lpwstr/>
      </vt:variant>
      <vt:variant>
        <vt:lpwstr>_Toc6490173</vt:lpwstr>
      </vt:variant>
      <vt:variant>
        <vt:i4>2359310</vt:i4>
      </vt:variant>
      <vt:variant>
        <vt:i4>74</vt:i4>
      </vt:variant>
      <vt:variant>
        <vt:i4>0</vt:i4>
      </vt:variant>
      <vt:variant>
        <vt:i4>5</vt:i4>
      </vt:variant>
      <vt:variant>
        <vt:lpwstr/>
      </vt:variant>
      <vt:variant>
        <vt:lpwstr>_Toc6490172</vt:lpwstr>
      </vt:variant>
      <vt:variant>
        <vt:i4>2359310</vt:i4>
      </vt:variant>
      <vt:variant>
        <vt:i4>68</vt:i4>
      </vt:variant>
      <vt:variant>
        <vt:i4>0</vt:i4>
      </vt:variant>
      <vt:variant>
        <vt:i4>5</vt:i4>
      </vt:variant>
      <vt:variant>
        <vt:lpwstr/>
      </vt:variant>
      <vt:variant>
        <vt:lpwstr>_Toc6490171</vt:lpwstr>
      </vt:variant>
      <vt:variant>
        <vt:i4>2359310</vt:i4>
      </vt:variant>
      <vt:variant>
        <vt:i4>62</vt:i4>
      </vt:variant>
      <vt:variant>
        <vt:i4>0</vt:i4>
      </vt:variant>
      <vt:variant>
        <vt:i4>5</vt:i4>
      </vt:variant>
      <vt:variant>
        <vt:lpwstr/>
      </vt:variant>
      <vt:variant>
        <vt:lpwstr>_Toc6490170</vt:lpwstr>
      </vt:variant>
      <vt:variant>
        <vt:i4>2424846</vt:i4>
      </vt:variant>
      <vt:variant>
        <vt:i4>56</vt:i4>
      </vt:variant>
      <vt:variant>
        <vt:i4>0</vt:i4>
      </vt:variant>
      <vt:variant>
        <vt:i4>5</vt:i4>
      </vt:variant>
      <vt:variant>
        <vt:lpwstr/>
      </vt:variant>
      <vt:variant>
        <vt:lpwstr>_Toc6490169</vt:lpwstr>
      </vt:variant>
      <vt:variant>
        <vt:i4>2424846</vt:i4>
      </vt:variant>
      <vt:variant>
        <vt:i4>50</vt:i4>
      </vt:variant>
      <vt:variant>
        <vt:i4>0</vt:i4>
      </vt:variant>
      <vt:variant>
        <vt:i4>5</vt:i4>
      </vt:variant>
      <vt:variant>
        <vt:lpwstr/>
      </vt:variant>
      <vt:variant>
        <vt:lpwstr>_Toc6490168</vt:lpwstr>
      </vt:variant>
      <vt:variant>
        <vt:i4>2424846</vt:i4>
      </vt:variant>
      <vt:variant>
        <vt:i4>44</vt:i4>
      </vt:variant>
      <vt:variant>
        <vt:i4>0</vt:i4>
      </vt:variant>
      <vt:variant>
        <vt:i4>5</vt:i4>
      </vt:variant>
      <vt:variant>
        <vt:lpwstr/>
      </vt:variant>
      <vt:variant>
        <vt:lpwstr>_Toc6490167</vt:lpwstr>
      </vt:variant>
      <vt:variant>
        <vt:i4>2424846</vt:i4>
      </vt:variant>
      <vt:variant>
        <vt:i4>38</vt:i4>
      </vt:variant>
      <vt:variant>
        <vt:i4>0</vt:i4>
      </vt:variant>
      <vt:variant>
        <vt:i4>5</vt:i4>
      </vt:variant>
      <vt:variant>
        <vt:lpwstr/>
      </vt:variant>
      <vt:variant>
        <vt:lpwstr>_Toc6490166</vt:lpwstr>
      </vt:variant>
      <vt:variant>
        <vt:i4>2424846</vt:i4>
      </vt:variant>
      <vt:variant>
        <vt:i4>32</vt:i4>
      </vt:variant>
      <vt:variant>
        <vt:i4>0</vt:i4>
      </vt:variant>
      <vt:variant>
        <vt:i4>5</vt:i4>
      </vt:variant>
      <vt:variant>
        <vt:lpwstr/>
      </vt:variant>
      <vt:variant>
        <vt:lpwstr>_Toc6490165</vt:lpwstr>
      </vt:variant>
      <vt:variant>
        <vt:i4>2424846</vt:i4>
      </vt:variant>
      <vt:variant>
        <vt:i4>26</vt:i4>
      </vt:variant>
      <vt:variant>
        <vt:i4>0</vt:i4>
      </vt:variant>
      <vt:variant>
        <vt:i4>5</vt:i4>
      </vt:variant>
      <vt:variant>
        <vt:lpwstr/>
      </vt:variant>
      <vt:variant>
        <vt:lpwstr>_Toc6490164</vt:lpwstr>
      </vt:variant>
      <vt:variant>
        <vt:i4>2424846</vt:i4>
      </vt:variant>
      <vt:variant>
        <vt:i4>20</vt:i4>
      </vt:variant>
      <vt:variant>
        <vt:i4>0</vt:i4>
      </vt:variant>
      <vt:variant>
        <vt:i4>5</vt:i4>
      </vt:variant>
      <vt:variant>
        <vt:lpwstr/>
      </vt:variant>
      <vt:variant>
        <vt:lpwstr>_Toc6490163</vt:lpwstr>
      </vt:variant>
      <vt:variant>
        <vt:i4>2424846</vt:i4>
      </vt:variant>
      <vt:variant>
        <vt:i4>14</vt:i4>
      </vt:variant>
      <vt:variant>
        <vt:i4>0</vt:i4>
      </vt:variant>
      <vt:variant>
        <vt:i4>5</vt:i4>
      </vt:variant>
      <vt:variant>
        <vt:lpwstr/>
      </vt:variant>
      <vt:variant>
        <vt:lpwstr>_Toc6490160</vt:lpwstr>
      </vt:variant>
      <vt:variant>
        <vt:i4>2490382</vt:i4>
      </vt:variant>
      <vt:variant>
        <vt:i4>8</vt:i4>
      </vt:variant>
      <vt:variant>
        <vt:i4>0</vt:i4>
      </vt:variant>
      <vt:variant>
        <vt:i4>5</vt:i4>
      </vt:variant>
      <vt:variant>
        <vt:lpwstr/>
      </vt:variant>
      <vt:variant>
        <vt:lpwstr>_Toc6490159</vt:lpwstr>
      </vt:variant>
      <vt:variant>
        <vt:i4>2490382</vt:i4>
      </vt:variant>
      <vt:variant>
        <vt:i4>2</vt:i4>
      </vt:variant>
      <vt:variant>
        <vt:i4>0</vt:i4>
      </vt:variant>
      <vt:variant>
        <vt:i4>5</vt:i4>
      </vt:variant>
      <vt:variant>
        <vt:lpwstr/>
      </vt:variant>
      <vt:variant>
        <vt:lpwstr>_Toc6490158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Policy Manager</dc:creator>
  <cp:keywords>policy on policies, policy writing, procedural documents, organisation wide</cp:keywords>
  <cp:lastModifiedBy>Hollie Godwin</cp:lastModifiedBy>
  <cp:revision>3</cp:revision>
  <cp:lastPrinted>2022-08-17T11:46:00Z</cp:lastPrinted>
  <dcterms:created xsi:type="dcterms:W3CDTF">2024-08-13T11:22:00Z</dcterms:created>
  <dcterms:modified xsi:type="dcterms:W3CDTF">2024-08-13T11:22:00Z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0x01010082B78B937686CA47AFBF2A818596B9AB</vt:lpwstr>
  </property>
</Properties>
</file>